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9B0" w:rsidRDefault="009029B0" w:rsidP="009029B0">
      <w:pPr>
        <w:rPr>
          <w:b/>
        </w:rPr>
      </w:pPr>
      <w:r>
        <w:rPr>
          <w:b/>
        </w:rPr>
        <w:t>Report to the Cabinet Members for Highways and Transport, Adult and Community Services, Health and Wellbeing, and Environment, Planning and Cultural Services</w:t>
      </w:r>
    </w:p>
    <w:p w:rsidR="009029B0" w:rsidRDefault="009029B0" w:rsidP="009029B0">
      <w:pPr>
        <w:rPr>
          <w:b/>
        </w:rPr>
      </w:pPr>
      <w:r>
        <w:rPr>
          <w:b/>
        </w:rPr>
        <w:t>Report submitted by</w:t>
      </w:r>
      <w:r>
        <w:t xml:space="preserve">: </w:t>
      </w:r>
      <w:r>
        <w:rPr>
          <w:b/>
        </w:rPr>
        <w:t>Head of Service, Procurement</w:t>
      </w:r>
    </w:p>
    <w:p w:rsidR="009029B0" w:rsidRDefault="009029B0" w:rsidP="009029B0">
      <w:pPr>
        <w:rPr>
          <w:b/>
        </w:rPr>
      </w:pPr>
      <w:r>
        <w:rPr>
          <w:b/>
        </w:rPr>
        <w:t xml:space="preserve">Date </w:t>
      </w:r>
      <w:r>
        <w:rPr>
          <w:b/>
        </w:rPr>
        <w:fldChar w:fldCharType="begin"/>
      </w:r>
      <w:r>
        <w:rPr>
          <w:b/>
        </w:rPr>
        <w:instrText xml:space="preserve"> DOCPROPERTY  MeetingDate  \* MERGEFORMAT </w:instrText>
      </w:r>
      <w:r>
        <w:rPr>
          <w:b/>
        </w:rPr>
        <w:fldChar w:fldCharType="separate"/>
      </w:r>
      <w:r>
        <w:rPr>
          <w:b/>
        </w:rPr>
        <w:t>Wednesday, 8 and Monday, 13 March 2017</w:t>
      </w:r>
      <w:r>
        <w:rPr>
          <w:b/>
        </w:rPr>
        <w:fldChar w:fldCharType="end"/>
      </w:r>
    </w:p>
    <w:p w:rsidR="009029B0" w:rsidRDefault="009029B0" w:rsidP="009029B0">
      <w:pPr>
        <w:rPr>
          <w:b/>
        </w:rPr>
      </w:pPr>
    </w:p>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9029B0" w:rsidRPr="00FC0274" w:rsidTr="00D00A8C">
        <w:tc>
          <w:tcPr>
            <w:tcW w:w="3260" w:type="dxa"/>
            <w:tcBorders>
              <w:top w:val="single" w:sz="4" w:space="0" w:color="auto"/>
              <w:left w:val="single" w:sz="4" w:space="0" w:color="auto"/>
              <w:bottom w:val="single" w:sz="4" w:space="0" w:color="auto"/>
              <w:right w:val="single" w:sz="4" w:space="0" w:color="auto"/>
            </w:tcBorders>
          </w:tcPr>
          <w:p w:rsidR="009029B0" w:rsidRPr="00FC0274" w:rsidRDefault="009029B0" w:rsidP="00D00A8C">
            <w:pPr>
              <w:pStyle w:val="BodyText"/>
              <w:rPr>
                <w:b/>
                <w:sz w:val="28"/>
                <w:szCs w:val="28"/>
              </w:rPr>
            </w:pPr>
            <w:r w:rsidRPr="00FC0274">
              <w:rPr>
                <w:b/>
                <w:sz w:val="28"/>
                <w:szCs w:val="28"/>
              </w:rPr>
              <w:t xml:space="preserve">Part </w:t>
            </w:r>
            <w:r>
              <w:rPr>
                <w:b/>
                <w:sz w:val="28"/>
                <w:szCs w:val="28"/>
              </w:rPr>
              <w:t xml:space="preserve">I </w:t>
            </w:r>
          </w:p>
        </w:tc>
      </w:tr>
      <w:tr w:rsidR="009029B0" w:rsidRPr="00FC0274" w:rsidTr="00D00A8C">
        <w:tc>
          <w:tcPr>
            <w:tcW w:w="3260" w:type="dxa"/>
            <w:tcBorders>
              <w:top w:val="single" w:sz="4" w:space="0" w:color="auto"/>
              <w:left w:val="nil"/>
              <w:bottom w:val="single" w:sz="4" w:space="0" w:color="auto"/>
              <w:right w:val="nil"/>
            </w:tcBorders>
          </w:tcPr>
          <w:p w:rsidR="009029B0" w:rsidRPr="00FC0274" w:rsidRDefault="009029B0" w:rsidP="00D00A8C">
            <w:pPr>
              <w:pStyle w:val="BodyText"/>
            </w:pPr>
          </w:p>
        </w:tc>
      </w:tr>
      <w:tr w:rsidR="009029B0" w:rsidTr="00D00A8C">
        <w:tc>
          <w:tcPr>
            <w:tcW w:w="3260" w:type="dxa"/>
            <w:tcBorders>
              <w:top w:val="single" w:sz="4" w:space="0" w:color="auto"/>
            </w:tcBorders>
          </w:tcPr>
          <w:p w:rsidR="009029B0" w:rsidRDefault="009029B0" w:rsidP="00D00A8C">
            <w:pPr>
              <w:pStyle w:val="BodyText"/>
            </w:pPr>
            <w:r>
              <w:t>Electoral Division affected:</w:t>
            </w:r>
          </w:p>
          <w:p w:rsidR="009029B0" w:rsidRDefault="009029B0" w:rsidP="00D00A8C">
            <w:pPr>
              <w:rPr>
                <w:u w:val="single"/>
              </w:rPr>
            </w:pPr>
            <w:r>
              <w:fldChar w:fldCharType="begin"/>
            </w:r>
            <w:r>
              <w:instrText xml:space="preserve"> DOCPROPERTY  Wards  \* MERGEFORMAT </w:instrText>
            </w:r>
            <w:r>
              <w:fldChar w:fldCharType="separate"/>
            </w:r>
            <w:r>
              <w:t>(All Divisions);</w:t>
            </w:r>
            <w:r>
              <w:fldChar w:fldCharType="end"/>
            </w:r>
          </w:p>
        </w:tc>
      </w:tr>
    </w:tbl>
    <w:p w:rsidR="009029B0" w:rsidRDefault="009029B0" w:rsidP="009029B0">
      <w:pPr>
        <w:ind w:left="709" w:hanging="709"/>
        <w:rPr>
          <w:b/>
        </w:rPr>
      </w:pPr>
    </w:p>
    <w:p w:rsidR="009029B0" w:rsidRDefault="009029B0" w:rsidP="009029B0">
      <w:pPr>
        <w:rPr>
          <w:b/>
        </w:rPr>
      </w:pPr>
      <w:r>
        <w:rPr>
          <w:b/>
        </w:rPr>
        <w:t>Procurement Report – Request for Approval to Commence Procurement Exercises</w:t>
      </w:r>
    </w:p>
    <w:p w:rsidR="009029B0" w:rsidRDefault="009029B0" w:rsidP="009029B0">
      <w:pPr>
        <w:ind w:left="709" w:hanging="709"/>
      </w:pPr>
      <w:r>
        <w:t>(Appendix 'A' refers)</w:t>
      </w:r>
    </w:p>
    <w:p w:rsidR="009029B0" w:rsidRDefault="009029B0" w:rsidP="009029B0"/>
    <w:p w:rsidR="009029B0" w:rsidRDefault="009029B0" w:rsidP="009029B0">
      <w:r>
        <w:t>Contact for further information:</w:t>
      </w:r>
    </w:p>
    <w:p w:rsidR="009029B0" w:rsidRDefault="009029B0" w:rsidP="009029B0">
      <w:r>
        <w:t xml:space="preserve">Rachel Tanner, Tel: (01772) 534904, Head of Procurement, </w:t>
      </w:r>
    </w:p>
    <w:p w:rsidR="009029B0" w:rsidRDefault="009029B0" w:rsidP="009029B0">
      <w:r>
        <w:rPr>
          <w:noProof/>
        </w:rPr>
        <mc:AlternateContent>
          <mc:Choice Requires="wps">
            <w:drawing>
              <wp:anchor distT="45720" distB="45720" distL="114300" distR="114300" simplePos="0" relativeHeight="251659264" behindDoc="0" locked="0" layoutInCell="1" allowOverlap="1">
                <wp:simplePos x="0" y="0"/>
                <wp:positionH relativeFrom="column">
                  <wp:align>center</wp:align>
                </wp:positionH>
                <wp:positionV relativeFrom="paragraph">
                  <wp:posOffset>327025</wp:posOffset>
                </wp:positionV>
                <wp:extent cx="5834380" cy="4770120"/>
                <wp:effectExtent l="6350" t="12065" r="7620" b="889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4380" cy="4770120"/>
                        </a:xfrm>
                        <a:prstGeom prst="rect">
                          <a:avLst/>
                        </a:prstGeom>
                        <a:solidFill>
                          <a:srgbClr val="FFFFFF"/>
                        </a:solidFill>
                        <a:ln w="9525">
                          <a:solidFill>
                            <a:srgbClr val="000000"/>
                          </a:solidFill>
                          <a:miter lim="800000"/>
                          <a:headEnd/>
                          <a:tailEnd/>
                        </a:ln>
                      </wps:spPr>
                      <wps:txbx>
                        <w:txbxContent>
                          <w:p w:rsidR="009029B0" w:rsidRDefault="009029B0" w:rsidP="009029B0">
                            <w:pPr>
                              <w:pStyle w:val="Heading6"/>
                              <w:rPr>
                                <w:rFonts w:ascii="Arial" w:hAnsi="Arial"/>
                              </w:rPr>
                            </w:pPr>
                          </w:p>
                          <w:p w:rsidR="009029B0" w:rsidRDefault="009029B0" w:rsidP="009029B0">
                            <w:pPr>
                              <w:pStyle w:val="Heading6"/>
                              <w:rPr>
                                <w:rFonts w:ascii="Arial" w:hAnsi="Arial"/>
                              </w:rPr>
                            </w:pPr>
                            <w:r>
                              <w:rPr>
                                <w:rFonts w:ascii="Arial" w:hAnsi="Arial"/>
                              </w:rPr>
                              <w:t>Executive Summary</w:t>
                            </w:r>
                          </w:p>
                          <w:p w:rsidR="009029B0" w:rsidRPr="00091674" w:rsidRDefault="009029B0" w:rsidP="009029B0"/>
                          <w:p w:rsidR="009029B0" w:rsidRDefault="009029B0" w:rsidP="009029B0">
                            <w:r>
                              <w:t xml:space="preserve">This report sets out recommendations to approve the commencement of six procurement exercises for: </w:t>
                            </w:r>
                          </w:p>
                          <w:p w:rsidR="009029B0" w:rsidRDefault="009029B0" w:rsidP="009029B0"/>
                          <w:p w:rsidR="009029B0" w:rsidRDefault="009029B0" w:rsidP="009029B0">
                            <w:pPr>
                              <w:numPr>
                                <w:ilvl w:val="0"/>
                                <w:numId w:val="1"/>
                              </w:numPr>
                            </w:pPr>
                            <w:r>
                              <w:t>The Refurbishment of Greyhound Bridge;</w:t>
                            </w:r>
                          </w:p>
                          <w:p w:rsidR="009029B0" w:rsidRDefault="009029B0" w:rsidP="009029B0">
                            <w:pPr>
                              <w:numPr>
                                <w:ilvl w:val="0"/>
                                <w:numId w:val="1"/>
                              </w:numPr>
                            </w:pPr>
                            <w:r>
                              <w:t>The Supply, Installation and Management of Electric Vehicle Charging Points;</w:t>
                            </w:r>
                          </w:p>
                          <w:p w:rsidR="009029B0" w:rsidRDefault="009029B0" w:rsidP="009029B0">
                            <w:pPr>
                              <w:numPr>
                                <w:ilvl w:val="0"/>
                                <w:numId w:val="1"/>
                              </w:numPr>
                            </w:pPr>
                            <w:r>
                              <w:t>The Provision of Hospital Aftercare Services;</w:t>
                            </w:r>
                          </w:p>
                          <w:p w:rsidR="009029B0" w:rsidRPr="00BB2D79" w:rsidRDefault="009029B0" w:rsidP="009029B0">
                            <w:pPr>
                              <w:numPr>
                                <w:ilvl w:val="0"/>
                                <w:numId w:val="1"/>
                              </w:numPr>
                            </w:pPr>
                            <w:r w:rsidRPr="00BB2D79">
                              <w:t>The Provision of North and Central Lancashire Recovery Oriented Adult</w:t>
                            </w:r>
                            <w:r>
                              <w:t xml:space="preserve"> </w:t>
                            </w:r>
                            <w:r w:rsidRPr="00BB2D79">
                              <w:t>Substance Misuse Services</w:t>
                            </w:r>
                            <w:r>
                              <w:t>;</w:t>
                            </w:r>
                          </w:p>
                          <w:p w:rsidR="009029B0" w:rsidRPr="00BB2D79" w:rsidRDefault="009029B0" w:rsidP="009029B0">
                            <w:pPr>
                              <w:numPr>
                                <w:ilvl w:val="0"/>
                                <w:numId w:val="1"/>
                              </w:numPr>
                            </w:pPr>
                            <w:r w:rsidRPr="00BB2D79">
                              <w:t>The Provision of Services for the Acceptance and Composting of Green Waste Arising in the East of the Administrative County of Lancashire, and</w:t>
                            </w:r>
                            <w:r>
                              <w:t>;</w:t>
                            </w:r>
                          </w:p>
                          <w:p w:rsidR="009029B0" w:rsidRPr="00BB2D79" w:rsidRDefault="009029B0" w:rsidP="009029B0">
                            <w:pPr>
                              <w:numPr>
                                <w:ilvl w:val="0"/>
                                <w:numId w:val="1"/>
                              </w:numPr>
                            </w:pPr>
                            <w:r w:rsidRPr="00BB2D79">
                              <w:t>A Multi-provider Framework for the Acceptance and Recovery/Disposal of Residual Waste Arising in the Administrative County of Lancashire and Blackpool</w:t>
                            </w:r>
                          </w:p>
                          <w:p w:rsidR="009029B0" w:rsidRDefault="009029B0" w:rsidP="009029B0">
                            <w:pPr>
                              <w:pStyle w:val="ListParagraph"/>
                            </w:pPr>
                          </w:p>
                          <w:p w:rsidR="009029B0" w:rsidRDefault="009029B0" w:rsidP="009029B0">
                            <w:r>
                              <w:t>The procurement exercises will be undertaken in line with European Union (EU) Regulations, the County Council's Procurement Rules, and as outlined in Appendix 'A' to this report.</w:t>
                            </w:r>
                          </w:p>
                          <w:p w:rsidR="009029B0" w:rsidRDefault="009029B0" w:rsidP="009029B0"/>
                          <w:p w:rsidR="009029B0" w:rsidRDefault="009029B0" w:rsidP="009029B0">
                            <w:r>
                              <w:t>These are deemed to be Key Decisions and the provisions of Standing Order No.25 have been complied with.</w:t>
                            </w:r>
                          </w:p>
                          <w:p w:rsidR="009029B0" w:rsidRDefault="009029B0" w:rsidP="009029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25.75pt;width:459.4pt;height:375.6pt;z-index:251659264;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">
                <v:textbox>
                  <w:txbxContent>
                    <w:p w:rsidR="009029B0" w:rsidRDefault="009029B0" w:rsidP="009029B0">
                      <w:pPr>
                        <w:pStyle w:val="Heading6"/>
                        <w:rPr>
                          <w:rFonts w:ascii="Arial" w:hAnsi="Arial"/>
                        </w:rPr>
                      </w:pPr>
                    </w:p>
                    <w:p w:rsidR="009029B0" w:rsidRDefault="009029B0" w:rsidP="009029B0">
                      <w:pPr>
                        <w:pStyle w:val="Heading6"/>
                        <w:rPr>
                          <w:rFonts w:ascii="Arial" w:hAnsi="Arial"/>
                        </w:rPr>
                      </w:pPr>
                      <w:r>
                        <w:rPr>
                          <w:rFonts w:ascii="Arial" w:hAnsi="Arial"/>
                        </w:rPr>
                        <w:t>Executive Summary</w:t>
                      </w:r>
                    </w:p>
                    <w:p w:rsidR="009029B0" w:rsidRPr="00091674" w:rsidRDefault="009029B0" w:rsidP="009029B0"/>
                    <w:p w:rsidR="009029B0" w:rsidRDefault="009029B0" w:rsidP="009029B0">
                      <w:r>
                        <w:t xml:space="preserve">This report sets out recommendations to approve the commencement of six procurement exercises for: </w:t>
                      </w:r>
                    </w:p>
                    <w:p w:rsidR="009029B0" w:rsidRDefault="009029B0" w:rsidP="009029B0"/>
                    <w:p w:rsidR="009029B0" w:rsidRDefault="009029B0" w:rsidP="009029B0">
                      <w:pPr>
                        <w:numPr>
                          <w:ilvl w:val="0"/>
                          <w:numId w:val="1"/>
                        </w:numPr>
                      </w:pPr>
                      <w:r>
                        <w:t>The Refurbishment of Greyhound Bridge;</w:t>
                      </w:r>
                    </w:p>
                    <w:p w:rsidR="009029B0" w:rsidRDefault="009029B0" w:rsidP="009029B0">
                      <w:pPr>
                        <w:numPr>
                          <w:ilvl w:val="0"/>
                          <w:numId w:val="1"/>
                        </w:numPr>
                      </w:pPr>
                      <w:r>
                        <w:t>The Supply, Installation and Management of Electric Vehicle Charging Points;</w:t>
                      </w:r>
                    </w:p>
                    <w:p w:rsidR="009029B0" w:rsidRDefault="009029B0" w:rsidP="009029B0">
                      <w:pPr>
                        <w:numPr>
                          <w:ilvl w:val="0"/>
                          <w:numId w:val="1"/>
                        </w:numPr>
                      </w:pPr>
                      <w:r>
                        <w:t>The Provision of Hospital Aftercare Services;</w:t>
                      </w:r>
                    </w:p>
                    <w:p w:rsidR="009029B0" w:rsidRPr="00BB2D79" w:rsidRDefault="009029B0" w:rsidP="009029B0">
                      <w:pPr>
                        <w:numPr>
                          <w:ilvl w:val="0"/>
                          <w:numId w:val="1"/>
                        </w:numPr>
                      </w:pPr>
                      <w:r w:rsidRPr="00BB2D79">
                        <w:t>The Provision of North and Central Lancashire Recovery Oriented Adult</w:t>
                      </w:r>
                      <w:r>
                        <w:t xml:space="preserve"> </w:t>
                      </w:r>
                      <w:r w:rsidRPr="00BB2D79">
                        <w:t>Substance Misuse Services</w:t>
                      </w:r>
                      <w:r>
                        <w:t>;</w:t>
                      </w:r>
                    </w:p>
                    <w:p w:rsidR="009029B0" w:rsidRPr="00BB2D79" w:rsidRDefault="009029B0" w:rsidP="009029B0">
                      <w:pPr>
                        <w:numPr>
                          <w:ilvl w:val="0"/>
                          <w:numId w:val="1"/>
                        </w:numPr>
                      </w:pPr>
                      <w:r w:rsidRPr="00BB2D79">
                        <w:t>The Provision of Services for the Acceptance and Composting of Green Waste Arising in the East of the Administrative County of Lancashire, and</w:t>
                      </w:r>
                      <w:r>
                        <w:t>;</w:t>
                      </w:r>
                    </w:p>
                    <w:p w:rsidR="009029B0" w:rsidRPr="00BB2D79" w:rsidRDefault="009029B0" w:rsidP="009029B0">
                      <w:pPr>
                        <w:numPr>
                          <w:ilvl w:val="0"/>
                          <w:numId w:val="1"/>
                        </w:numPr>
                      </w:pPr>
                      <w:r w:rsidRPr="00BB2D79">
                        <w:t>A Multi-provider Framework for the Acceptance and Recovery/Disposal of Residual Waste Arising in the Administrative County of Lancashire and Blackpool</w:t>
                      </w:r>
                    </w:p>
                    <w:p w:rsidR="009029B0" w:rsidRDefault="009029B0" w:rsidP="009029B0">
                      <w:pPr>
                        <w:pStyle w:val="ListParagraph"/>
                      </w:pPr>
                    </w:p>
                    <w:p w:rsidR="009029B0" w:rsidRDefault="009029B0" w:rsidP="009029B0">
                      <w:r>
                        <w:t>The procurement exercises will be undertaken in line with European Union (EU) Regulations, the County Council's Procurement Rules, and as outlined in Appendix 'A' to this report.</w:t>
                      </w:r>
                    </w:p>
                    <w:p w:rsidR="009029B0" w:rsidRDefault="009029B0" w:rsidP="009029B0"/>
                    <w:p w:rsidR="009029B0" w:rsidRDefault="009029B0" w:rsidP="009029B0">
                      <w:r>
                        <w:t>These are deemed to be Key Decisions and the provisions of Standing Order No.25 have been complied with.</w:t>
                      </w:r>
                    </w:p>
                    <w:p w:rsidR="009029B0" w:rsidRDefault="009029B0" w:rsidP="009029B0"/>
                  </w:txbxContent>
                </v:textbox>
                <w10:wrap type="square"/>
              </v:shape>
            </w:pict>
          </mc:Fallback>
        </mc:AlternateContent>
      </w:r>
      <w:r>
        <w:fldChar w:fldCharType="begin"/>
      </w:r>
      <w:r>
        <w:instrText xml:space="preserve"> DOCPROPERTY  LeadOfficerEmail  \* MERGEFORMAT </w:instrText>
      </w:r>
      <w:r>
        <w:fldChar w:fldCharType="separate"/>
      </w:r>
      <w:r>
        <w:t>rachel.tanner@lancashire.gov.uk</w:t>
      </w:r>
      <w:r>
        <w:fldChar w:fldCharType="end"/>
      </w:r>
    </w:p>
    <w:p w:rsidR="009029B0" w:rsidRDefault="009029B0" w:rsidP="009029B0">
      <w:pPr>
        <w:ind w:left="709" w:hanging="709"/>
      </w:pPr>
    </w:p>
    <w:p w:rsidR="009029B0" w:rsidRDefault="009029B0" w:rsidP="009029B0"/>
    <w:p w:rsidR="009029B0" w:rsidRPr="0011061B" w:rsidRDefault="009029B0" w:rsidP="009029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029B0" w:rsidTr="00D00A8C">
        <w:tc>
          <w:tcPr>
            <w:tcW w:w="9180" w:type="dxa"/>
          </w:tcPr>
          <w:p w:rsidR="009029B0" w:rsidRDefault="009029B0" w:rsidP="00D00A8C"/>
          <w:p w:rsidR="009029B0" w:rsidRDefault="009029B0" w:rsidP="00D00A8C">
            <w:pPr>
              <w:pStyle w:val="Heading5"/>
              <w:rPr>
                <w:rFonts w:ascii="Arial" w:hAnsi="Arial"/>
                <w:u w:val="none"/>
              </w:rPr>
            </w:pPr>
            <w:r>
              <w:rPr>
                <w:rFonts w:ascii="Arial" w:hAnsi="Arial"/>
                <w:u w:val="none"/>
              </w:rPr>
              <w:t>Recommendation</w:t>
            </w:r>
          </w:p>
          <w:p w:rsidR="009029B0" w:rsidRDefault="009029B0" w:rsidP="00D00A8C"/>
          <w:p w:rsidR="009029B0" w:rsidRDefault="009029B0" w:rsidP="00D00A8C">
            <w:r>
              <w:t>The Cabinet Member for Highways and Transport is asked to approve the commencement of the procurement exercises as set out in Appendix 'A' of this report in respect of:</w:t>
            </w:r>
          </w:p>
          <w:p w:rsidR="009029B0" w:rsidRDefault="009029B0" w:rsidP="00D00A8C"/>
          <w:p w:rsidR="009029B0" w:rsidRDefault="009029B0" w:rsidP="009029B0">
            <w:pPr>
              <w:numPr>
                <w:ilvl w:val="0"/>
                <w:numId w:val="2"/>
              </w:numPr>
            </w:pPr>
            <w:r>
              <w:t>The Refurbishment of Greyhound Bridge, and</w:t>
            </w:r>
          </w:p>
          <w:p w:rsidR="009029B0" w:rsidRDefault="009029B0" w:rsidP="009029B0">
            <w:pPr>
              <w:numPr>
                <w:ilvl w:val="0"/>
                <w:numId w:val="2"/>
              </w:numPr>
            </w:pPr>
            <w:r>
              <w:t>The Supply, Installation and Management of Electric Vehicle Charging Points.</w:t>
            </w:r>
          </w:p>
          <w:p w:rsidR="009029B0" w:rsidRDefault="009029B0" w:rsidP="00D00A8C"/>
          <w:p w:rsidR="009029B0" w:rsidRDefault="009029B0" w:rsidP="00D00A8C">
            <w:r>
              <w:t>The Cabinet Member for Adult and Community Services is asked to approve the commencement of the procurement exercises as set out in Appendix 'A' of this report in respect of:</w:t>
            </w:r>
          </w:p>
          <w:p w:rsidR="009029B0" w:rsidRDefault="009029B0" w:rsidP="00D00A8C"/>
          <w:p w:rsidR="009029B0" w:rsidRDefault="009029B0" w:rsidP="009029B0">
            <w:pPr>
              <w:numPr>
                <w:ilvl w:val="0"/>
                <w:numId w:val="2"/>
              </w:numPr>
            </w:pPr>
            <w:r>
              <w:t>The Provision of Hospital Aftercare Services</w:t>
            </w:r>
          </w:p>
          <w:p w:rsidR="009029B0" w:rsidRDefault="009029B0" w:rsidP="00D00A8C"/>
          <w:p w:rsidR="009029B0" w:rsidRDefault="009029B0" w:rsidP="00D00A8C">
            <w:r>
              <w:t>The Cabinet Member for Health and Wellbeing is asked to approve the commencement of the procurement exercises as set out in Appendix 'A' of this report in respect of:</w:t>
            </w:r>
          </w:p>
          <w:p w:rsidR="009029B0" w:rsidRDefault="009029B0" w:rsidP="00D00A8C"/>
          <w:p w:rsidR="009029B0" w:rsidRDefault="009029B0" w:rsidP="009029B0">
            <w:pPr>
              <w:numPr>
                <w:ilvl w:val="0"/>
                <w:numId w:val="2"/>
              </w:numPr>
            </w:pPr>
            <w:r w:rsidRPr="003F34F1">
              <w:t>The Provision of North and Central Lancashire Recovery Oriented Adult Substance Misuse Services</w:t>
            </w:r>
          </w:p>
          <w:p w:rsidR="009029B0" w:rsidRDefault="009029B0" w:rsidP="00D00A8C"/>
          <w:p w:rsidR="009029B0" w:rsidRDefault="009029B0" w:rsidP="00D00A8C">
            <w:r>
              <w:t>The Cabinet Member for Environment, Planning and Cultural Services is asked to approve the commencement of the procurement exercises as set out in Appendix 'A' of this report in respect of:</w:t>
            </w:r>
          </w:p>
          <w:p w:rsidR="009029B0" w:rsidRDefault="009029B0" w:rsidP="00D00A8C"/>
          <w:p w:rsidR="009029B0" w:rsidRDefault="009029B0" w:rsidP="009029B0">
            <w:pPr>
              <w:numPr>
                <w:ilvl w:val="0"/>
                <w:numId w:val="2"/>
              </w:numPr>
            </w:pPr>
            <w:r w:rsidRPr="003F34F1">
              <w:t>The Provision of Services for the Acceptance and Composting of Green Waste Arising in the East of the Administrative County of Lancashire</w:t>
            </w:r>
            <w:r>
              <w:t>, and</w:t>
            </w:r>
          </w:p>
          <w:p w:rsidR="009029B0" w:rsidRDefault="009029B0" w:rsidP="009029B0">
            <w:pPr>
              <w:numPr>
                <w:ilvl w:val="0"/>
                <w:numId w:val="2"/>
              </w:numPr>
            </w:pPr>
            <w:r>
              <w:t xml:space="preserve"> </w:t>
            </w:r>
            <w:r w:rsidRPr="003F34F1">
              <w:t>A Multi-provider Framework for the Acceptance and Recovery/Disposal of Residual Waste Arising in the Administrative County of Lancashire and Blackpool</w:t>
            </w:r>
            <w:r>
              <w:t>.</w:t>
            </w:r>
          </w:p>
          <w:p w:rsidR="009029B0" w:rsidRDefault="009029B0" w:rsidP="00D00A8C"/>
        </w:tc>
      </w:tr>
    </w:tbl>
    <w:p w:rsidR="009029B0" w:rsidRDefault="009029B0" w:rsidP="009029B0">
      <w:pPr>
        <w:rPr>
          <w:b/>
        </w:rPr>
      </w:pPr>
    </w:p>
    <w:p w:rsidR="009029B0" w:rsidRDefault="009029B0" w:rsidP="009029B0">
      <w:pPr>
        <w:rPr>
          <w:b/>
        </w:rPr>
      </w:pPr>
    </w:p>
    <w:p w:rsidR="009029B0" w:rsidRDefault="009029B0" w:rsidP="009029B0">
      <w:pPr>
        <w:rPr>
          <w:b/>
        </w:rPr>
      </w:pPr>
      <w:r>
        <w:rPr>
          <w:b/>
        </w:rPr>
        <w:t xml:space="preserve">Background and Advice </w:t>
      </w:r>
    </w:p>
    <w:p w:rsidR="009029B0" w:rsidRDefault="009029B0" w:rsidP="009029B0">
      <w:pPr>
        <w:rPr>
          <w:b/>
        </w:rPr>
      </w:pPr>
    </w:p>
    <w:p w:rsidR="009029B0" w:rsidRDefault="009029B0" w:rsidP="009029B0">
      <w:pPr>
        <w:jc w:val="both"/>
      </w:pPr>
      <w:r>
        <w:t>In July 2016, Full Council approved an amendment to the approval process for procurement exercises which are deemed to be Key Decisions in order to enhance the transparency and efficiency of decision making.</w:t>
      </w:r>
    </w:p>
    <w:p w:rsidR="009029B0" w:rsidRDefault="009029B0" w:rsidP="009029B0">
      <w:pPr>
        <w:jc w:val="both"/>
      </w:pPr>
    </w:p>
    <w:p w:rsidR="009029B0" w:rsidRDefault="009029B0" w:rsidP="009029B0">
      <w:pPr>
        <w:jc w:val="both"/>
      </w:pPr>
      <w:r>
        <w:t>In line with the approved procurement rules, approval is required from the appropriate Cabinet Member to commence the six procurement exercises detailed in Appendix 'A' of this report, which are deemed to be Key Decisions.</w:t>
      </w:r>
    </w:p>
    <w:p w:rsidR="009029B0" w:rsidRDefault="009029B0" w:rsidP="009029B0">
      <w:pPr>
        <w:jc w:val="both"/>
      </w:pPr>
    </w:p>
    <w:p w:rsidR="009029B0" w:rsidRDefault="009029B0" w:rsidP="009029B0">
      <w:pPr>
        <w:jc w:val="both"/>
      </w:pPr>
      <w:r>
        <w:t>Appendix 'A' of this report sets out the details of the individual procurement exercises, and the basis upon which it is proposed to carry out the processes including:</w:t>
      </w:r>
    </w:p>
    <w:p w:rsidR="009029B0" w:rsidRDefault="009029B0" w:rsidP="009029B0">
      <w:pPr>
        <w:jc w:val="both"/>
      </w:pPr>
    </w:p>
    <w:p w:rsidR="009029B0" w:rsidRDefault="009029B0" w:rsidP="009029B0">
      <w:pPr>
        <w:jc w:val="both"/>
      </w:pPr>
      <w:bookmarkStart w:id="0" w:name="_GoBack"/>
      <w:bookmarkEnd w:id="0"/>
    </w:p>
    <w:p w:rsidR="009029B0" w:rsidRDefault="009029B0" w:rsidP="009029B0">
      <w:pPr>
        <w:numPr>
          <w:ilvl w:val="0"/>
          <w:numId w:val="3"/>
        </w:numPr>
        <w:jc w:val="both"/>
      </w:pPr>
      <w:r>
        <w:lastRenderedPageBreak/>
        <w:t>the description of the service being procured;</w:t>
      </w:r>
    </w:p>
    <w:p w:rsidR="009029B0" w:rsidRDefault="009029B0" w:rsidP="009029B0">
      <w:pPr>
        <w:numPr>
          <w:ilvl w:val="0"/>
          <w:numId w:val="3"/>
        </w:numPr>
        <w:jc w:val="both"/>
      </w:pPr>
      <w:r>
        <w:t>the estimated annual contract value and the funding position;</w:t>
      </w:r>
    </w:p>
    <w:p w:rsidR="009029B0" w:rsidRDefault="009029B0" w:rsidP="009029B0">
      <w:pPr>
        <w:numPr>
          <w:ilvl w:val="0"/>
          <w:numId w:val="3"/>
        </w:numPr>
        <w:jc w:val="both"/>
      </w:pPr>
      <w:r>
        <w:t>the contract duration and;</w:t>
      </w:r>
    </w:p>
    <w:p w:rsidR="009029B0" w:rsidRDefault="009029B0" w:rsidP="009029B0">
      <w:pPr>
        <w:numPr>
          <w:ilvl w:val="0"/>
          <w:numId w:val="3"/>
        </w:numPr>
        <w:jc w:val="both"/>
      </w:pPr>
      <w:proofErr w:type="gramStart"/>
      <w:r>
        <w:t>the</w:t>
      </w:r>
      <w:proofErr w:type="gramEnd"/>
      <w:r>
        <w:t xml:space="preserve"> proposed basis for the evaluation of the tender submissions received.</w:t>
      </w:r>
    </w:p>
    <w:p w:rsidR="009029B0" w:rsidRDefault="009029B0" w:rsidP="009029B0">
      <w:pPr>
        <w:jc w:val="both"/>
      </w:pPr>
    </w:p>
    <w:p w:rsidR="009029B0" w:rsidRDefault="009029B0" w:rsidP="009029B0">
      <w:pPr>
        <w:jc w:val="both"/>
      </w:pPr>
      <w:r w:rsidRPr="0003751A">
        <w:t>Where</w:t>
      </w:r>
      <w:r>
        <w:t xml:space="preserve"> approval has been received from the Cabinet Member to undertake a tender process which is deemed to be a Key Decision, the subsequent award of the Contract on the satisfactory completion of the tender exercise shall not be deemed a Key Decision and can be approved by the relevant Head of Service or Director.</w:t>
      </w:r>
    </w:p>
    <w:p w:rsidR="009029B0" w:rsidRDefault="009029B0" w:rsidP="009029B0">
      <w:pPr>
        <w:jc w:val="both"/>
      </w:pPr>
    </w:p>
    <w:p w:rsidR="009029B0" w:rsidRDefault="009029B0" w:rsidP="009029B0">
      <w:pPr>
        <w:jc w:val="both"/>
      </w:pPr>
      <w:r>
        <w:t xml:space="preserve">On the conclusion of the procurement exercises, the details of the contract awards will be reported to Cabinet on a monthly basis and recorded on the Scheme of Delegation recording system, in accordance with the council's procurement rules. </w:t>
      </w:r>
    </w:p>
    <w:p w:rsidR="009029B0" w:rsidRDefault="009029B0" w:rsidP="009029B0">
      <w:pPr>
        <w:jc w:val="both"/>
      </w:pPr>
    </w:p>
    <w:p w:rsidR="009029B0" w:rsidRDefault="009029B0" w:rsidP="009029B0">
      <w:pPr>
        <w:rPr>
          <w:b/>
        </w:rPr>
      </w:pPr>
      <w:r>
        <w:rPr>
          <w:b/>
        </w:rPr>
        <w:t>Consultations</w:t>
      </w:r>
    </w:p>
    <w:p w:rsidR="009029B0" w:rsidRDefault="009029B0" w:rsidP="009029B0">
      <w:pPr>
        <w:rPr>
          <w:b/>
        </w:rPr>
      </w:pPr>
    </w:p>
    <w:p w:rsidR="009029B0" w:rsidRDefault="009029B0" w:rsidP="009029B0">
      <w:pPr>
        <w:jc w:val="both"/>
        <w:rPr>
          <w:b/>
        </w:rPr>
      </w:pPr>
      <w:r>
        <w:t>Relevant Heads of Service and key operational staff have been consulted in drawing up the proposals to undertake the procurement exercises included within this report.</w:t>
      </w:r>
    </w:p>
    <w:p w:rsidR="009029B0" w:rsidRDefault="009029B0" w:rsidP="009029B0">
      <w:pPr>
        <w:rPr>
          <w:b/>
        </w:rPr>
      </w:pPr>
    </w:p>
    <w:p w:rsidR="009029B0" w:rsidRDefault="009029B0" w:rsidP="009029B0">
      <w:r>
        <w:rPr>
          <w:b/>
        </w:rPr>
        <w:t>Implications</w:t>
      </w:r>
      <w:r>
        <w:t xml:space="preserve">: </w:t>
      </w:r>
    </w:p>
    <w:p w:rsidR="009029B0" w:rsidRDefault="009029B0" w:rsidP="009029B0"/>
    <w:p w:rsidR="009029B0" w:rsidRDefault="009029B0" w:rsidP="009029B0">
      <w:r>
        <w:t>This item has the following implications, as indicated:</w:t>
      </w:r>
    </w:p>
    <w:p w:rsidR="009029B0" w:rsidRDefault="009029B0" w:rsidP="009029B0"/>
    <w:p w:rsidR="009029B0" w:rsidRDefault="009029B0" w:rsidP="009029B0">
      <w:pPr>
        <w:rPr>
          <w:b/>
        </w:rPr>
      </w:pPr>
      <w:r w:rsidRPr="00092B2F">
        <w:rPr>
          <w:b/>
        </w:rPr>
        <w:t>Risk management</w:t>
      </w:r>
    </w:p>
    <w:p w:rsidR="009029B0" w:rsidRDefault="009029B0" w:rsidP="009029B0">
      <w:pPr>
        <w:rPr>
          <w:b/>
        </w:rPr>
      </w:pPr>
    </w:p>
    <w:p w:rsidR="009029B0" w:rsidRPr="00092B2F" w:rsidRDefault="009029B0" w:rsidP="009029B0">
      <w:pPr>
        <w:rPr>
          <w:b/>
        </w:rPr>
      </w:pPr>
      <w:r>
        <w:rPr>
          <w:b/>
        </w:rPr>
        <w:t>Legal/Procurement</w:t>
      </w:r>
    </w:p>
    <w:p w:rsidR="009029B0" w:rsidRDefault="009029B0" w:rsidP="009029B0"/>
    <w:p w:rsidR="009029B0" w:rsidRDefault="009029B0" w:rsidP="009029B0">
      <w:pPr>
        <w:pStyle w:val="Header"/>
        <w:jc w:val="both"/>
      </w:pPr>
      <w:r>
        <w:t>Failure to take steps to lawfully procure new contracts and, where relevant, continuing with the current arrangements would contravene the council's procurement rules and the Public Contracts Regulations 2015, or in the case of the Electrical Vehicle Charging Points the Concession Contracts Regulations 2016, exposing the county council to an increased risk of legal challenge. Furthermore, failure to award the contracts may result in the county council facing difficulty in delivering these services.</w:t>
      </w:r>
    </w:p>
    <w:p w:rsidR="009029B0" w:rsidRDefault="009029B0" w:rsidP="009029B0">
      <w:pPr>
        <w:pStyle w:val="Header"/>
      </w:pPr>
    </w:p>
    <w:p w:rsidR="009029B0" w:rsidRDefault="009029B0" w:rsidP="009029B0">
      <w:pPr>
        <w:pStyle w:val="Header"/>
      </w:pPr>
    </w:p>
    <w:p w:rsidR="009029B0" w:rsidRDefault="009029B0" w:rsidP="009029B0">
      <w:pPr>
        <w:pStyle w:val="Header"/>
      </w:pPr>
    </w:p>
    <w:p w:rsidR="009029B0" w:rsidRDefault="009029B0" w:rsidP="009029B0">
      <w:pPr>
        <w:pStyle w:val="Heading5"/>
        <w:rPr>
          <w:rFonts w:ascii="Arial" w:hAnsi="Arial"/>
          <w:u w:val="none"/>
        </w:rPr>
      </w:pPr>
      <w:r>
        <w:rPr>
          <w:rFonts w:ascii="Arial" w:hAnsi="Arial"/>
          <w:u w:val="none"/>
        </w:rPr>
        <w:t>List of Background Papers</w:t>
      </w:r>
    </w:p>
    <w:p w:rsidR="009029B0" w:rsidRDefault="009029B0" w:rsidP="009029B0"/>
    <w:tbl>
      <w:tblPr>
        <w:tblW w:w="0" w:type="auto"/>
        <w:tblLayout w:type="fixed"/>
        <w:tblLook w:val="000C" w:firstRow="0" w:lastRow="0" w:firstColumn="0" w:lastColumn="0" w:noHBand="0" w:noVBand="0"/>
      </w:tblPr>
      <w:tblGrid>
        <w:gridCol w:w="3510"/>
        <w:gridCol w:w="2492"/>
        <w:gridCol w:w="3178"/>
      </w:tblGrid>
      <w:tr w:rsidR="009029B0" w:rsidTr="00D00A8C">
        <w:tc>
          <w:tcPr>
            <w:tcW w:w="3510" w:type="dxa"/>
          </w:tcPr>
          <w:p w:rsidR="009029B0" w:rsidRDefault="009029B0" w:rsidP="00D00A8C">
            <w:pPr>
              <w:pStyle w:val="Heading7"/>
              <w:rPr>
                <w:rFonts w:ascii="Arial" w:hAnsi="Arial"/>
                <w:u w:val="none"/>
              </w:rPr>
            </w:pPr>
            <w:r>
              <w:rPr>
                <w:rFonts w:ascii="Arial" w:hAnsi="Arial"/>
                <w:u w:val="none"/>
              </w:rPr>
              <w:t>Paper</w:t>
            </w:r>
          </w:p>
        </w:tc>
        <w:tc>
          <w:tcPr>
            <w:tcW w:w="2492" w:type="dxa"/>
          </w:tcPr>
          <w:p w:rsidR="009029B0" w:rsidRDefault="009029B0" w:rsidP="00D00A8C">
            <w:pPr>
              <w:pStyle w:val="Heading7"/>
              <w:rPr>
                <w:rFonts w:ascii="Arial" w:hAnsi="Arial"/>
                <w:u w:val="none"/>
              </w:rPr>
            </w:pPr>
            <w:r>
              <w:rPr>
                <w:rFonts w:ascii="Arial" w:hAnsi="Arial"/>
                <w:u w:val="none"/>
              </w:rPr>
              <w:t>Date</w:t>
            </w:r>
          </w:p>
        </w:tc>
        <w:tc>
          <w:tcPr>
            <w:tcW w:w="3178" w:type="dxa"/>
          </w:tcPr>
          <w:p w:rsidR="009029B0" w:rsidRDefault="009029B0" w:rsidP="00D00A8C">
            <w:pPr>
              <w:pStyle w:val="Heading7"/>
              <w:rPr>
                <w:rFonts w:ascii="Arial" w:hAnsi="Arial"/>
                <w:u w:val="none"/>
              </w:rPr>
            </w:pPr>
            <w:r>
              <w:rPr>
                <w:rFonts w:ascii="Arial" w:hAnsi="Arial"/>
                <w:u w:val="none"/>
              </w:rPr>
              <w:t>Contact/Tel</w:t>
            </w:r>
          </w:p>
        </w:tc>
      </w:tr>
      <w:tr w:rsidR="009029B0" w:rsidTr="00D00A8C">
        <w:tc>
          <w:tcPr>
            <w:tcW w:w="3510" w:type="dxa"/>
          </w:tcPr>
          <w:p w:rsidR="009029B0" w:rsidRDefault="009029B0" w:rsidP="00D00A8C"/>
          <w:p w:rsidR="009029B0" w:rsidRDefault="009029B0" w:rsidP="00D00A8C">
            <w:r>
              <w:t>Procurement Rules</w:t>
            </w:r>
          </w:p>
        </w:tc>
        <w:tc>
          <w:tcPr>
            <w:tcW w:w="2492" w:type="dxa"/>
          </w:tcPr>
          <w:p w:rsidR="009029B0" w:rsidRDefault="009029B0" w:rsidP="00D00A8C">
            <w:pPr>
              <w:pStyle w:val="Heading7"/>
              <w:rPr>
                <w:rFonts w:ascii="Arial" w:hAnsi="Arial"/>
                <w:u w:val="none"/>
              </w:rPr>
            </w:pPr>
          </w:p>
          <w:p w:rsidR="009029B0" w:rsidRDefault="009029B0" w:rsidP="00D00A8C">
            <w:r>
              <w:t>July 2016</w:t>
            </w:r>
          </w:p>
        </w:tc>
        <w:tc>
          <w:tcPr>
            <w:tcW w:w="3178" w:type="dxa"/>
          </w:tcPr>
          <w:p w:rsidR="009029B0" w:rsidRDefault="009029B0" w:rsidP="00D00A8C"/>
          <w:p w:rsidR="009029B0" w:rsidRDefault="009029B0" w:rsidP="00D00A8C">
            <w:r>
              <w:t>Rachel Tanner (01772 534904)</w:t>
            </w:r>
          </w:p>
        </w:tc>
      </w:tr>
      <w:tr w:rsidR="009029B0" w:rsidTr="00D00A8C">
        <w:trPr>
          <w:cantSplit/>
        </w:trPr>
        <w:tc>
          <w:tcPr>
            <w:tcW w:w="9180" w:type="dxa"/>
            <w:gridSpan w:val="3"/>
          </w:tcPr>
          <w:p w:rsidR="009029B0" w:rsidRDefault="009029B0" w:rsidP="00D00A8C"/>
          <w:p w:rsidR="009029B0" w:rsidRDefault="009029B0" w:rsidP="00D00A8C">
            <w:r>
              <w:t>Reason for inclusion in Part II, if appropriate</w:t>
            </w:r>
          </w:p>
          <w:p w:rsidR="009029B0" w:rsidRDefault="009029B0" w:rsidP="00D00A8C"/>
          <w:p w:rsidR="009029B0" w:rsidRDefault="009029B0" w:rsidP="00D00A8C">
            <w:r>
              <w:t>N/A</w:t>
            </w:r>
          </w:p>
          <w:p w:rsidR="009029B0" w:rsidRDefault="009029B0" w:rsidP="00D00A8C"/>
        </w:tc>
      </w:tr>
    </w:tbl>
    <w:p w:rsidR="009029B0" w:rsidRDefault="009029B0" w:rsidP="009029B0"/>
    <w:p w:rsidR="009461CC" w:rsidRDefault="009461CC" w:rsidP="009029B0"/>
    <w:sectPr w:rsidR="009461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029D8"/>
    <w:multiLevelType w:val="hybridMultilevel"/>
    <w:tmpl w:val="1D7EF1D4"/>
    <w:lvl w:ilvl="0" w:tplc="FFFFFFFF">
      <w:start w:val="1"/>
      <w:numFmt w:val="lowerRoman"/>
      <w:lvlText w:val="(%1)"/>
      <w:lvlJc w:val="left"/>
      <w:pPr>
        <w:ind w:left="780" w:hanging="720"/>
      </w:pPr>
      <w:rPr>
        <w:rFonts w:hint="default"/>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1" w15:restartNumberingAfterBreak="0">
    <w:nsid w:val="03173829"/>
    <w:multiLevelType w:val="hybridMultilevel"/>
    <w:tmpl w:val="3430937E"/>
    <w:lvl w:ilvl="0" w:tplc="FFFFFFFF">
      <w:start w:val="1"/>
      <w:numFmt w:val="lowerRoman"/>
      <w:lvlText w:val="(%1)"/>
      <w:lvlJc w:val="left"/>
      <w:pPr>
        <w:ind w:left="720" w:hanging="72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05720AC0"/>
    <w:multiLevelType w:val="hybridMultilevel"/>
    <w:tmpl w:val="310AD4C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9B0"/>
    <w:rsid w:val="009029B0"/>
    <w:rsid w:val="009461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8096365-A0D3-4C89-98B5-895A421A6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9B0"/>
    <w:pPr>
      <w:spacing w:after="0" w:line="240" w:lineRule="auto"/>
    </w:pPr>
    <w:rPr>
      <w:rFonts w:ascii="Arial" w:eastAsia="Times New Roman" w:hAnsi="Arial" w:cs="Times New Roman"/>
      <w:sz w:val="24"/>
      <w:szCs w:val="20"/>
      <w:lang w:eastAsia="en-GB"/>
    </w:rPr>
  </w:style>
  <w:style w:type="paragraph" w:styleId="Heading5">
    <w:name w:val="heading 5"/>
    <w:basedOn w:val="Normal"/>
    <w:next w:val="Normal"/>
    <w:link w:val="Heading5Char"/>
    <w:qFormat/>
    <w:rsid w:val="009029B0"/>
    <w:pPr>
      <w:keepNext/>
      <w:outlineLvl w:val="4"/>
    </w:pPr>
    <w:rPr>
      <w:rFonts w:ascii="Univers" w:hAnsi="Univers"/>
      <w:b/>
      <w:u w:val="single"/>
    </w:rPr>
  </w:style>
  <w:style w:type="paragraph" w:styleId="Heading6">
    <w:name w:val="heading 6"/>
    <w:basedOn w:val="Normal"/>
    <w:next w:val="Normal"/>
    <w:link w:val="Heading6Char"/>
    <w:qFormat/>
    <w:rsid w:val="009029B0"/>
    <w:pPr>
      <w:keepNext/>
      <w:outlineLvl w:val="5"/>
    </w:pPr>
    <w:rPr>
      <w:rFonts w:ascii="Univers" w:hAnsi="Univers"/>
      <w:b/>
    </w:rPr>
  </w:style>
  <w:style w:type="paragraph" w:styleId="Heading7">
    <w:name w:val="heading 7"/>
    <w:basedOn w:val="Normal"/>
    <w:next w:val="Normal"/>
    <w:link w:val="Heading7Char"/>
    <w:qFormat/>
    <w:rsid w:val="009029B0"/>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029B0"/>
    <w:rPr>
      <w:rFonts w:ascii="Univers" w:eastAsia="Times New Roman" w:hAnsi="Univers" w:cs="Times New Roman"/>
      <w:b/>
      <w:sz w:val="24"/>
      <w:szCs w:val="20"/>
      <w:u w:val="single"/>
      <w:lang w:eastAsia="en-GB"/>
    </w:rPr>
  </w:style>
  <w:style w:type="character" w:customStyle="1" w:styleId="Heading6Char">
    <w:name w:val="Heading 6 Char"/>
    <w:basedOn w:val="DefaultParagraphFont"/>
    <w:link w:val="Heading6"/>
    <w:rsid w:val="009029B0"/>
    <w:rPr>
      <w:rFonts w:ascii="Univers" w:eastAsia="Times New Roman" w:hAnsi="Univers" w:cs="Times New Roman"/>
      <w:b/>
      <w:sz w:val="24"/>
      <w:szCs w:val="20"/>
      <w:lang w:eastAsia="en-GB"/>
    </w:rPr>
  </w:style>
  <w:style w:type="character" w:customStyle="1" w:styleId="Heading7Char">
    <w:name w:val="Heading 7 Char"/>
    <w:basedOn w:val="DefaultParagraphFont"/>
    <w:link w:val="Heading7"/>
    <w:rsid w:val="009029B0"/>
    <w:rPr>
      <w:rFonts w:ascii="Univers" w:eastAsia="Times New Roman" w:hAnsi="Univers" w:cs="Times New Roman"/>
      <w:sz w:val="24"/>
      <w:szCs w:val="20"/>
      <w:u w:val="single"/>
      <w:lang w:eastAsia="en-GB"/>
    </w:rPr>
  </w:style>
  <w:style w:type="paragraph" w:styleId="Header">
    <w:name w:val="header"/>
    <w:basedOn w:val="Normal"/>
    <w:link w:val="HeaderChar"/>
    <w:uiPriority w:val="99"/>
    <w:rsid w:val="009029B0"/>
  </w:style>
  <w:style w:type="character" w:customStyle="1" w:styleId="HeaderChar">
    <w:name w:val="Header Char"/>
    <w:basedOn w:val="DefaultParagraphFont"/>
    <w:link w:val="Header"/>
    <w:uiPriority w:val="99"/>
    <w:rsid w:val="009029B0"/>
    <w:rPr>
      <w:rFonts w:ascii="Arial" w:eastAsia="Times New Roman" w:hAnsi="Arial" w:cs="Times New Roman"/>
      <w:sz w:val="24"/>
      <w:szCs w:val="20"/>
      <w:lang w:eastAsia="en-GB"/>
    </w:rPr>
  </w:style>
  <w:style w:type="paragraph" w:styleId="BodyText">
    <w:name w:val="Body Text"/>
    <w:basedOn w:val="Normal"/>
    <w:link w:val="BodyTextChar"/>
    <w:rsid w:val="009029B0"/>
  </w:style>
  <w:style w:type="character" w:customStyle="1" w:styleId="BodyTextChar">
    <w:name w:val="Body Text Char"/>
    <w:basedOn w:val="DefaultParagraphFont"/>
    <w:link w:val="BodyText"/>
    <w:rsid w:val="009029B0"/>
    <w:rPr>
      <w:rFonts w:ascii="Arial" w:eastAsia="Times New Roman" w:hAnsi="Arial" w:cs="Times New Roman"/>
      <w:sz w:val="24"/>
      <w:szCs w:val="20"/>
      <w:lang w:eastAsia="en-GB"/>
    </w:rPr>
  </w:style>
  <w:style w:type="paragraph" w:styleId="ListParagraph">
    <w:name w:val="List Paragraph"/>
    <w:basedOn w:val="Normal"/>
    <w:link w:val="ListParagraphChar"/>
    <w:uiPriority w:val="34"/>
    <w:qFormat/>
    <w:rsid w:val="009029B0"/>
    <w:pPr>
      <w:ind w:left="720"/>
    </w:pPr>
  </w:style>
  <w:style w:type="character" w:customStyle="1" w:styleId="ListParagraphChar">
    <w:name w:val="List Paragraph Char"/>
    <w:link w:val="ListParagraph"/>
    <w:uiPriority w:val="34"/>
    <w:locked/>
    <w:rsid w:val="009029B0"/>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Tween, Holly</dc:creator>
  <cp:keywords/>
  <dc:description/>
  <cp:lastModifiedBy>Tween, Holly</cp:lastModifiedBy>
  <cp:revision>1</cp:revision>
  <dcterms:created xsi:type="dcterms:W3CDTF">2017-02-22T12:36:00Z</dcterms:created>
  <dcterms:modified xsi:type="dcterms:W3CDTF">2017-02-22T12:37:00Z</dcterms:modified>
</cp:coreProperties>
</file>