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4C3F4B" w14:textId="77777777" w:rsidR="00FD4CD2" w:rsidRPr="00963B8C" w:rsidRDefault="00583C67" w:rsidP="00FD4CD2">
      <w:pPr>
        <w:rPr>
          <w:rFonts w:cs="Arial"/>
          <w:b/>
          <w:szCs w:val="24"/>
        </w:rPr>
      </w:pPr>
      <w:r w:rsidRPr="00963B8C">
        <w:rPr>
          <w:rFonts w:cs="Arial"/>
          <w:b/>
          <w:szCs w:val="24"/>
        </w:rPr>
        <w:t>Report to the Cabinet</w:t>
      </w:r>
    </w:p>
    <w:p w14:paraId="5924D1C6" w14:textId="77777777" w:rsidR="00FD4CD2" w:rsidRPr="00963B8C" w:rsidRDefault="00583C67" w:rsidP="00FD4CD2">
      <w:pPr>
        <w:rPr>
          <w:rFonts w:cs="Arial"/>
          <w:szCs w:val="24"/>
        </w:rPr>
      </w:pPr>
      <w:r w:rsidRPr="00963B8C">
        <w:rPr>
          <w:rFonts w:cs="Arial"/>
          <w:szCs w:val="24"/>
        </w:rPr>
        <w:t xml:space="preserve">Meeting to be held on </w:t>
      </w:r>
      <w:r w:rsidR="003B734A" w:rsidRPr="00963B8C">
        <w:rPr>
          <w:rFonts w:cs="Arial"/>
          <w:szCs w:val="24"/>
        </w:rPr>
        <w:fldChar w:fldCharType="begin"/>
      </w:r>
      <w:r w:rsidR="003B734A" w:rsidRPr="00963B8C">
        <w:rPr>
          <w:rFonts w:cs="Arial"/>
          <w:szCs w:val="24"/>
        </w:rPr>
        <w:instrText xml:space="preserve"> DOCPROPERTY  MeetingDate  \* MERGEFORMAT </w:instrText>
      </w:r>
      <w:r w:rsidR="003B734A" w:rsidRPr="00963B8C">
        <w:rPr>
          <w:rFonts w:cs="Arial"/>
          <w:szCs w:val="24"/>
        </w:rPr>
        <w:fldChar w:fldCharType="separate"/>
      </w:r>
      <w:r w:rsidRPr="00963B8C">
        <w:rPr>
          <w:rFonts w:cs="Arial"/>
          <w:szCs w:val="24"/>
        </w:rPr>
        <w:t>Thursday, 18th January 2018</w:t>
      </w:r>
      <w:r w:rsidR="003B734A" w:rsidRPr="00963B8C">
        <w:rPr>
          <w:rFonts w:cs="Arial"/>
          <w:szCs w:val="24"/>
        </w:rPr>
        <w:fldChar w:fldCharType="end"/>
      </w:r>
    </w:p>
    <w:p w14:paraId="7490753D" w14:textId="77777777" w:rsidR="00FD4CD2" w:rsidRPr="00963B8C" w:rsidRDefault="00CB14F0" w:rsidP="00FD4CD2">
      <w:pPr>
        <w:rPr>
          <w:rFonts w:cs="Arial"/>
          <w:szCs w:val="24"/>
        </w:rPr>
      </w:pPr>
    </w:p>
    <w:p w14:paraId="64EE9CF8" w14:textId="4B1541E2" w:rsidR="00FD4CD2" w:rsidRPr="00963B8C" w:rsidRDefault="00583C67" w:rsidP="00FD4CD2">
      <w:pPr>
        <w:rPr>
          <w:rFonts w:cs="Arial"/>
          <w:b/>
          <w:szCs w:val="24"/>
        </w:rPr>
      </w:pPr>
      <w:r w:rsidRPr="00963B8C">
        <w:rPr>
          <w:rFonts w:cs="Arial"/>
          <w:b/>
          <w:szCs w:val="24"/>
        </w:rPr>
        <w:t>Report of the Head of Service Libraries, Museums, Culture and Registration Services</w:t>
      </w:r>
    </w:p>
    <w:p w14:paraId="3108C105" w14:textId="77777777" w:rsidR="00FD4CD2" w:rsidRPr="00963B8C" w:rsidRDefault="00CB14F0" w:rsidP="00FD4CD2">
      <w:pPr>
        <w:rPr>
          <w:rFonts w:cs="Arial"/>
          <w:szCs w:val="24"/>
        </w:rPr>
      </w:pPr>
    </w:p>
    <w:tbl>
      <w:tblPr>
        <w:tblW w:w="3402" w:type="dxa"/>
        <w:tblInd w:w="5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tblGrid>
      <w:tr w:rsidR="007B7D8B" w:rsidRPr="00963B8C" w14:paraId="3ABFD180" w14:textId="77777777" w:rsidTr="00DB1C0F">
        <w:tc>
          <w:tcPr>
            <w:tcW w:w="3402" w:type="dxa"/>
            <w:tcBorders>
              <w:bottom w:val="single" w:sz="4" w:space="0" w:color="auto"/>
            </w:tcBorders>
          </w:tcPr>
          <w:p w14:paraId="64917198" w14:textId="77777777" w:rsidR="00FD4CD2" w:rsidRPr="00963B8C" w:rsidRDefault="00583C67" w:rsidP="007F09CE">
            <w:pPr>
              <w:pStyle w:val="BodyText"/>
              <w:rPr>
                <w:rFonts w:cs="Arial"/>
                <w:b/>
                <w:szCs w:val="24"/>
              </w:rPr>
            </w:pPr>
            <w:r w:rsidRPr="00963B8C">
              <w:rPr>
                <w:rFonts w:cs="Arial"/>
                <w:b/>
                <w:szCs w:val="24"/>
              </w:rPr>
              <w:fldChar w:fldCharType="begin"/>
            </w:r>
            <w:r w:rsidRPr="00963B8C">
              <w:rPr>
                <w:rFonts w:cs="Arial"/>
                <w:b/>
                <w:szCs w:val="24"/>
              </w:rPr>
              <w:instrText xml:space="preserve"> DOCPROPERTY  IssueExemptionClassTitle  \* MERGEFORMAT </w:instrText>
            </w:r>
            <w:r w:rsidRPr="00963B8C">
              <w:rPr>
                <w:rFonts w:cs="Arial"/>
                <w:b/>
                <w:szCs w:val="24"/>
              </w:rPr>
              <w:fldChar w:fldCharType="separate"/>
            </w:r>
            <w:r w:rsidRPr="00963B8C">
              <w:rPr>
                <w:rFonts w:cs="Arial"/>
                <w:b/>
                <w:szCs w:val="24"/>
              </w:rPr>
              <w:t>Part I</w:t>
            </w:r>
            <w:r w:rsidRPr="00963B8C">
              <w:rPr>
                <w:rFonts w:cs="Arial"/>
                <w:b/>
                <w:szCs w:val="24"/>
              </w:rPr>
              <w:fldChar w:fldCharType="end"/>
            </w:r>
          </w:p>
        </w:tc>
      </w:tr>
      <w:tr w:rsidR="007B7D8B" w:rsidRPr="00963B8C" w14:paraId="621FEFEF" w14:textId="77777777" w:rsidTr="00DB1C0F">
        <w:tc>
          <w:tcPr>
            <w:tcW w:w="3402" w:type="dxa"/>
            <w:tcBorders>
              <w:left w:val="nil"/>
              <w:right w:val="nil"/>
            </w:tcBorders>
          </w:tcPr>
          <w:p w14:paraId="6BD4E9F3" w14:textId="77777777" w:rsidR="00FD4CD2" w:rsidRPr="00963B8C" w:rsidRDefault="00CB14F0" w:rsidP="007F09CE">
            <w:pPr>
              <w:pStyle w:val="BodyText"/>
              <w:rPr>
                <w:rFonts w:cs="Arial"/>
                <w:szCs w:val="24"/>
              </w:rPr>
            </w:pPr>
          </w:p>
        </w:tc>
      </w:tr>
      <w:tr w:rsidR="007B7D8B" w:rsidRPr="00963B8C" w14:paraId="43538F92" w14:textId="77777777" w:rsidTr="00DB1C0F">
        <w:tc>
          <w:tcPr>
            <w:tcW w:w="3402" w:type="dxa"/>
          </w:tcPr>
          <w:p w14:paraId="7E4489F3" w14:textId="74B5F264" w:rsidR="00FD4CD2" w:rsidRPr="00963B8C" w:rsidRDefault="00583C67" w:rsidP="007F09CE">
            <w:pPr>
              <w:pStyle w:val="BodyText"/>
              <w:rPr>
                <w:rFonts w:cs="Arial"/>
                <w:szCs w:val="24"/>
              </w:rPr>
            </w:pPr>
            <w:r w:rsidRPr="00963B8C">
              <w:rPr>
                <w:rFonts w:cs="Arial"/>
                <w:szCs w:val="24"/>
              </w:rPr>
              <w:t>Electoral Division</w:t>
            </w:r>
            <w:r w:rsidR="00CB14F0">
              <w:rPr>
                <w:rFonts w:cs="Arial"/>
                <w:szCs w:val="24"/>
              </w:rPr>
              <w:t>s</w:t>
            </w:r>
            <w:r w:rsidRPr="00963B8C">
              <w:rPr>
                <w:rFonts w:cs="Arial"/>
                <w:szCs w:val="24"/>
              </w:rPr>
              <w:t xml:space="preserve"> affected:</w:t>
            </w:r>
          </w:p>
          <w:p w14:paraId="266D1F39" w14:textId="1DE89BCC" w:rsidR="00FD4CD2" w:rsidRPr="00963B8C" w:rsidRDefault="00CB14F0" w:rsidP="007F09CE">
            <w:pPr>
              <w:ind w:right="-250"/>
              <w:rPr>
                <w:rFonts w:cs="Arial"/>
                <w:szCs w:val="24"/>
              </w:rPr>
            </w:pPr>
            <w:r>
              <w:rPr>
                <w:rFonts w:cs="Arial"/>
                <w:szCs w:val="24"/>
              </w:rPr>
              <w:t>All</w:t>
            </w:r>
            <w:bookmarkStart w:id="0" w:name="_GoBack"/>
            <w:bookmarkEnd w:id="0"/>
          </w:p>
        </w:tc>
      </w:tr>
    </w:tbl>
    <w:p w14:paraId="5AA518C8" w14:textId="77777777" w:rsidR="00583C67" w:rsidRPr="00963B8C" w:rsidRDefault="00583C67" w:rsidP="00FD4CD2">
      <w:pPr>
        <w:rPr>
          <w:rFonts w:cs="Arial"/>
          <w:b/>
          <w:szCs w:val="24"/>
        </w:rPr>
      </w:pPr>
    </w:p>
    <w:p w14:paraId="0AB4A087" w14:textId="1002FC14" w:rsidR="00FD4CD2" w:rsidRPr="00963B8C" w:rsidRDefault="00583C67" w:rsidP="00FD4CD2">
      <w:pPr>
        <w:rPr>
          <w:rFonts w:cs="Arial"/>
          <w:b/>
          <w:szCs w:val="24"/>
        </w:rPr>
      </w:pPr>
      <w:r w:rsidRPr="00963B8C">
        <w:rPr>
          <w:rFonts w:cs="Arial"/>
          <w:b/>
          <w:szCs w:val="24"/>
        </w:rPr>
        <w:t xml:space="preserve">Libraries, Museums and Archive Fees and Charges </w:t>
      </w:r>
    </w:p>
    <w:p w14:paraId="7C73A971" w14:textId="66E9751C" w:rsidR="00187CE4" w:rsidRPr="00963B8C" w:rsidRDefault="00583C67" w:rsidP="00FD4CD2">
      <w:pPr>
        <w:ind w:left="709" w:hanging="709"/>
        <w:rPr>
          <w:rFonts w:cs="Arial"/>
          <w:szCs w:val="24"/>
        </w:rPr>
      </w:pPr>
      <w:r w:rsidRPr="00963B8C">
        <w:rPr>
          <w:rFonts w:cs="Arial"/>
          <w:szCs w:val="24"/>
        </w:rPr>
        <w:t xml:space="preserve">(Appendix </w:t>
      </w:r>
      <w:r w:rsidR="00FA142D" w:rsidRPr="00963B8C">
        <w:rPr>
          <w:rFonts w:cs="Arial"/>
          <w:szCs w:val="24"/>
        </w:rPr>
        <w:t>'</w:t>
      </w:r>
      <w:r w:rsidRPr="00963B8C">
        <w:rPr>
          <w:rFonts w:cs="Arial"/>
          <w:szCs w:val="24"/>
        </w:rPr>
        <w:t>A</w:t>
      </w:r>
      <w:r w:rsidR="00FA142D" w:rsidRPr="00963B8C">
        <w:rPr>
          <w:rFonts w:cs="Arial"/>
          <w:szCs w:val="24"/>
        </w:rPr>
        <w:t>'</w:t>
      </w:r>
      <w:r w:rsidRPr="00963B8C">
        <w:rPr>
          <w:rFonts w:cs="Arial"/>
          <w:szCs w:val="24"/>
        </w:rPr>
        <w:t xml:space="preserve"> refers) </w:t>
      </w:r>
    </w:p>
    <w:p w14:paraId="7C3843B1" w14:textId="77777777" w:rsidR="003B3748" w:rsidRPr="00963B8C" w:rsidRDefault="00CB14F0" w:rsidP="00FD4CD2">
      <w:pPr>
        <w:ind w:left="709" w:hanging="709"/>
        <w:rPr>
          <w:rFonts w:cs="Arial"/>
          <w:szCs w:val="24"/>
        </w:rPr>
      </w:pPr>
    </w:p>
    <w:p w14:paraId="1589D005" w14:textId="77777777" w:rsidR="00FD4CD2" w:rsidRPr="00963B8C" w:rsidRDefault="00583C67" w:rsidP="00FD4CD2">
      <w:pPr>
        <w:ind w:right="-873"/>
        <w:rPr>
          <w:rFonts w:cs="Arial"/>
          <w:szCs w:val="24"/>
        </w:rPr>
      </w:pPr>
      <w:r w:rsidRPr="00963B8C">
        <w:rPr>
          <w:rFonts w:cs="Arial"/>
          <w:szCs w:val="24"/>
        </w:rPr>
        <w:t xml:space="preserve">Contact for further information: </w:t>
      </w:r>
    </w:p>
    <w:p w14:paraId="11702B68" w14:textId="77777777" w:rsidR="006560FB" w:rsidRDefault="003B734A" w:rsidP="00FD4CD2">
      <w:pPr>
        <w:ind w:right="-873"/>
        <w:rPr>
          <w:rFonts w:cs="Arial"/>
          <w:szCs w:val="24"/>
        </w:rPr>
      </w:pPr>
      <w:r w:rsidRPr="00963B8C">
        <w:rPr>
          <w:rFonts w:cs="Arial"/>
          <w:szCs w:val="24"/>
        </w:rPr>
        <w:fldChar w:fldCharType="begin"/>
      </w:r>
      <w:r w:rsidRPr="00963B8C">
        <w:rPr>
          <w:rFonts w:cs="Arial"/>
          <w:szCs w:val="24"/>
        </w:rPr>
        <w:instrText xml:space="preserve"> DOCPROPERTY  LeadOfficer  \* MERGEFORMAT </w:instrText>
      </w:r>
      <w:r w:rsidRPr="00963B8C">
        <w:rPr>
          <w:rFonts w:cs="Arial"/>
          <w:szCs w:val="24"/>
        </w:rPr>
        <w:fldChar w:fldCharType="separate"/>
      </w:r>
      <w:r w:rsidR="00583C67" w:rsidRPr="00963B8C">
        <w:rPr>
          <w:rFonts w:cs="Arial"/>
          <w:szCs w:val="24"/>
        </w:rPr>
        <w:t>Julie Bell</w:t>
      </w:r>
      <w:r w:rsidRPr="00963B8C">
        <w:rPr>
          <w:rFonts w:cs="Arial"/>
          <w:szCs w:val="24"/>
        </w:rPr>
        <w:fldChar w:fldCharType="end"/>
      </w:r>
      <w:r w:rsidR="00583C67" w:rsidRPr="00963B8C">
        <w:rPr>
          <w:rFonts w:cs="Arial"/>
          <w:szCs w:val="24"/>
        </w:rPr>
        <w:t>, Tel: (01772) 536727, Head of Libraries, Museums, Culture and Registration Services</w:t>
      </w:r>
      <w:r w:rsidR="00405896">
        <w:rPr>
          <w:rFonts w:cs="Arial"/>
          <w:szCs w:val="24"/>
        </w:rPr>
        <w:t xml:space="preserve">. </w:t>
      </w:r>
    </w:p>
    <w:p w14:paraId="465B1FB6" w14:textId="791A8556" w:rsidR="00FD4CD2" w:rsidRDefault="006560FB" w:rsidP="00FD4CD2">
      <w:pPr>
        <w:ind w:right="-873"/>
        <w:rPr>
          <w:rFonts w:cs="Arial"/>
          <w:szCs w:val="24"/>
        </w:rPr>
      </w:pPr>
      <w:hyperlink r:id="rId7" w:history="1">
        <w:r w:rsidRPr="00377537">
          <w:rPr>
            <w:rStyle w:val="Hyperlink"/>
            <w:rFonts w:cs="Arial"/>
            <w:szCs w:val="24"/>
          </w:rPr>
          <w:t>julie.bell@lancashire.gov.uk</w:t>
        </w:r>
      </w:hyperlink>
    </w:p>
    <w:p w14:paraId="30DC5C83" w14:textId="77777777" w:rsidR="00FD4CD2" w:rsidRPr="00963B8C" w:rsidRDefault="00CB14F0" w:rsidP="00FD4CD2">
      <w:pPr>
        <w:rPr>
          <w:rFonts w:cs="Arial"/>
          <w:b/>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7B7D8B" w:rsidRPr="00963B8C" w14:paraId="192BF4DB" w14:textId="77777777" w:rsidTr="007F09CE">
        <w:tc>
          <w:tcPr>
            <w:tcW w:w="9180" w:type="dxa"/>
          </w:tcPr>
          <w:p w14:paraId="10D5EDCD" w14:textId="77777777" w:rsidR="00FD4CD2" w:rsidRPr="00963B8C" w:rsidRDefault="00CB14F0" w:rsidP="007F09CE">
            <w:pPr>
              <w:rPr>
                <w:rFonts w:cs="Arial"/>
                <w:b/>
                <w:szCs w:val="24"/>
                <w:u w:val="single"/>
              </w:rPr>
            </w:pPr>
          </w:p>
          <w:p w14:paraId="7A108DA3" w14:textId="77777777" w:rsidR="00FD4CD2" w:rsidRPr="00963B8C" w:rsidRDefault="00583C67" w:rsidP="007F09CE">
            <w:pPr>
              <w:pStyle w:val="Heading6"/>
              <w:rPr>
                <w:rFonts w:ascii="Arial" w:hAnsi="Arial" w:cs="Arial"/>
                <w:szCs w:val="24"/>
              </w:rPr>
            </w:pPr>
            <w:r w:rsidRPr="00963B8C">
              <w:rPr>
                <w:rFonts w:ascii="Arial" w:hAnsi="Arial" w:cs="Arial"/>
                <w:szCs w:val="24"/>
              </w:rPr>
              <w:t>Executive Summary</w:t>
            </w:r>
          </w:p>
          <w:p w14:paraId="6816A0F2" w14:textId="77777777" w:rsidR="00583C67" w:rsidRPr="00963B8C" w:rsidRDefault="00583C67" w:rsidP="008C3A0D">
            <w:pPr>
              <w:spacing w:line="259" w:lineRule="auto"/>
              <w:rPr>
                <w:rFonts w:eastAsiaTheme="minorHAnsi" w:cs="Arial"/>
                <w:szCs w:val="24"/>
                <w:lang w:eastAsia="en-US"/>
              </w:rPr>
            </w:pPr>
          </w:p>
          <w:p w14:paraId="47295222" w14:textId="595ADF73" w:rsidR="008C3A0D" w:rsidRPr="00963B8C" w:rsidRDefault="00583C67" w:rsidP="005B4D33">
            <w:pPr>
              <w:spacing w:line="259" w:lineRule="auto"/>
              <w:jc w:val="both"/>
              <w:rPr>
                <w:rFonts w:eastAsiaTheme="minorHAnsi" w:cs="Arial"/>
                <w:szCs w:val="24"/>
                <w:lang w:eastAsia="en-US"/>
              </w:rPr>
            </w:pPr>
            <w:r w:rsidRPr="00963B8C">
              <w:rPr>
                <w:rFonts w:eastAsiaTheme="minorHAnsi" w:cs="Arial"/>
                <w:szCs w:val="24"/>
                <w:lang w:eastAsia="en-US"/>
              </w:rPr>
              <w:t xml:space="preserve">This proposal relates to fees and charges in the Libraries, Museum, Culture and Registrars Service (LMCR) following a service review. The aim of the review is to ensure that charges support service efficiency and effectiveness, recover costs where this is appropriate and achievable and as far as possible ensure consistency across the service. Fees and charges will be reviewed regularly and the service will analyse the impact of these proposals, should they be approved, and undertake a further review during 2018.  </w:t>
            </w:r>
          </w:p>
          <w:p w14:paraId="1740C39C" w14:textId="77777777" w:rsidR="00583C67" w:rsidRPr="00963B8C" w:rsidRDefault="00583C67" w:rsidP="005B4D33">
            <w:pPr>
              <w:spacing w:line="259" w:lineRule="auto"/>
              <w:jc w:val="both"/>
              <w:rPr>
                <w:rFonts w:eastAsiaTheme="minorHAnsi" w:cs="Arial"/>
                <w:szCs w:val="24"/>
                <w:lang w:eastAsia="en-US"/>
              </w:rPr>
            </w:pPr>
          </w:p>
          <w:p w14:paraId="2A9D08AC" w14:textId="097A3CB1" w:rsidR="00583C67" w:rsidRPr="00963B8C" w:rsidRDefault="00583C67" w:rsidP="005B4D33">
            <w:pPr>
              <w:spacing w:line="259" w:lineRule="auto"/>
              <w:jc w:val="both"/>
              <w:rPr>
                <w:rFonts w:eastAsiaTheme="minorHAnsi" w:cs="Arial"/>
                <w:szCs w:val="24"/>
                <w:lang w:eastAsia="en-US"/>
              </w:rPr>
            </w:pPr>
            <w:r w:rsidRPr="00963B8C">
              <w:rPr>
                <w:rFonts w:eastAsiaTheme="minorHAnsi" w:cs="Arial"/>
                <w:szCs w:val="24"/>
                <w:lang w:eastAsia="en-US"/>
              </w:rPr>
              <w:t xml:space="preserve">This is deemed to be a Key Decision and the provisions of Standing Order </w:t>
            </w:r>
            <w:r w:rsidR="006560FB">
              <w:rPr>
                <w:rFonts w:eastAsiaTheme="minorHAnsi" w:cs="Arial"/>
                <w:szCs w:val="24"/>
                <w:lang w:eastAsia="en-US"/>
              </w:rPr>
              <w:t xml:space="preserve">No. </w:t>
            </w:r>
            <w:r w:rsidRPr="00963B8C">
              <w:rPr>
                <w:rFonts w:eastAsiaTheme="minorHAnsi" w:cs="Arial"/>
                <w:szCs w:val="24"/>
                <w:lang w:eastAsia="en-US"/>
              </w:rPr>
              <w:t>25 have been complied with.</w:t>
            </w:r>
          </w:p>
          <w:p w14:paraId="65626F85" w14:textId="77777777" w:rsidR="008C3A0D" w:rsidRPr="00963B8C" w:rsidRDefault="00CB14F0" w:rsidP="008C3A0D">
            <w:pPr>
              <w:spacing w:line="259" w:lineRule="auto"/>
              <w:rPr>
                <w:rFonts w:eastAsiaTheme="minorHAnsi" w:cs="Arial"/>
                <w:b/>
                <w:szCs w:val="24"/>
                <w:lang w:eastAsia="en-US"/>
              </w:rPr>
            </w:pPr>
          </w:p>
          <w:p w14:paraId="0C5D34A2" w14:textId="77777777" w:rsidR="00FD4CD2" w:rsidRPr="00963B8C" w:rsidRDefault="00583C67" w:rsidP="007F09CE">
            <w:pPr>
              <w:pStyle w:val="Heading5"/>
              <w:rPr>
                <w:rFonts w:ascii="Arial" w:hAnsi="Arial" w:cs="Arial"/>
                <w:szCs w:val="24"/>
                <w:u w:val="none"/>
              </w:rPr>
            </w:pPr>
            <w:r w:rsidRPr="00963B8C">
              <w:rPr>
                <w:rFonts w:ascii="Arial" w:hAnsi="Arial" w:cs="Arial"/>
                <w:szCs w:val="24"/>
                <w:u w:val="none"/>
              </w:rPr>
              <w:t>Recommendation</w:t>
            </w:r>
          </w:p>
          <w:p w14:paraId="6EB8F33B" w14:textId="77777777" w:rsidR="00583C67" w:rsidRPr="00963B8C" w:rsidRDefault="00583C67" w:rsidP="00A113B1">
            <w:pPr>
              <w:spacing w:line="259" w:lineRule="auto"/>
              <w:rPr>
                <w:rFonts w:eastAsiaTheme="minorHAnsi" w:cs="Arial"/>
                <w:szCs w:val="24"/>
                <w:lang w:eastAsia="en-US"/>
              </w:rPr>
            </w:pPr>
          </w:p>
          <w:p w14:paraId="48580A1B" w14:textId="56E3C769" w:rsidR="00A113B1" w:rsidRPr="00963B8C" w:rsidRDefault="00DB1C0F" w:rsidP="00A113B1">
            <w:pPr>
              <w:spacing w:line="259" w:lineRule="auto"/>
              <w:rPr>
                <w:rFonts w:eastAsiaTheme="minorHAnsi" w:cs="Arial"/>
                <w:szCs w:val="24"/>
                <w:lang w:eastAsia="en-US"/>
              </w:rPr>
            </w:pPr>
            <w:r>
              <w:rPr>
                <w:rFonts w:eastAsiaTheme="minorHAnsi" w:cs="Arial"/>
                <w:szCs w:val="24"/>
                <w:lang w:eastAsia="en-US"/>
              </w:rPr>
              <w:t xml:space="preserve">The </w:t>
            </w:r>
            <w:r w:rsidR="00583C67" w:rsidRPr="00963B8C">
              <w:rPr>
                <w:rFonts w:eastAsiaTheme="minorHAnsi" w:cs="Arial"/>
                <w:szCs w:val="24"/>
                <w:lang w:eastAsia="en-US"/>
              </w:rPr>
              <w:t xml:space="preserve">Cabinet is </w:t>
            </w:r>
            <w:r>
              <w:rPr>
                <w:rFonts w:eastAsiaTheme="minorHAnsi" w:cs="Arial"/>
                <w:szCs w:val="24"/>
                <w:lang w:eastAsia="en-US"/>
              </w:rPr>
              <w:t>recommended</w:t>
            </w:r>
            <w:r w:rsidR="00583C67" w:rsidRPr="00963B8C">
              <w:rPr>
                <w:rFonts w:eastAsiaTheme="minorHAnsi" w:cs="Arial"/>
                <w:szCs w:val="24"/>
                <w:lang w:eastAsia="en-US"/>
              </w:rPr>
              <w:t xml:space="preserve"> to approve the implementation of changes to fees and charges from 1 April 2018 as set out below and as liste</w:t>
            </w:r>
            <w:r>
              <w:rPr>
                <w:rFonts w:eastAsiaTheme="minorHAnsi" w:cs="Arial"/>
                <w:szCs w:val="24"/>
                <w:lang w:eastAsia="en-US"/>
              </w:rPr>
              <w:t xml:space="preserve">d in detail at </w:t>
            </w:r>
            <w:r w:rsidR="00583C67" w:rsidRPr="00963B8C">
              <w:rPr>
                <w:rFonts w:eastAsiaTheme="minorHAnsi" w:cs="Arial"/>
                <w:szCs w:val="24"/>
                <w:lang w:eastAsia="en-US"/>
              </w:rPr>
              <w:t>Appendix 'A':</w:t>
            </w:r>
          </w:p>
          <w:p w14:paraId="74888865" w14:textId="77777777" w:rsidR="00583C67" w:rsidRPr="00963B8C" w:rsidRDefault="00583C67" w:rsidP="00A113B1">
            <w:pPr>
              <w:spacing w:line="259" w:lineRule="auto"/>
              <w:rPr>
                <w:rFonts w:eastAsiaTheme="minorHAnsi" w:cs="Arial"/>
                <w:szCs w:val="24"/>
                <w:lang w:eastAsia="en-US"/>
              </w:rPr>
            </w:pPr>
          </w:p>
          <w:p w14:paraId="34E57BAF" w14:textId="5002FA1F" w:rsidR="00A113B1" w:rsidRPr="00963B8C" w:rsidRDefault="00583C67" w:rsidP="005B4D33">
            <w:pPr>
              <w:pStyle w:val="ListParagraph"/>
              <w:numPr>
                <w:ilvl w:val="0"/>
                <w:numId w:val="5"/>
              </w:numPr>
              <w:spacing w:after="0"/>
              <w:rPr>
                <w:rFonts w:ascii="Arial" w:eastAsiaTheme="minorHAnsi" w:hAnsi="Arial" w:cs="Arial"/>
                <w:b/>
                <w:sz w:val="24"/>
                <w:szCs w:val="24"/>
              </w:rPr>
            </w:pPr>
            <w:r w:rsidRPr="00963B8C">
              <w:rPr>
                <w:rFonts w:ascii="Arial" w:eastAsiaTheme="minorHAnsi" w:hAnsi="Arial" w:cs="Arial"/>
                <w:sz w:val="24"/>
                <w:szCs w:val="24"/>
              </w:rPr>
              <w:t>To increase the Library reservation fee and extend this to general subject area requests</w:t>
            </w:r>
            <w:r w:rsidR="00BF0AF7" w:rsidRPr="00963B8C">
              <w:rPr>
                <w:rFonts w:ascii="Arial" w:eastAsiaTheme="minorHAnsi" w:hAnsi="Arial" w:cs="Arial"/>
                <w:sz w:val="24"/>
                <w:szCs w:val="24"/>
              </w:rPr>
              <w:t>.</w:t>
            </w:r>
          </w:p>
          <w:p w14:paraId="62C6BF1D" w14:textId="1D4261F6" w:rsidR="00A113B1" w:rsidRPr="00963B8C" w:rsidRDefault="00583C67" w:rsidP="005B4D33">
            <w:pPr>
              <w:numPr>
                <w:ilvl w:val="0"/>
                <w:numId w:val="5"/>
              </w:numPr>
              <w:spacing w:line="259" w:lineRule="auto"/>
              <w:contextualSpacing/>
              <w:rPr>
                <w:rFonts w:eastAsiaTheme="minorHAnsi" w:cs="Arial"/>
                <w:szCs w:val="24"/>
                <w:lang w:eastAsia="en-US"/>
              </w:rPr>
            </w:pPr>
            <w:r w:rsidRPr="00963B8C">
              <w:rPr>
                <w:rFonts w:eastAsiaTheme="minorHAnsi" w:cs="Arial"/>
                <w:szCs w:val="24"/>
                <w:lang w:eastAsia="en-US"/>
              </w:rPr>
              <w:t>To increase fines for the late return of Library books</w:t>
            </w:r>
            <w:r w:rsidR="00BF0AF7" w:rsidRPr="00963B8C">
              <w:rPr>
                <w:rFonts w:eastAsiaTheme="minorHAnsi" w:cs="Arial"/>
                <w:szCs w:val="24"/>
                <w:lang w:eastAsia="en-US"/>
              </w:rPr>
              <w:t>.</w:t>
            </w:r>
          </w:p>
          <w:p w14:paraId="7D9EB3DE" w14:textId="16B4E706" w:rsidR="00A113B1" w:rsidRPr="00963B8C" w:rsidRDefault="00583C67" w:rsidP="00A113B1">
            <w:pPr>
              <w:numPr>
                <w:ilvl w:val="0"/>
                <w:numId w:val="5"/>
              </w:numPr>
              <w:spacing w:after="160" w:line="259" w:lineRule="auto"/>
              <w:contextualSpacing/>
              <w:rPr>
                <w:rFonts w:eastAsiaTheme="minorHAnsi" w:cs="Arial"/>
                <w:szCs w:val="24"/>
                <w:lang w:eastAsia="en-US"/>
              </w:rPr>
            </w:pPr>
            <w:r w:rsidRPr="00963B8C">
              <w:rPr>
                <w:rFonts w:eastAsiaTheme="minorHAnsi" w:cs="Arial"/>
                <w:szCs w:val="24"/>
                <w:lang w:eastAsia="en-US"/>
              </w:rPr>
              <w:t>To increase commission on works of art and crafts sold in Libraries and Museums</w:t>
            </w:r>
            <w:r w:rsidR="00BF0AF7" w:rsidRPr="00963B8C">
              <w:rPr>
                <w:rFonts w:eastAsiaTheme="minorHAnsi" w:cs="Arial"/>
                <w:szCs w:val="24"/>
                <w:lang w:eastAsia="en-US"/>
              </w:rPr>
              <w:t>.</w:t>
            </w:r>
          </w:p>
          <w:p w14:paraId="4C6740E9" w14:textId="350F7DB0" w:rsidR="00A113B1" w:rsidRPr="00963B8C" w:rsidRDefault="00583C67" w:rsidP="00A113B1">
            <w:pPr>
              <w:numPr>
                <w:ilvl w:val="0"/>
                <w:numId w:val="5"/>
              </w:numPr>
              <w:spacing w:after="160" w:line="259" w:lineRule="auto"/>
              <w:contextualSpacing/>
              <w:rPr>
                <w:rFonts w:eastAsiaTheme="minorHAnsi" w:cs="Arial"/>
                <w:szCs w:val="24"/>
                <w:lang w:eastAsia="en-US"/>
              </w:rPr>
            </w:pPr>
            <w:r w:rsidRPr="00963B8C">
              <w:rPr>
                <w:rFonts w:eastAsiaTheme="minorHAnsi" w:cs="Arial"/>
                <w:szCs w:val="24"/>
                <w:lang w:eastAsia="en-US"/>
              </w:rPr>
              <w:t>To increase admission charges at Gawthorpe Hall</w:t>
            </w:r>
            <w:r w:rsidR="00BF0AF7" w:rsidRPr="00963B8C">
              <w:rPr>
                <w:rFonts w:eastAsiaTheme="minorHAnsi" w:cs="Arial"/>
                <w:szCs w:val="24"/>
                <w:lang w:eastAsia="en-US"/>
              </w:rPr>
              <w:t>, Padiham.</w:t>
            </w:r>
          </w:p>
          <w:p w14:paraId="30320ED3" w14:textId="2E559EBB" w:rsidR="00A113B1" w:rsidRPr="00963B8C" w:rsidRDefault="00583C67" w:rsidP="00A113B1">
            <w:pPr>
              <w:numPr>
                <w:ilvl w:val="0"/>
                <w:numId w:val="5"/>
              </w:numPr>
              <w:spacing w:after="160" w:line="259" w:lineRule="auto"/>
              <w:contextualSpacing/>
              <w:rPr>
                <w:rFonts w:eastAsiaTheme="minorHAnsi" w:cs="Arial"/>
                <w:szCs w:val="24"/>
                <w:lang w:eastAsia="en-US"/>
              </w:rPr>
            </w:pPr>
            <w:r w:rsidRPr="00963B8C">
              <w:rPr>
                <w:rFonts w:eastAsiaTheme="minorHAnsi" w:cs="Arial"/>
                <w:szCs w:val="24"/>
                <w:lang w:eastAsia="en-US"/>
              </w:rPr>
              <w:t>To increase the charge for a copy of an archive probate record</w:t>
            </w:r>
            <w:r w:rsidR="00BF0AF7" w:rsidRPr="00963B8C">
              <w:rPr>
                <w:rFonts w:eastAsiaTheme="minorHAnsi" w:cs="Arial"/>
                <w:szCs w:val="24"/>
                <w:lang w:eastAsia="en-US"/>
              </w:rPr>
              <w:t>.</w:t>
            </w:r>
            <w:r w:rsidRPr="00963B8C">
              <w:rPr>
                <w:rFonts w:eastAsiaTheme="minorHAnsi" w:cs="Arial"/>
                <w:szCs w:val="24"/>
                <w:lang w:eastAsia="en-US"/>
              </w:rPr>
              <w:t xml:space="preserve"> </w:t>
            </w:r>
          </w:p>
          <w:p w14:paraId="494D06AD" w14:textId="77777777" w:rsidR="00FD4CD2" w:rsidRDefault="00963B8C" w:rsidP="00963B8C">
            <w:pPr>
              <w:numPr>
                <w:ilvl w:val="0"/>
                <w:numId w:val="5"/>
              </w:numPr>
              <w:spacing w:after="160" w:line="259" w:lineRule="auto"/>
              <w:contextualSpacing/>
              <w:rPr>
                <w:rFonts w:eastAsiaTheme="minorHAnsi" w:cs="Arial"/>
                <w:szCs w:val="24"/>
                <w:lang w:eastAsia="en-US"/>
              </w:rPr>
            </w:pPr>
            <w:r>
              <w:rPr>
                <w:rFonts w:eastAsiaTheme="minorHAnsi" w:cs="Arial"/>
                <w:szCs w:val="24"/>
                <w:lang w:eastAsia="en-US"/>
              </w:rPr>
              <w:t>To levy an additional</w:t>
            </w:r>
            <w:r w:rsidR="00583C67" w:rsidRPr="00963B8C">
              <w:rPr>
                <w:rFonts w:eastAsiaTheme="minorHAnsi" w:cs="Arial"/>
                <w:szCs w:val="24"/>
                <w:lang w:eastAsia="en-US"/>
              </w:rPr>
              <w:t xml:space="preserve"> carriage charge for all non–UK archive copying orders</w:t>
            </w:r>
            <w:r w:rsidR="00BF0AF7" w:rsidRPr="00963B8C">
              <w:rPr>
                <w:rFonts w:eastAsiaTheme="minorHAnsi" w:cs="Arial"/>
                <w:szCs w:val="24"/>
                <w:lang w:eastAsia="en-US"/>
              </w:rPr>
              <w:t>.</w:t>
            </w:r>
          </w:p>
          <w:p w14:paraId="23FF6E01" w14:textId="7BB430FE" w:rsidR="00405896" w:rsidRPr="00963B8C" w:rsidRDefault="00405896" w:rsidP="00405896">
            <w:pPr>
              <w:spacing w:after="160" w:line="259" w:lineRule="auto"/>
              <w:contextualSpacing/>
              <w:rPr>
                <w:rFonts w:eastAsiaTheme="minorHAnsi" w:cs="Arial"/>
                <w:szCs w:val="24"/>
                <w:lang w:eastAsia="en-US"/>
              </w:rPr>
            </w:pPr>
          </w:p>
        </w:tc>
      </w:tr>
    </w:tbl>
    <w:p w14:paraId="01F5CDAD" w14:textId="77777777" w:rsidR="00E258D8" w:rsidRPr="00963B8C" w:rsidRDefault="00583C67" w:rsidP="00FD4CD2">
      <w:pPr>
        <w:rPr>
          <w:rFonts w:cs="Arial"/>
          <w:b/>
          <w:szCs w:val="24"/>
        </w:rPr>
      </w:pPr>
      <w:r w:rsidRPr="00963B8C">
        <w:rPr>
          <w:rFonts w:cs="Arial"/>
          <w:b/>
          <w:szCs w:val="24"/>
        </w:rPr>
        <w:lastRenderedPageBreak/>
        <w:t xml:space="preserve">Background and Advice </w:t>
      </w:r>
    </w:p>
    <w:p w14:paraId="4DE006F7" w14:textId="77777777" w:rsidR="00E258D8" w:rsidRPr="00963B8C" w:rsidRDefault="00CB14F0" w:rsidP="00A113B1">
      <w:pPr>
        <w:spacing w:line="259" w:lineRule="auto"/>
        <w:rPr>
          <w:rFonts w:eastAsiaTheme="minorHAnsi" w:cs="Arial"/>
          <w:szCs w:val="24"/>
          <w:lang w:eastAsia="en-US"/>
        </w:rPr>
      </w:pPr>
    </w:p>
    <w:p w14:paraId="26781683" w14:textId="1157846F" w:rsidR="00E258D8" w:rsidRPr="00963B8C" w:rsidRDefault="00BF0AF7" w:rsidP="00A113B1">
      <w:pPr>
        <w:spacing w:line="259" w:lineRule="auto"/>
        <w:rPr>
          <w:rFonts w:eastAsiaTheme="minorHAnsi" w:cs="Arial"/>
          <w:szCs w:val="24"/>
          <w:lang w:eastAsia="en-US"/>
        </w:rPr>
      </w:pPr>
      <w:r w:rsidRPr="00963B8C">
        <w:rPr>
          <w:rFonts w:eastAsiaTheme="minorHAnsi" w:cs="Arial"/>
          <w:szCs w:val="24"/>
          <w:lang w:eastAsia="en-US"/>
        </w:rPr>
        <w:t>Th</w:t>
      </w:r>
      <w:r w:rsidR="00583C67" w:rsidRPr="00963B8C">
        <w:rPr>
          <w:rFonts w:eastAsiaTheme="minorHAnsi" w:cs="Arial"/>
          <w:szCs w:val="24"/>
          <w:lang w:eastAsia="en-US"/>
        </w:rPr>
        <w:t>ere have been periodic reviews of fees and charges in recent years including libraries and heritage services, archives and museums.</w:t>
      </w:r>
    </w:p>
    <w:p w14:paraId="680475D5" w14:textId="77777777" w:rsidR="00E258D8" w:rsidRPr="00963B8C" w:rsidRDefault="00CB14F0" w:rsidP="00A113B1">
      <w:pPr>
        <w:spacing w:line="259" w:lineRule="auto"/>
        <w:rPr>
          <w:rFonts w:eastAsiaTheme="minorHAnsi" w:cs="Arial"/>
          <w:szCs w:val="24"/>
          <w:lang w:eastAsia="en-US"/>
        </w:rPr>
      </w:pPr>
    </w:p>
    <w:p w14:paraId="0E2948D8" w14:textId="77777777" w:rsidR="00A113B1" w:rsidRPr="00963B8C" w:rsidRDefault="00583C67" w:rsidP="00A113B1">
      <w:pPr>
        <w:spacing w:line="259" w:lineRule="auto"/>
        <w:rPr>
          <w:rFonts w:eastAsiaTheme="minorHAnsi" w:cs="Arial"/>
          <w:szCs w:val="24"/>
          <w:lang w:eastAsia="en-US"/>
        </w:rPr>
      </w:pPr>
      <w:r w:rsidRPr="00963B8C">
        <w:rPr>
          <w:rFonts w:eastAsiaTheme="minorHAnsi" w:cs="Arial"/>
          <w:szCs w:val="24"/>
          <w:lang w:eastAsia="en-US"/>
        </w:rPr>
        <w:t xml:space="preserve">Library reservation fees have not been changed since 2005 nor fines since 2012. </w:t>
      </w:r>
    </w:p>
    <w:p w14:paraId="60DC3F7D" w14:textId="77777777" w:rsidR="00E258D8" w:rsidRPr="00963B8C" w:rsidRDefault="00CB14F0" w:rsidP="00A113B1">
      <w:pPr>
        <w:spacing w:line="259" w:lineRule="auto"/>
        <w:rPr>
          <w:rFonts w:eastAsiaTheme="minorHAnsi" w:cs="Arial"/>
          <w:szCs w:val="24"/>
          <w:lang w:eastAsia="en-US"/>
        </w:rPr>
      </w:pPr>
    </w:p>
    <w:p w14:paraId="7C7C8103" w14:textId="05263473" w:rsidR="00E258D8" w:rsidRPr="00963B8C" w:rsidRDefault="00583C67" w:rsidP="00A113B1">
      <w:pPr>
        <w:spacing w:line="259" w:lineRule="auto"/>
        <w:rPr>
          <w:rFonts w:eastAsiaTheme="minorHAnsi" w:cs="Arial"/>
          <w:szCs w:val="24"/>
          <w:lang w:eastAsia="en-US"/>
        </w:rPr>
      </w:pPr>
      <w:r w:rsidRPr="00963B8C">
        <w:rPr>
          <w:rFonts w:eastAsiaTheme="minorHAnsi" w:cs="Arial"/>
          <w:szCs w:val="24"/>
          <w:lang w:eastAsia="en-US"/>
        </w:rPr>
        <w:t xml:space="preserve">Admission charges at Gawthorpe Hall have not been increased since 2006, and this service runs at a considerable net cost to the </w:t>
      </w:r>
      <w:r w:rsidR="00BF0AF7" w:rsidRPr="00963B8C">
        <w:rPr>
          <w:rFonts w:eastAsiaTheme="minorHAnsi" w:cs="Arial"/>
          <w:szCs w:val="24"/>
          <w:lang w:eastAsia="en-US"/>
        </w:rPr>
        <w:t>C</w:t>
      </w:r>
      <w:r w:rsidRPr="00963B8C">
        <w:rPr>
          <w:rFonts w:eastAsiaTheme="minorHAnsi" w:cs="Arial"/>
          <w:szCs w:val="24"/>
          <w:lang w:eastAsia="en-US"/>
        </w:rPr>
        <w:t xml:space="preserve">ounty </w:t>
      </w:r>
      <w:r w:rsidR="00BF0AF7" w:rsidRPr="00963B8C">
        <w:rPr>
          <w:rFonts w:eastAsiaTheme="minorHAnsi" w:cs="Arial"/>
          <w:szCs w:val="24"/>
          <w:lang w:eastAsia="en-US"/>
        </w:rPr>
        <w:t>C</w:t>
      </w:r>
      <w:r w:rsidRPr="00963B8C">
        <w:rPr>
          <w:rFonts w:eastAsiaTheme="minorHAnsi" w:cs="Arial"/>
          <w:szCs w:val="24"/>
          <w:lang w:eastAsia="en-US"/>
        </w:rPr>
        <w:t>ouncil.</w:t>
      </w:r>
    </w:p>
    <w:p w14:paraId="56449C68" w14:textId="77777777" w:rsidR="00FD4CD2" w:rsidRPr="00963B8C" w:rsidRDefault="00CB14F0" w:rsidP="00FD4CD2">
      <w:pPr>
        <w:autoSpaceDE w:val="0"/>
        <w:autoSpaceDN w:val="0"/>
        <w:adjustRightInd w:val="0"/>
        <w:rPr>
          <w:rFonts w:eastAsia="Calibri" w:cs="Arial"/>
          <w:szCs w:val="24"/>
        </w:rPr>
      </w:pPr>
    </w:p>
    <w:p w14:paraId="21311C72" w14:textId="77777777" w:rsidR="00FD4CD2" w:rsidRPr="00963B8C" w:rsidRDefault="00583C67" w:rsidP="00FD4CD2">
      <w:pPr>
        <w:rPr>
          <w:rFonts w:cs="Arial"/>
          <w:b/>
          <w:szCs w:val="24"/>
        </w:rPr>
      </w:pPr>
      <w:r w:rsidRPr="00963B8C">
        <w:rPr>
          <w:rFonts w:cs="Arial"/>
          <w:b/>
          <w:szCs w:val="24"/>
        </w:rPr>
        <w:t>Consultations</w:t>
      </w:r>
    </w:p>
    <w:p w14:paraId="741D1302" w14:textId="77777777" w:rsidR="00E258D8" w:rsidRPr="00963B8C" w:rsidRDefault="00CB14F0" w:rsidP="005B4D33">
      <w:pPr>
        <w:autoSpaceDE w:val="0"/>
        <w:autoSpaceDN w:val="0"/>
        <w:adjustRightInd w:val="0"/>
        <w:jc w:val="both"/>
        <w:rPr>
          <w:rFonts w:eastAsiaTheme="minorHAnsi" w:cs="Arial"/>
          <w:szCs w:val="24"/>
          <w:lang w:eastAsia="en-US"/>
        </w:rPr>
      </w:pPr>
    </w:p>
    <w:p w14:paraId="1A6F2C83" w14:textId="77777777" w:rsidR="00A113B1" w:rsidRPr="00963B8C" w:rsidRDefault="00583C67" w:rsidP="005B4D33">
      <w:pPr>
        <w:autoSpaceDE w:val="0"/>
        <w:autoSpaceDN w:val="0"/>
        <w:adjustRightInd w:val="0"/>
        <w:jc w:val="both"/>
        <w:rPr>
          <w:rFonts w:eastAsiaTheme="minorHAnsi" w:cs="Arial"/>
          <w:szCs w:val="24"/>
          <w:lang w:eastAsia="en-US"/>
        </w:rPr>
      </w:pPr>
      <w:r w:rsidRPr="00963B8C">
        <w:rPr>
          <w:rFonts w:eastAsiaTheme="minorHAnsi" w:cs="Arial"/>
          <w:szCs w:val="24"/>
          <w:lang w:eastAsia="en-US"/>
        </w:rPr>
        <w:t xml:space="preserve">Employees within the LMCR service have been consulted in developing these proposals. </w:t>
      </w:r>
    </w:p>
    <w:p w14:paraId="360B6FF0" w14:textId="77777777" w:rsidR="00A113B1" w:rsidRPr="00963B8C" w:rsidRDefault="00CB14F0" w:rsidP="005B4D33">
      <w:pPr>
        <w:autoSpaceDE w:val="0"/>
        <w:autoSpaceDN w:val="0"/>
        <w:jc w:val="both"/>
        <w:rPr>
          <w:rFonts w:eastAsiaTheme="minorHAnsi" w:cs="Arial"/>
          <w:szCs w:val="24"/>
          <w:lang w:eastAsia="en-US"/>
        </w:rPr>
      </w:pPr>
    </w:p>
    <w:p w14:paraId="6FD21590" w14:textId="77777777" w:rsidR="00A113B1" w:rsidRPr="00963B8C" w:rsidRDefault="00583C67" w:rsidP="005B4D33">
      <w:pPr>
        <w:autoSpaceDE w:val="0"/>
        <w:autoSpaceDN w:val="0"/>
        <w:jc w:val="both"/>
        <w:rPr>
          <w:rFonts w:eastAsiaTheme="minorHAnsi" w:cs="Arial"/>
          <w:color w:val="000000"/>
          <w:szCs w:val="24"/>
          <w:lang w:eastAsia="en-US"/>
        </w:rPr>
      </w:pPr>
      <w:r w:rsidRPr="00963B8C">
        <w:rPr>
          <w:rFonts w:eastAsiaTheme="minorHAnsi" w:cs="Arial"/>
          <w:szCs w:val="24"/>
          <w:lang w:eastAsia="en-US"/>
        </w:rPr>
        <w:t xml:space="preserve">The published fees and charges of the Library services in the following local authority areas have been used as benchmarks for the proposals: Cumbria, Derbyshire, Devon, Essex, </w:t>
      </w:r>
      <w:r w:rsidRPr="00963B8C">
        <w:rPr>
          <w:rFonts w:eastAsiaTheme="minorHAnsi" w:cs="Arial"/>
          <w:color w:val="000000"/>
          <w:szCs w:val="24"/>
          <w:lang w:eastAsia="en-US"/>
        </w:rPr>
        <w:t xml:space="preserve">Gloucestershire, Kent, Lincolnshire, </w:t>
      </w:r>
      <w:r w:rsidRPr="00963B8C">
        <w:rPr>
          <w:rFonts w:eastAsiaTheme="minorHAnsi" w:cs="Arial"/>
          <w:szCs w:val="24"/>
          <w:lang w:eastAsia="en-US"/>
        </w:rPr>
        <w:t xml:space="preserve">Norfolk, Northamptonshire, </w:t>
      </w:r>
      <w:r w:rsidRPr="00963B8C">
        <w:rPr>
          <w:rFonts w:eastAsiaTheme="minorHAnsi" w:cs="Arial"/>
          <w:color w:val="000000"/>
          <w:szCs w:val="24"/>
          <w:lang w:eastAsia="en-US"/>
        </w:rPr>
        <w:t xml:space="preserve">Staffordshire, Suffolk, Warwickshire, Worcestershire and North Yorkshire. </w:t>
      </w:r>
    </w:p>
    <w:p w14:paraId="69922B2C" w14:textId="77777777" w:rsidR="00A113B1" w:rsidRPr="00963B8C" w:rsidRDefault="00CB14F0" w:rsidP="005B4D33">
      <w:pPr>
        <w:autoSpaceDE w:val="0"/>
        <w:autoSpaceDN w:val="0"/>
        <w:jc w:val="both"/>
        <w:rPr>
          <w:rFonts w:eastAsiaTheme="minorHAnsi" w:cs="Arial"/>
          <w:color w:val="000000"/>
          <w:szCs w:val="24"/>
          <w:lang w:eastAsia="en-US"/>
        </w:rPr>
      </w:pPr>
    </w:p>
    <w:p w14:paraId="278F2C8C" w14:textId="77777777" w:rsidR="00A113B1" w:rsidRPr="00963B8C" w:rsidRDefault="00583C67" w:rsidP="005B4D33">
      <w:pPr>
        <w:autoSpaceDE w:val="0"/>
        <w:autoSpaceDN w:val="0"/>
        <w:jc w:val="both"/>
        <w:rPr>
          <w:rFonts w:eastAsiaTheme="minorHAnsi" w:cs="Arial"/>
          <w:color w:val="000000"/>
          <w:szCs w:val="24"/>
          <w:lang w:eastAsia="en-US"/>
        </w:rPr>
      </w:pPr>
      <w:r w:rsidRPr="00963B8C">
        <w:rPr>
          <w:rFonts w:eastAsiaTheme="minorHAnsi" w:cs="Arial"/>
          <w:color w:val="000000"/>
          <w:szCs w:val="24"/>
          <w:lang w:eastAsia="en-US"/>
        </w:rPr>
        <w:t>The admissions charges of 55 museums and historic houses across Lancashire, Cumbria, Yorkshire, Cheshire, Greater Manchester and also further afield (for example Lanarkshire, Ironbridge Gorge and Devon) have been referenced to compare current offers and admissions charges.</w:t>
      </w:r>
    </w:p>
    <w:p w14:paraId="3AACD079" w14:textId="77777777" w:rsidR="00FD4CD2" w:rsidRPr="00963B8C" w:rsidRDefault="00CB14F0" w:rsidP="005B4D33">
      <w:pPr>
        <w:pStyle w:val="Header"/>
        <w:jc w:val="both"/>
        <w:rPr>
          <w:rFonts w:ascii="Arial" w:hAnsi="Arial" w:cs="Arial"/>
          <w:szCs w:val="24"/>
        </w:rPr>
      </w:pPr>
    </w:p>
    <w:p w14:paraId="12C69517" w14:textId="77777777" w:rsidR="00FD4CD2" w:rsidRPr="00963B8C" w:rsidRDefault="00583C67" w:rsidP="005B4D33">
      <w:pPr>
        <w:jc w:val="both"/>
        <w:rPr>
          <w:rFonts w:cs="Arial"/>
          <w:szCs w:val="24"/>
        </w:rPr>
      </w:pPr>
      <w:r w:rsidRPr="00963B8C">
        <w:rPr>
          <w:rFonts w:cs="Arial"/>
          <w:b/>
          <w:szCs w:val="24"/>
        </w:rPr>
        <w:t>Implications</w:t>
      </w:r>
      <w:r w:rsidRPr="00963B8C">
        <w:rPr>
          <w:rFonts w:cs="Arial"/>
          <w:szCs w:val="24"/>
        </w:rPr>
        <w:t xml:space="preserve">: </w:t>
      </w:r>
    </w:p>
    <w:p w14:paraId="3270C662" w14:textId="77777777" w:rsidR="007F1B8D" w:rsidRPr="00963B8C" w:rsidRDefault="007F1B8D" w:rsidP="005B4D33">
      <w:pPr>
        <w:autoSpaceDE w:val="0"/>
        <w:autoSpaceDN w:val="0"/>
        <w:spacing w:line="259" w:lineRule="auto"/>
        <w:jc w:val="both"/>
        <w:rPr>
          <w:rFonts w:eastAsiaTheme="minorHAnsi" w:cs="Arial"/>
          <w:szCs w:val="24"/>
          <w:lang w:eastAsia="en-US"/>
        </w:rPr>
      </w:pPr>
    </w:p>
    <w:p w14:paraId="675252BE" w14:textId="77777777" w:rsidR="00A113B1" w:rsidRPr="00963B8C" w:rsidRDefault="00583C67" w:rsidP="005B4D33">
      <w:pPr>
        <w:autoSpaceDE w:val="0"/>
        <w:autoSpaceDN w:val="0"/>
        <w:spacing w:line="259" w:lineRule="auto"/>
        <w:jc w:val="both"/>
        <w:rPr>
          <w:rFonts w:eastAsiaTheme="minorHAnsi" w:cs="Arial"/>
          <w:szCs w:val="24"/>
          <w:lang w:eastAsia="en-US"/>
        </w:rPr>
      </w:pPr>
      <w:r w:rsidRPr="00963B8C">
        <w:rPr>
          <w:rFonts w:eastAsiaTheme="minorHAnsi" w:cs="Arial"/>
          <w:szCs w:val="24"/>
          <w:lang w:eastAsia="en-US"/>
        </w:rPr>
        <w:t>This item has the following implications:</w:t>
      </w:r>
    </w:p>
    <w:p w14:paraId="2B777246" w14:textId="77777777" w:rsidR="007F1B8D" w:rsidRPr="00963B8C" w:rsidRDefault="007F1B8D" w:rsidP="005B4D33">
      <w:pPr>
        <w:autoSpaceDE w:val="0"/>
        <w:autoSpaceDN w:val="0"/>
        <w:spacing w:line="259" w:lineRule="auto"/>
        <w:jc w:val="both"/>
        <w:rPr>
          <w:rFonts w:eastAsiaTheme="minorHAnsi" w:cs="Arial"/>
          <w:szCs w:val="24"/>
          <w:lang w:eastAsia="en-US"/>
        </w:rPr>
      </w:pPr>
    </w:p>
    <w:p w14:paraId="5C3D367D" w14:textId="2067A4A6" w:rsidR="00A113B1" w:rsidRPr="00963B8C" w:rsidRDefault="00583C67" w:rsidP="005B4D33">
      <w:pPr>
        <w:autoSpaceDE w:val="0"/>
        <w:autoSpaceDN w:val="0"/>
        <w:spacing w:line="259" w:lineRule="auto"/>
        <w:jc w:val="both"/>
        <w:rPr>
          <w:rFonts w:eastAsiaTheme="minorHAnsi" w:cs="Arial"/>
          <w:szCs w:val="24"/>
          <w:lang w:eastAsia="en-US"/>
        </w:rPr>
      </w:pPr>
      <w:r w:rsidRPr="00963B8C">
        <w:rPr>
          <w:rFonts w:eastAsiaTheme="minorHAnsi" w:cs="Arial"/>
          <w:szCs w:val="24"/>
          <w:lang w:eastAsia="en-US"/>
        </w:rPr>
        <w:t>There is a possibility that some of the proposals in this report may attract negative publicity and that some services may be used less frequently because of the increase. Although more libraries will be open in 2018/19 the library service is being provided to the same number of people across Lancashire and there may therefore be limited or no change in income arising directly from the re-openings</w:t>
      </w:r>
      <w:r w:rsidR="007F1B8D" w:rsidRPr="00963B8C">
        <w:rPr>
          <w:rFonts w:eastAsiaTheme="minorHAnsi" w:cs="Arial"/>
          <w:szCs w:val="24"/>
          <w:lang w:eastAsia="en-US"/>
        </w:rPr>
        <w:t>.</w:t>
      </w:r>
      <w:r w:rsidRPr="00963B8C">
        <w:rPr>
          <w:rFonts w:eastAsiaTheme="minorHAnsi" w:cs="Arial"/>
          <w:szCs w:val="24"/>
          <w:lang w:eastAsia="en-US"/>
        </w:rPr>
        <w:t xml:space="preserve">  </w:t>
      </w:r>
    </w:p>
    <w:p w14:paraId="33602FBB" w14:textId="77777777" w:rsidR="00A113B1" w:rsidRPr="00963B8C" w:rsidRDefault="00CB14F0" w:rsidP="005B4D33">
      <w:pPr>
        <w:autoSpaceDE w:val="0"/>
        <w:autoSpaceDN w:val="0"/>
        <w:spacing w:line="259" w:lineRule="auto"/>
        <w:jc w:val="both"/>
        <w:rPr>
          <w:rFonts w:eastAsiaTheme="minorHAnsi" w:cs="Arial"/>
          <w:szCs w:val="24"/>
          <w:lang w:eastAsia="en-US"/>
        </w:rPr>
      </w:pPr>
    </w:p>
    <w:p w14:paraId="0C13D601" w14:textId="7B44031C" w:rsidR="00FD4CD2" w:rsidRPr="00963B8C" w:rsidRDefault="00583C67" w:rsidP="00FD4CD2">
      <w:pPr>
        <w:rPr>
          <w:rFonts w:cs="Arial"/>
          <w:b/>
          <w:szCs w:val="24"/>
        </w:rPr>
      </w:pPr>
      <w:r w:rsidRPr="00963B8C">
        <w:rPr>
          <w:rFonts w:cs="Arial"/>
          <w:b/>
          <w:szCs w:val="24"/>
        </w:rPr>
        <w:t xml:space="preserve">Financial </w:t>
      </w:r>
    </w:p>
    <w:p w14:paraId="70059943" w14:textId="77777777" w:rsidR="00A113B1" w:rsidRPr="00963B8C" w:rsidRDefault="00CB14F0" w:rsidP="00A113B1">
      <w:pPr>
        <w:autoSpaceDE w:val="0"/>
        <w:autoSpaceDN w:val="0"/>
        <w:spacing w:line="259" w:lineRule="auto"/>
        <w:rPr>
          <w:rFonts w:eastAsiaTheme="minorHAnsi" w:cs="Arial"/>
          <w:szCs w:val="24"/>
          <w:lang w:eastAsia="en-US"/>
        </w:rPr>
      </w:pPr>
    </w:p>
    <w:p w14:paraId="21D58253" w14:textId="0ACD04DC" w:rsidR="00CD54B8" w:rsidRPr="00963B8C" w:rsidRDefault="00963B8C" w:rsidP="007F1B8D">
      <w:pPr>
        <w:autoSpaceDE w:val="0"/>
        <w:autoSpaceDN w:val="0"/>
        <w:spacing w:line="259" w:lineRule="auto"/>
        <w:jc w:val="both"/>
        <w:rPr>
          <w:rFonts w:eastAsiaTheme="minorHAnsi" w:cs="Arial"/>
          <w:szCs w:val="24"/>
          <w:lang w:eastAsia="en-US"/>
        </w:rPr>
      </w:pPr>
      <w:r>
        <w:rPr>
          <w:rFonts w:eastAsiaTheme="minorHAnsi" w:cs="Arial"/>
          <w:szCs w:val="24"/>
          <w:lang w:eastAsia="en-US"/>
        </w:rPr>
        <w:t>The projected income</w:t>
      </w:r>
      <w:r w:rsidR="00583C67" w:rsidRPr="00963B8C">
        <w:rPr>
          <w:rFonts w:eastAsiaTheme="minorHAnsi" w:cs="Arial"/>
          <w:szCs w:val="24"/>
          <w:lang w:eastAsia="en-US"/>
        </w:rPr>
        <w:t xml:space="preserve"> from the proposed changes to fees and charges set out in Appendix </w:t>
      </w:r>
      <w:r w:rsidR="007F1B8D" w:rsidRPr="00963B8C">
        <w:rPr>
          <w:rFonts w:eastAsiaTheme="minorHAnsi" w:cs="Arial"/>
          <w:szCs w:val="24"/>
          <w:lang w:eastAsia="en-US"/>
        </w:rPr>
        <w:t>'</w:t>
      </w:r>
      <w:r w:rsidR="00583C67" w:rsidRPr="00963B8C">
        <w:rPr>
          <w:rFonts w:eastAsiaTheme="minorHAnsi" w:cs="Arial"/>
          <w:szCs w:val="24"/>
          <w:lang w:eastAsia="en-US"/>
        </w:rPr>
        <w:t>A</w:t>
      </w:r>
      <w:r w:rsidR="007F1B8D" w:rsidRPr="00963B8C">
        <w:rPr>
          <w:rFonts w:eastAsiaTheme="minorHAnsi" w:cs="Arial"/>
          <w:szCs w:val="24"/>
          <w:lang w:eastAsia="en-US"/>
        </w:rPr>
        <w:t>'</w:t>
      </w:r>
      <w:r w:rsidR="00583C67" w:rsidRPr="00963B8C">
        <w:rPr>
          <w:rFonts w:eastAsiaTheme="minorHAnsi" w:cs="Arial"/>
          <w:szCs w:val="24"/>
          <w:lang w:eastAsia="en-US"/>
        </w:rPr>
        <w:t xml:space="preserve"> is an anticipated increase of around c£0.050m but there is a risk that this overall target might not be achieved. Income from fines is generally reducing because of greater use of online and telephone renewals. Improvements to the </w:t>
      </w:r>
      <w:r w:rsidR="007F1B8D" w:rsidRPr="00963B8C">
        <w:rPr>
          <w:rFonts w:eastAsiaTheme="minorHAnsi" w:cs="Arial"/>
          <w:szCs w:val="24"/>
          <w:lang w:eastAsia="en-US"/>
        </w:rPr>
        <w:t>C</w:t>
      </w:r>
      <w:r w:rsidR="00583C67" w:rsidRPr="00963B8C">
        <w:rPr>
          <w:rFonts w:eastAsiaTheme="minorHAnsi" w:cs="Arial"/>
          <w:szCs w:val="24"/>
          <w:lang w:eastAsia="en-US"/>
        </w:rPr>
        <w:t xml:space="preserve">ounty </w:t>
      </w:r>
      <w:r w:rsidR="007F1B8D" w:rsidRPr="00963B8C">
        <w:rPr>
          <w:rFonts w:eastAsiaTheme="minorHAnsi" w:cs="Arial"/>
          <w:szCs w:val="24"/>
          <w:lang w:eastAsia="en-US"/>
        </w:rPr>
        <w:t>C</w:t>
      </w:r>
      <w:r w:rsidR="00583C67" w:rsidRPr="00963B8C">
        <w:rPr>
          <w:rFonts w:eastAsiaTheme="minorHAnsi" w:cs="Arial"/>
          <w:szCs w:val="24"/>
          <w:lang w:eastAsia="en-US"/>
        </w:rPr>
        <w:t>ouncil website have made it easier for borrowers to renew online.</w:t>
      </w:r>
    </w:p>
    <w:p w14:paraId="16D7D930" w14:textId="77777777" w:rsidR="007F1B8D" w:rsidRPr="00963B8C" w:rsidRDefault="007F1B8D" w:rsidP="007F1B8D">
      <w:pPr>
        <w:autoSpaceDE w:val="0"/>
        <w:autoSpaceDN w:val="0"/>
        <w:spacing w:line="259" w:lineRule="auto"/>
        <w:jc w:val="both"/>
        <w:rPr>
          <w:rFonts w:eastAsiaTheme="minorHAnsi" w:cs="Arial"/>
          <w:szCs w:val="24"/>
          <w:lang w:eastAsia="en-US"/>
        </w:rPr>
      </w:pPr>
    </w:p>
    <w:p w14:paraId="4F932C20" w14:textId="5F643AD1" w:rsidR="00A113B1" w:rsidRPr="00963B8C" w:rsidRDefault="00583C67" w:rsidP="007F1B8D">
      <w:pPr>
        <w:autoSpaceDE w:val="0"/>
        <w:autoSpaceDN w:val="0"/>
        <w:spacing w:line="259" w:lineRule="auto"/>
        <w:jc w:val="both"/>
        <w:rPr>
          <w:rFonts w:eastAsiaTheme="minorHAnsi" w:cs="Arial"/>
          <w:szCs w:val="24"/>
          <w:lang w:eastAsia="en-US"/>
        </w:rPr>
      </w:pPr>
      <w:r w:rsidRPr="00963B8C">
        <w:rPr>
          <w:rFonts w:eastAsiaTheme="minorHAnsi" w:cs="Arial"/>
          <w:szCs w:val="24"/>
          <w:lang w:eastAsia="en-US"/>
        </w:rPr>
        <w:t xml:space="preserve">The income budget relating to the fees and charges detailed within this report is currently under pressure, with the current level of budgeted income not achieved. This proposed increase will assist in moving towards achieving the income target, however there is still a risk that this may not be achieved and this will need to be closely reviewed as part of the budget monitoring process. </w:t>
      </w:r>
    </w:p>
    <w:p w14:paraId="71B3B1AB" w14:textId="77777777" w:rsidR="007F1B8D" w:rsidRPr="00963B8C" w:rsidRDefault="00583C67" w:rsidP="00A113B1">
      <w:pPr>
        <w:autoSpaceDE w:val="0"/>
        <w:autoSpaceDN w:val="0"/>
        <w:spacing w:line="259" w:lineRule="auto"/>
        <w:rPr>
          <w:rFonts w:eastAsiaTheme="minorHAnsi" w:cs="Arial"/>
          <w:b/>
          <w:szCs w:val="24"/>
          <w:lang w:eastAsia="en-US"/>
        </w:rPr>
      </w:pPr>
      <w:r w:rsidRPr="00963B8C">
        <w:rPr>
          <w:rFonts w:eastAsiaTheme="minorHAnsi" w:cs="Arial"/>
          <w:b/>
          <w:szCs w:val="24"/>
          <w:lang w:eastAsia="en-US"/>
        </w:rPr>
        <w:lastRenderedPageBreak/>
        <w:t>Equality and Cohesion</w:t>
      </w:r>
    </w:p>
    <w:p w14:paraId="079BA68D" w14:textId="68D1842F" w:rsidR="00A113B1" w:rsidRPr="00963B8C" w:rsidRDefault="00CB14F0" w:rsidP="005B4D33">
      <w:pPr>
        <w:autoSpaceDE w:val="0"/>
        <w:autoSpaceDN w:val="0"/>
        <w:spacing w:line="259" w:lineRule="auto"/>
        <w:jc w:val="both"/>
        <w:rPr>
          <w:rFonts w:eastAsiaTheme="minorHAnsi" w:cs="Arial"/>
          <w:b/>
          <w:szCs w:val="24"/>
          <w:lang w:eastAsia="en-US"/>
        </w:rPr>
      </w:pPr>
    </w:p>
    <w:p w14:paraId="7951137C" w14:textId="77777777" w:rsidR="00A113B1" w:rsidRPr="00963B8C" w:rsidRDefault="00583C67" w:rsidP="005B4D33">
      <w:pPr>
        <w:autoSpaceDE w:val="0"/>
        <w:autoSpaceDN w:val="0"/>
        <w:spacing w:line="259" w:lineRule="auto"/>
        <w:jc w:val="both"/>
        <w:rPr>
          <w:rFonts w:eastAsiaTheme="minorHAnsi" w:cs="Arial"/>
          <w:szCs w:val="24"/>
          <w:lang w:eastAsia="en-US"/>
        </w:rPr>
      </w:pPr>
      <w:r w:rsidRPr="00963B8C">
        <w:rPr>
          <w:rFonts w:eastAsiaTheme="minorHAnsi" w:cs="Arial"/>
          <w:szCs w:val="24"/>
          <w:lang w:eastAsia="en-US"/>
        </w:rPr>
        <w:t xml:space="preserve">Some of these changes will be applied to people with protected characteristics. Age and disability protected characteristics are most likely to be affected. Given the financial position of Lancashire County Council, the levels of increase proposed, and the fact that these are not necessarily regularly incurred by members of groups with protected characteristics, we believe that the proposals will not have a disproportionate adverse impact on people with protected characteristics.    </w:t>
      </w:r>
    </w:p>
    <w:p w14:paraId="366578F4" w14:textId="77777777" w:rsidR="00A113B1" w:rsidRPr="00963B8C" w:rsidRDefault="00CB14F0" w:rsidP="005B4D33">
      <w:pPr>
        <w:autoSpaceDE w:val="0"/>
        <w:autoSpaceDN w:val="0"/>
        <w:spacing w:line="259" w:lineRule="auto"/>
        <w:jc w:val="both"/>
        <w:rPr>
          <w:rFonts w:eastAsiaTheme="minorHAnsi" w:cs="Arial"/>
          <w:b/>
          <w:szCs w:val="24"/>
          <w:lang w:eastAsia="en-US"/>
        </w:rPr>
      </w:pPr>
    </w:p>
    <w:p w14:paraId="6DDDFAAF" w14:textId="77777777" w:rsidR="00A113B1" w:rsidRPr="00963B8C" w:rsidRDefault="00583C67" w:rsidP="00A113B1">
      <w:pPr>
        <w:autoSpaceDE w:val="0"/>
        <w:autoSpaceDN w:val="0"/>
        <w:spacing w:line="259" w:lineRule="auto"/>
        <w:rPr>
          <w:rFonts w:eastAsiaTheme="minorHAnsi" w:cs="Arial"/>
          <w:b/>
          <w:szCs w:val="24"/>
          <w:lang w:eastAsia="en-US"/>
        </w:rPr>
      </w:pPr>
      <w:r w:rsidRPr="00963B8C">
        <w:rPr>
          <w:rFonts w:eastAsiaTheme="minorHAnsi" w:cs="Arial"/>
          <w:b/>
          <w:szCs w:val="24"/>
          <w:lang w:eastAsia="en-US"/>
        </w:rPr>
        <w:t>Risk Management</w:t>
      </w:r>
    </w:p>
    <w:p w14:paraId="3187C7A1" w14:textId="77777777" w:rsidR="007F1B8D" w:rsidRPr="00963B8C" w:rsidRDefault="007F1B8D" w:rsidP="005B4D33">
      <w:pPr>
        <w:autoSpaceDE w:val="0"/>
        <w:autoSpaceDN w:val="0"/>
        <w:spacing w:line="259" w:lineRule="auto"/>
        <w:jc w:val="both"/>
        <w:rPr>
          <w:rFonts w:eastAsiaTheme="minorHAnsi" w:cs="Arial"/>
          <w:b/>
          <w:szCs w:val="24"/>
          <w:lang w:eastAsia="en-US"/>
        </w:rPr>
      </w:pPr>
    </w:p>
    <w:p w14:paraId="77E707CD" w14:textId="77777777" w:rsidR="00FD4CD2" w:rsidRPr="00963B8C" w:rsidRDefault="00583C67" w:rsidP="005B4D33">
      <w:pPr>
        <w:autoSpaceDE w:val="0"/>
        <w:autoSpaceDN w:val="0"/>
        <w:spacing w:line="259" w:lineRule="auto"/>
        <w:jc w:val="both"/>
        <w:rPr>
          <w:rFonts w:eastAsiaTheme="minorHAnsi" w:cs="Arial"/>
          <w:szCs w:val="24"/>
          <w:lang w:eastAsia="en-US"/>
        </w:rPr>
      </w:pPr>
      <w:r w:rsidRPr="00963B8C">
        <w:rPr>
          <w:rFonts w:eastAsiaTheme="minorHAnsi" w:cs="Arial"/>
          <w:szCs w:val="24"/>
          <w:lang w:eastAsia="en-US"/>
        </w:rPr>
        <w:t xml:space="preserve">The proposed increases have been benchmarked and do not represent excessive increases which could provide a significant barrier to users. They are based on basic principles of service efficiency and effectiveness, cost recovery and value for money. The service will communicate with customers will explain the reasons for the changes. </w:t>
      </w:r>
    </w:p>
    <w:p w14:paraId="752349F7" w14:textId="77777777" w:rsidR="00FD4CD2" w:rsidRPr="00963B8C" w:rsidRDefault="00CB14F0" w:rsidP="005B4D33">
      <w:pPr>
        <w:jc w:val="both"/>
        <w:rPr>
          <w:rFonts w:cs="Arial"/>
          <w:szCs w:val="24"/>
        </w:rPr>
      </w:pPr>
    </w:p>
    <w:p w14:paraId="65D98ABB" w14:textId="77777777" w:rsidR="00FD4CD2" w:rsidRPr="00963B8C" w:rsidRDefault="00583C67" w:rsidP="00FD4CD2">
      <w:pPr>
        <w:pStyle w:val="Heading5"/>
        <w:rPr>
          <w:rFonts w:ascii="Arial" w:hAnsi="Arial" w:cs="Arial"/>
          <w:szCs w:val="24"/>
          <w:u w:val="none"/>
        </w:rPr>
      </w:pPr>
      <w:r w:rsidRPr="00963B8C">
        <w:rPr>
          <w:rFonts w:ascii="Arial" w:hAnsi="Arial" w:cs="Arial"/>
          <w:szCs w:val="24"/>
          <w:u w:val="none"/>
        </w:rPr>
        <w:t>List of Background Papers</w:t>
      </w:r>
    </w:p>
    <w:p w14:paraId="410236DE" w14:textId="77777777" w:rsidR="007F1B8D" w:rsidRPr="00963B8C" w:rsidRDefault="007F1B8D" w:rsidP="005B4D33">
      <w:pPr>
        <w:rPr>
          <w:rFonts w:cs="Arial"/>
          <w:szCs w:val="24"/>
        </w:rPr>
      </w:pPr>
    </w:p>
    <w:tbl>
      <w:tblPr>
        <w:tblW w:w="9180" w:type="dxa"/>
        <w:tblInd w:w="-108" w:type="dxa"/>
        <w:tblLayout w:type="fixed"/>
        <w:tblLook w:val="0000" w:firstRow="0" w:lastRow="0" w:firstColumn="0" w:lastColumn="0" w:noHBand="0" w:noVBand="0"/>
      </w:tblPr>
      <w:tblGrid>
        <w:gridCol w:w="3652"/>
        <w:gridCol w:w="2350"/>
        <w:gridCol w:w="3178"/>
      </w:tblGrid>
      <w:tr w:rsidR="007B7D8B" w:rsidRPr="00963B8C" w14:paraId="6CC5C3E0" w14:textId="77777777" w:rsidTr="00405896">
        <w:trPr>
          <w:trHeight w:val="113"/>
        </w:trPr>
        <w:tc>
          <w:tcPr>
            <w:tcW w:w="3652" w:type="dxa"/>
          </w:tcPr>
          <w:p w14:paraId="65AC0777" w14:textId="77777777" w:rsidR="00FD4CD2" w:rsidRPr="00963B8C" w:rsidRDefault="00583C67" w:rsidP="00FA142D">
            <w:pPr>
              <w:pStyle w:val="Heading7"/>
              <w:rPr>
                <w:rFonts w:ascii="Arial" w:hAnsi="Arial" w:cs="Arial"/>
                <w:szCs w:val="24"/>
                <w:u w:val="none"/>
              </w:rPr>
            </w:pPr>
            <w:r w:rsidRPr="00963B8C">
              <w:rPr>
                <w:rFonts w:ascii="Arial" w:hAnsi="Arial" w:cs="Arial"/>
                <w:szCs w:val="24"/>
                <w:u w:val="none"/>
              </w:rPr>
              <w:t>Paper</w:t>
            </w:r>
          </w:p>
        </w:tc>
        <w:tc>
          <w:tcPr>
            <w:tcW w:w="2350" w:type="dxa"/>
          </w:tcPr>
          <w:p w14:paraId="13A750C7" w14:textId="77777777" w:rsidR="00FD4CD2" w:rsidRPr="00963B8C" w:rsidRDefault="00583C67" w:rsidP="007F09CE">
            <w:pPr>
              <w:pStyle w:val="Heading7"/>
              <w:rPr>
                <w:rFonts w:ascii="Arial" w:hAnsi="Arial" w:cs="Arial"/>
                <w:szCs w:val="24"/>
                <w:u w:val="none"/>
              </w:rPr>
            </w:pPr>
            <w:r w:rsidRPr="00963B8C">
              <w:rPr>
                <w:rFonts w:ascii="Arial" w:hAnsi="Arial" w:cs="Arial"/>
                <w:szCs w:val="24"/>
                <w:u w:val="none"/>
              </w:rPr>
              <w:t>Date</w:t>
            </w:r>
          </w:p>
        </w:tc>
        <w:tc>
          <w:tcPr>
            <w:tcW w:w="3178" w:type="dxa"/>
          </w:tcPr>
          <w:p w14:paraId="14D28F07" w14:textId="77777777" w:rsidR="00FD4CD2" w:rsidRPr="00963B8C" w:rsidRDefault="00583C67" w:rsidP="007F09CE">
            <w:pPr>
              <w:pStyle w:val="Heading7"/>
              <w:rPr>
                <w:rFonts w:ascii="Arial" w:hAnsi="Arial" w:cs="Arial"/>
                <w:szCs w:val="24"/>
                <w:u w:val="none"/>
              </w:rPr>
            </w:pPr>
            <w:r w:rsidRPr="00963B8C">
              <w:rPr>
                <w:rFonts w:ascii="Arial" w:hAnsi="Arial" w:cs="Arial"/>
                <w:szCs w:val="24"/>
                <w:u w:val="none"/>
              </w:rPr>
              <w:t>Contact/Tel</w:t>
            </w:r>
          </w:p>
        </w:tc>
      </w:tr>
      <w:tr w:rsidR="007B7D8B" w:rsidRPr="00963B8C" w14:paraId="2A4A8E25" w14:textId="77777777" w:rsidTr="00405896">
        <w:trPr>
          <w:trHeight w:val="1440"/>
        </w:trPr>
        <w:tc>
          <w:tcPr>
            <w:tcW w:w="3652" w:type="dxa"/>
          </w:tcPr>
          <w:p w14:paraId="79F85B63" w14:textId="77777777" w:rsidR="00253475" w:rsidRPr="00963B8C" w:rsidRDefault="00CB14F0" w:rsidP="00B80583">
            <w:pPr>
              <w:rPr>
                <w:rFonts w:cs="Arial"/>
                <w:szCs w:val="24"/>
              </w:rPr>
            </w:pPr>
          </w:p>
          <w:p w14:paraId="47D6DE46" w14:textId="77777777" w:rsidR="00B80583" w:rsidRPr="00963B8C" w:rsidRDefault="00583C67" w:rsidP="00FA142D">
            <w:pPr>
              <w:rPr>
                <w:rFonts w:cs="Arial"/>
                <w:szCs w:val="24"/>
              </w:rPr>
            </w:pPr>
            <w:r w:rsidRPr="00963B8C">
              <w:rPr>
                <w:rFonts w:cs="Arial"/>
                <w:szCs w:val="24"/>
              </w:rPr>
              <w:t>Libraries, Museums, Culture and Registrars (LMCR) Proposed Policy</w:t>
            </w:r>
          </w:p>
          <w:p w14:paraId="0CDA5609" w14:textId="77777777" w:rsidR="00A113B1" w:rsidRPr="00963B8C" w:rsidRDefault="00583C67" w:rsidP="00B80583">
            <w:pPr>
              <w:rPr>
                <w:rFonts w:cs="Arial"/>
                <w:szCs w:val="24"/>
              </w:rPr>
            </w:pPr>
            <w:r w:rsidRPr="00963B8C">
              <w:rPr>
                <w:rFonts w:cs="Arial"/>
                <w:szCs w:val="24"/>
              </w:rPr>
              <w:t>Clarification and Interim Fees and Charges report</w:t>
            </w:r>
          </w:p>
          <w:p w14:paraId="2F2357EF" w14:textId="77777777" w:rsidR="003B734A" w:rsidRPr="00963B8C" w:rsidRDefault="003B734A" w:rsidP="00B80583">
            <w:pPr>
              <w:rPr>
                <w:rFonts w:cs="Arial"/>
                <w:szCs w:val="24"/>
              </w:rPr>
            </w:pPr>
          </w:p>
          <w:p w14:paraId="2B05E4A7" w14:textId="77777777" w:rsidR="003B734A" w:rsidRDefault="003B734A" w:rsidP="00B80583">
            <w:pPr>
              <w:rPr>
                <w:rFonts w:cs="Arial"/>
                <w:szCs w:val="24"/>
              </w:rPr>
            </w:pPr>
            <w:r w:rsidRPr="00963B8C">
              <w:rPr>
                <w:rFonts w:cs="Arial"/>
                <w:szCs w:val="24"/>
              </w:rPr>
              <w:t>Archive Service: Proposed Fees and Charges Report</w:t>
            </w:r>
          </w:p>
          <w:p w14:paraId="191A0045" w14:textId="79F13C4B" w:rsidR="00405896" w:rsidRPr="00963B8C" w:rsidRDefault="00405896" w:rsidP="00B80583">
            <w:pPr>
              <w:rPr>
                <w:rFonts w:cs="Arial"/>
                <w:szCs w:val="24"/>
              </w:rPr>
            </w:pPr>
          </w:p>
        </w:tc>
        <w:tc>
          <w:tcPr>
            <w:tcW w:w="2350" w:type="dxa"/>
          </w:tcPr>
          <w:p w14:paraId="15890C91" w14:textId="77777777" w:rsidR="00253475" w:rsidRPr="00963B8C" w:rsidRDefault="00CB14F0" w:rsidP="007F09CE">
            <w:pPr>
              <w:rPr>
                <w:rFonts w:cs="Arial"/>
                <w:szCs w:val="24"/>
              </w:rPr>
            </w:pPr>
          </w:p>
          <w:p w14:paraId="36A30C99" w14:textId="77777777" w:rsidR="00FD4CD2" w:rsidRPr="00963B8C" w:rsidRDefault="00583C67" w:rsidP="007F09CE">
            <w:pPr>
              <w:rPr>
                <w:rFonts w:cs="Arial"/>
                <w:szCs w:val="24"/>
              </w:rPr>
            </w:pPr>
            <w:r w:rsidRPr="00963B8C">
              <w:rPr>
                <w:rFonts w:cs="Arial"/>
                <w:szCs w:val="24"/>
              </w:rPr>
              <w:t>4 Nov 2015</w:t>
            </w:r>
          </w:p>
          <w:p w14:paraId="28270D18" w14:textId="77777777" w:rsidR="003B734A" w:rsidRPr="00963B8C" w:rsidRDefault="003B734A" w:rsidP="007F09CE">
            <w:pPr>
              <w:rPr>
                <w:rFonts w:cs="Arial"/>
                <w:szCs w:val="24"/>
              </w:rPr>
            </w:pPr>
          </w:p>
          <w:p w14:paraId="7D2E1E71" w14:textId="77777777" w:rsidR="003B734A" w:rsidRPr="00963B8C" w:rsidRDefault="003B734A" w:rsidP="007F09CE">
            <w:pPr>
              <w:rPr>
                <w:rFonts w:cs="Arial"/>
                <w:szCs w:val="24"/>
              </w:rPr>
            </w:pPr>
          </w:p>
          <w:p w14:paraId="6D52D540" w14:textId="77777777" w:rsidR="003B734A" w:rsidRPr="00963B8C" w:rsidRDefault="003B734A" w:rsidP="007F09CE">
            <w:pPr>
              <w:rPr>
                <w:rFonts w:cs="Arial"/>
                <w:szCs w:val="24"/>
              </w:rPr>
            </w:pPr>
          </w:p>
          <w:p w14:paraId="1DCBF05D" w14:textId="77777777" w:rsidR="003B734A" w:rsidRPr="00963B8C" w:rsidRDefault="003B734A" w:rsidP="007F09CE">
            <w:pPr>
              <w:rPr>
                <w:rFonts w:cs="Arial"/>
                <w:szCs w:val="24"/>
              </w:rPr>
            </w:pPr>
          </w:p>
          <w:p w14:paraId="33D0D9DB" w14:textId="77777777" w:rsidR="003B734A" w:rsidRPr="00963B8C" w:rsidRDefault="003B734A" w:rsidP="007F09CE">
            <w:pPr>
              <w:rPr>
                <w:rFonts w:cs="Arial"/>
                <w:szCs w:val="24"/>
              </w:rPr>
            </w:pPr>
          </w:p>
          <w:p w14:paraId="45B3E4AD" w14:textId="6E4277A1" w:rsidR="003B734A" w:rsidRPr="00963B8C" w:rsidRDefault="003B734A" w:rsidP="007F09CE">
            <w:pPr>
              <w:rPr>
                <w:rFonts w:cs="Arial"/>
                <w:szCs w:val="24"/>
              </w:rPr>
            </w:pPr>
            <w:r w:rsidRPr="00963B8C">
              <w:rPr>
                <w:rFonts w:cs="Arial"/>
                <w:szCs w:val="24"/>
              </w:rPr>
              <w:t>16 March 2016</w:t>
            </w:r>
          </w:p>
        </w:tc>
        <w:tc>
          <w:tcPr>
            <w:tcW w:w="3178" w:type="dxa"/>
          </w:tcPr>
          <w:p w14:paraId="21589E10" w14:textId="77777777" w:rsidR="00253475" w:rsidRPr="00963B8C" w:rsidRDefault="00CB14F0" w:rsidP="007F09CE">
            <w:pPr>
              <w:rPr>
                <w:rFonts w:cs="Arial"/>
                <w:szCs w:val="24"/>
              </w:rPr>
            </w:pPr>
          </w:p>
          <w:p w14:paraId="7E05C6B9" w14:textId="77777777" w:rsidR="003B734A" w:rsidRPr="00963B8C" w:rsidRDefault="00583C67" w:rsidP="007F09CE">
            <w:pPr>
              <w:rPr>
                <w:rFonts w:cs="Arial"/>
                <w:szCs w:val="24"/>
              </w:rPr>
            </w:pPr>
            <w:r w:rsidRPr="00963B8C">
              <w:rPr>
                <w:rFonts w:cs="Arial"/>
                <w:szCs w:val="24"/>
              </w:rPr>
              <w:t>Gareth Jones</w:t>
            </w:r>
            <w:r w:rsidR="003B734A" w:rsidRPr="00963B8C">
              <w:rPr>
                <w:rFonts w:cs="Arial"/>
                <w:szCs w:val="24"/>
              </w:rPr>
              <w:t xml:space="preserve">/(01772) </w:t>
            </w:r>
          </w:p>
          <w:p w14:paraId="06F449DD" w14:textId="4263607D" w:rsidR="00FD4CD2" w:rsidRPr="00963B8C" w:rsidRDefault="003B734A" w:rsidP="007F09CE">
            <w:pPr>
              <w:rPr>
                <w:rFonts w:cs="Arial"/>
                <w:szCs w:val="24"/>
              </w:rPr>
            </w:pPr>
            <w:r w:rsidRPr="00963B8C">
              <w:rPr>
                <w:rFonts w:cs="Arial"/>
                <w:szCs w:val="24"/>
              </w:rPr>
              <w:t>534007</w:t>
            </w:r>
          </w:p>
          <w:p w14:paraId="64C245D3" w14:textId="77777777" w:rsidR="003B734A" w:rsidRPr="00963B8C" w:rsidRDefault="003B734A" w:rsidP="007F09CE">
            <w:pPr>
              <w:rPr>
                <w:rFonts w:cs="Arial"/>
                <w:szCs w:val="24"/>
              </w:rPr>
            </w:pPr>
          </w:p>
          <w:p w14:paraId="0BFDA5BE" w14:textId="77777777" w:rsidR="003B734A" w:rsidRPr="00963B8C" w:rsidRDefault="003B734A" w:rsidP="007F09CE">
            <w:pPr>
              <w:rPr>
                <w:rFonts w:cs="Arial"/>
                <w:szCs w:val="24"/>
              </w:rPr>
            </w:pPr>
          </w:p>
          <w:p w14:paraId="1CCC27B1" w14:textId="77777777" w:rsidR="003B734A" w:rsidRPr="00963B8C" w:rsidRDefault="003B734A" w:rsidP="007F09CE">
            <w:pPr>
              <w:rPr>
                <w:rFonts w:cs="Arial"/>
                <w:szCs w:val="24"/>
              </w:rPr>
            </w:pPr>
          </w:p>
          <w:p w14:paraId="5F1B7795" w14:textId="77777777" w:rsidR="003B734A" w:rsidRPr="00963B8C" w:rsidRDefault="003B734A" w:rsidP="007F09CE">
            <w:pPr>
              <w:rPr>
                <w:rFonts w:cs="Arial"/>
                <w:szCs w:val="24"/>
              </w:rPr>
            </w:pPr>
          </w:p>
          <w:p w14:paraId="38494E62" w14:textId="77777777" w:rsidR="003B734A" w:rsidRPr="00963B8C" w:rsidRDefault="003B734A" w:rsidP="007F09CE">
            <w:pPr>
              <w:rPr>
                <w:rFonts w:cs="Arial"/>
                <w:szCs w:val="24"/>
              </w:rPr>
            </w:pPr>
            <w:r w:rsidRPr="00963B8C">
              <w:rPr>
                <w:rFonts w:cs="Arial"/>
                <w:szCs w:val="24"/>
              </w:rPr>
              <w:t xml:space="preserve">Jacquie Crosby/(01772) </w:t>
            </w:r>
          </w:p>
          <w:p w14:paraId="5FB47DCA" w14:textId="0A42DEA0" w:rsidR="003B734A" w:rsidRPr="00963B8C" w:rsidRDefault="003B734A" w:rsidP="007F09CE">
            <w:pPr>
              <w:rPr>
                <w:rFonts w:cs="Arial"/>
                <w:szCs w:val="24"/>
              </w:rPr>
            </w:pPr>
            <w:r w:rsidRPr="00963B8C">
              <w:rPr>
                <w:rFonts w:cs="Arial"/>
                <w:szCs w:val="24"/>
              </w:rPr>
              <w:t>533028</w:t>
            </w:r>
          </w:p>
        </w:tc>
      </w:tr>
      <w:tr w:rsidR="007B7D8B" w:rsidRPr="00963B8C" w14:paraId="582D43FD" w14:textId="77777777" w:rsidTr="00FA142D">
        <w:tc>
          <w:tcPr>
            <w:tcW w:w="9180" w:type="dxa"/>
            <w:gridSpan w:val="3"/>
          </w:tcPr>
          <w:p w14:paraId="7218273C" w14:textId="77777777" w:rsidR="00405896" w:rsidRPr="00963B8C" w:rsidRDefault="00405896" w:rsidP="00405896">
            <w:pPr>
              <w:rPr>
                <w:rFonts w:eastAsiaTheme="minorHAnsi" w:cs="Arial"/>
                <w:bCs/>
                <w:szCs w:val="24"/>
                <w:lang w:eastAsia="en-US"/>
              </w:rPr>
            </w:pPr>
            <w:r w:rsidRPr="00963B8C">
              <w:rPr>
                <w:rFonts w:eastAsiaTheme="minorHAnsi" w:cs="Arial"/>
                <w:bCs/>
                <w:szCs w:val="24"/>
                <w:lang w:eastAsia="en-US"/>
              </w:rPr>
              <w:t>Reason for inclusion in Part II, if appropriate:</w:t>
            </w:r>
          </w:p>
          <w:p w14:paraId="23A61751" w14:textId="77777777" w:rsidR="00405896" w:rsidRPr="00963B8C" w:rsidRDefault="00405896" w:rsidP="00405896">
            <w:pPr>
              <w:rPr>
                <w:rFonts w:eastAsiaTheme="minorHAnsi" w:cs="Arial"/>
                <w:bCs/>
                <w:szCs w:val="24"/>
                <w:lang w:eastAsia="en-US"/>
              </w:rPr>
            </w:pPr>
          </w:p>
          <w:p w14:paraId="35D95545" w14:textId="77777777" w:rsidR="00405896" w:rsidRPr="00963B8C" w:rsidRDefault="00405896" w:rsidP="00405896">
            <w:pPr>
              <w:rPr>
                <w:rFonts w:eastAsiaTheme="minorHAnsi" w:cs="Arial"/>
                <w:bCs/>
                <w:szCs w:val="24"/>
                <w:lang w:eastAsia="en-US"/>
              </w:rPr>
            </w:pPr>
            <w:r w:rsidRPr="00963B8C">
              <w:rPr>
                <w:rFonts w:eastAsiaTheme="minorHAnsi" w:cs="Arial"/>
                <w:bCs/>
                <w:szCs w:val="24"/>
                <w:lang w:eastAsia="en-US"/>
              </w:rPr>
              <w:t>N/A</w:t>
            </w:r>
          </w:p>
          <w:p w14:paraId="093BDA2A" w14:textId="77777777" w:rsidR="00FD4CD2" w:rsidRPr="00963B8C" w:rsidRDefault="00CB14F0" w:rsidP="007F09CE">
            <w:pPr>
              <w:rPr>
                <w:rFonts w:cs="Arial"/>
                <w:szCs w:val="24"/>
              </w:rPr>
            </w:pPr>
          </w:p>
        </w:tc>
      </w:tr>
    </w:tbl>
    <w:p w14:paraId="778C95AC" w14:textId="7025B831" w:rsidR="007F1B8D" w:rsidRPr="00963B8C" w:rsidRDefault="007F1B8D" w:rsidP="00405896">
      <w:pPr>
        <w:rPr>
          <w:rFonts w:eastAsiaTheme="minorHAnsi" w:cs="Arial"/>
          <w:bCs/>
          <w:szCs w:val="24"/>
          <w:lang w:eastAsia="en-US"/>
        </w:rPr>
      </w:pPr>
    </w:p>
    <w:sectPr w:rsidR="007F1B8D" w:rsidRPr="00963B8C" w:rsidSect="00FD4CD2">
      <w:footerReference w:type="default" r:id="rId8"/>
      <w:footerReference w:type="first" r:id="rId9"/>
      <w:pgSz w:w="11907" w:h="16840" w:code="9"/>
      <w:pgMar w:top="1440" w:right="1440" w:bottom="1440" w:left="1440" w:header="720" w:footer="306" w:gutter="0"/>
      <w:paperSrc w:first="7" w:other="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11ECC5" w14:textId="77777777" w:rsidR="00992911" w:rsidRDefault="00583C67">
      <w:r>
        <w:separator/>
      </w:r>
    </w:p>
  </w:endnote>
  <w:endnote w:type="continuationSeparator" w:id="0">
    <w:p w14:paraId="2C173463" w14:textId="77777777" w:rsidR="00992911" w:rsidRDefault="00583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Universal">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7B7D8B" w14:paraId="7E43FC81" w14:textId="77777777">
      <w:tc>
        <w:tcPr>
          <w:tcW w:w="9243" w:type="dxa"/>
          <w:tcBorders>
            <w:top w:val="nil"/>
            <w:left w:val="nil"/>
            <w:bottom w:val="nil"/>
            <w:right w:val="nil"/>
          </w:tcBorders>
        </w:tcPr>
        <w:p w14:paraId="179D07E1" w14:textId="77777777" w:rsidR="00421717" w:rsidRDefault="00CB14F0">
          <w:pPr>
            <w:pStyle w:val="Footer"/>
            <w:tabs>
              <w:tab w:val="clear" w:pos="4153"/>
            </w:tabs>
            <w:ind w:right="-45"/>
            <w:jc w:val="right"/>
          </w:pPr>
        </w:p>
      </w:tc>
    </w:tr>
  </w:tbl>
  <w:p w14:paraId="113AE2CB" w14:textId="77777777" w:rsidR="00421717" w:rsidRDefault="00CB14F0">
    <w:pPr>
      <w:pStyle w:val="Footer"/>
      <w:tabs>
        <w:tab w:val="clear" w:pos="4153"/>
      </w:tabs>
      <w:ind w:right="-45"/>
      <w:jc w:val="right"/>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7B7D8B" w14:paraId="2193F161" w14:textId="77777777">
      <w:tc>
        <w:tcPr>
          <w:tcW w:w="9243" w:type="dxa"/>
          <w:tcBorders>
            <w:top w:val="nil"/>
            <w:left w:val="nil"/>
            <w:bottom w:val="nil"/>
            <w:right w:val="nil"/>
          </w:tcBorders>
        </w:tcPr>
        <w:p w14:paraId="7E411372" w14:textId="77777777" w:rsidR="00421717" w:rsidRDefault="00583C67" w:rsidP="00421717">
          <w:pPr>
            <w:pStyle w:val="Footer"/>
            <w:tabs>
              <w:tab w:val="clear" w:pos="4153"/>
            </w:tabs>
            <w:ind w:right="-45"/>
            <w:jc w:val="right"/>
          </w:pPr>
          <w:r>
            <w:rPr>
              <w:noProof/>
            </w:rPr>
            <w:drawing>
              <wp:inline distT="0" distB="0" distL="0" distR="0" wp14:anchorId="68973C8B" wp14:editId="0CFA7EAF">
                <wp:extent cx="1257935" cy="629285"/>
                <wp:effectExtent l="0" t="0" r="0" b="0"/>
                <wp:docPr id="1" name="Picture 1" descr="A4 6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 65MM"/>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57935" cy="629285"/>
                        </a:xfrm>
                        <a:prstGeom prst="rect">
                          <a:avLst/>
                        </a:prstGeom>
                        <a:noFill/>
                        <a:ln>
                          <a:noFill/>
                        </a:ln>
                      </pic:spPr>
                    </pic:pic>
                  </a:graphicData>
                </a:graphic>
              </wp:inline>
            </w:drawing>
          </w:r>
        </w:p>
      </w:tc>
    </w:tr>
  </w:tbl>
  <w:p w14:paraId="439FDE8B" w14:textId="77777777" w:rsidR="00421717" w:rsidRPr="0036487C" w:rsidRDefault="00CB14F0" w:rsidP="004217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6AC0D2" w14:textId="77777777" w:rsidR="00992911" w:rsidRDefault="00583C67">
      <w:r>
        <w:separator/>
      </w:r>
    </w:p>
  </w:footnote>
  <w:footnote w:type="continuationSeparator" w:id="0">
    <w:p w14:paraId="312AED38" w14:textId="77777777" w:rsidR="00992911" w:rsidRDefault="00583C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817A4"/>
    <w:multiLevelType w:val="hybridMultilevel"/>
    <w:tmpl w:val="37506F42"/>
    <w:lvl w:ilvl="0" w:tplc="8648017A">
      <w:start w:val="1"/>
      <w:numFmt w:val="bullet"/>
      <w:lvlText w:val=""/>
      <w:lvlJc w:val="left"/>
      <w:pPr>
        <w:ind w:left="720" w:hanging="360"/>
      </w:pPr>
      <w:rPr>
        <w:rFonts w:ascii="Symbol" w:hAnsi="Symbol" w:hint="default"/>
      </w:rPr>
    </w:lvl>
    <w:lvl w:ilvl="1" w:tplc="027CCCA4" w:tentative="1">
      <w:start w:val="1"/>
      <w:numFmt w:val="bullet"/>
      <w:lvlText w:val="o"/>
      <w:lvlJc w:val="left"/>
      <w:pPr>
        <w:ind w:left="1440" w:hanging="360"/>
      </w:pPr>
      <w:rPr>
        <w:rFonts w:ascii="Courier New" w:hAnsi="Courier New" w:cs="Courier New" w:hint="default"/>
      </w:rPr>
    </w:lvl>
    <w:lvl w:ilvl="2" w:tplc="3E22EE22" w:tentative="1">
      <w:start w:val="1"/>
      <w:numFmt w:val="bullet"/>
      <w:lvlText w:val=""/>
      <w:lvlJc w:val="left"/>
      <w:pPr>
        <w:ind w:left="2160" w:hanging="360"/>
      </w:pPr>
      <w:rPr>
        <w:rFonts w:ascii="Wingdings" w:hAnsi="Wingdings" w:hint="default"/>
      </w:rPr>
    </w:lvl>
    <w:lvl w:ilvl="3" w:tplc="30EC39A0" w:tentative="1">
      <w:start w:val="1"/>
      <w:numFmt w:val="bullet"/>
      <w:lvlText w:val=""/>
      <w:lvlJc w:val="left"/>
      <w:pPr>
        <w:ind w:left="2880" w:hanging="360"/>
      </w:pPr>
      <w:rPr>
        <w:rFonts w:ascii="Symbol" w:hAnsi="Symbol" w:hint="default"/>
      </w:rPr>
    </w:lvl>
    <w:lvl w:ilvl="4" w:tplc="19B6B414" w:tentative="1">
      <w:start w:val="1"/>
      <w:numFmt w:val="bullet"/>
      <w:lvlText w:val="o"/>
      <w:lvlJc w:val="left"/>
      <w:pPr>
        <w:ind w:left="3600" w:hanging="360"/>
      </w:pPr>
      <w:rPr>
        <w:rFonts w:ascii="Courier New" w:hAnsi="Courier New" w:cs="Courier New" w:hint="default"/>
      </w:rPr>
    </w:lvl>
    <w:lvl w:ilvl="5" w:tplc="D06087AA" w:tentative="1">
      <w:start w:val="1"/>
      <w:numFmt w:val="bullet"/>
      <w:lvlText w:val=""/>
      <w:lvlJc w:val="left"/>
      <w:pPr>
        <w:ind w:left="4320" w:hanging="360"/>
      </w:pPr>
      <w:rPr>
        <w:rFonts w:ascii="Wingdings" w:hAnsi="Wingdings" w:hint="default"/>
      </w:rPr>
    </w:lvl>
    <w:lvl w:ilvl="6" w:tplc="EAC8A1A4" w:tentative="1">
      <w:start w:val="1"/>
      <w:numFmt w:val="bullet"/>
      <w:lvlText w:val=""/>
      <w:lvlJc w:val="left"/>
      <w:pPr>
        <w:ind w:left="5040" w:hanging="360"/>
      </w:pPr>
      <w:rPr>
        <w:rFonts w:ascii="Symbol" w:hAnsi="Symbol" w:hint="default"/>
      </w:rPr>
    </w:lvl>
    <w:lvl w:ilvl="7" w:tplc="B5643D8E" w:tentative="1">
      <w:start w:val="1"/>
      <w:numFmt w:val="bullet"/>
      <w:lvlText w:val="o"/>
      <w:lvlJc w:val="left"/>
      <w:pPr>
        <w:ind w:left="5760" w:hanging="360"/>
      </w:pPr>
      <w:rPr>
        <w:rFonts w:ascii="Courier New" w:hAnsi="Courier New" w:cs="Courier New" w:hint="default"/>
      </w:rPr>
    </w:lvl>
    <w:lvl w:ilvl="8" w:tplc="FC46A4B6" w:tentative="1">
      <w:start w:val="1"/>
      <w:numFmt w:val="bullet"/>
      <w:lvlText w:val=""/>
      <w:lvlJc w:val="left"/>
      <w:pPr>
        <w:ind w:left="6480" w:hanging="360"/>
      </w:pPr>
      <w:rPr>
        <w:rFonts w:ascii="Wingdings" w:hAnsi="Wingdings" w:hint="default"/>
      </w:rPr>
    </w:lvl>
  </w:abstractNum>
  <w:abstractNum w:abstractNumId="1" w15:restartNumberingAfterBreak="0">
    <w:nsid w:val="4DB977F4"/>
    <w:multiLevelType w:val="hybridMultilevel"/>
    <w:tmpl w:val="06CC3758"/>
    <w:lvl w:ilvl="0" w:tplc="7DCC851C">
      <w:start w:val="1"/>
      <w:numFmt w:val="lowerRoman"/>
      <w:lvlText w:val="(%1)"/>
      <w:lvlJc w:val="left"/>
      <w:pPr>
        <w:ind w:left="360" w:hanging="360"/>
      </w:pPr>
      <w:rPr>
        <w:rFonts w:ascii="Arial" w:eastAsiaTheme="minorHAnsi" w:hAnsi="Arial" w:cs="Arial"/>
        <w:b w:val="0"/>
      </w:rPr>
    </w:lvl>
    <w:lvl w:ilvl="1" w:tplc="2AC05706" w:tentative="1">
      <w:start w:val="1"/>
      <w:numFmt w:val="bullet"/>
      <w:lvlText w:val="o"/>
      <w:lvlJc w:val="left"/>
      <w:pPr>
        <w:ind w:left="1364" w:hanging="360"/>
      </w:pPr>
      <w:rPr>
        <w:rFonts w:ascii="Courier New" w:hAnsi="Courier New" w:cs="Courier New" w:hint="default"/>
      </w:rPr>
    </w:lvl>
    <w:lvl w:ilvl="2" w:tplc="D884D2BE" w:tentative="1">
      <w:start w:val="1"/>
      <w:numFmt w:val="bullet"/>
      <w:lvlText w:val=""/>
      <w:lvlJc w:val="left"/>
      <w:pPr>
        <w:ind w:left="2084" w:hanging="360"/>
      </w:pPr>
      <w:rPr>
        <w:rFonts w:ascii="Wingdings" w:hAnsi="Wingdings" w:hint="default"/>
      </w:rPr>
    </w:lvl>
    <w:lvl w:ilvl="3" w:tplc="5A746DEE" w:tentative="1">
      <w:start w:val="1"/>
      <w:numFmt w:val="bullet"/>
      <w:lvlText w:val=""/>
      <w:lvlJc w:val="left"/>
      <w:pPr>
        <w:ind w:left="2804" w:hanging="360"/>
      </w:pPr>
      <w:rPr>
        <w:rFonts w:ascii="Symbol" w:hAnsi="Symbol" w:hint="default"/>
      </w:rPr>
    </w:lvl>
    <w:lvl w:ilvl="4" w:tplc="CEBCBCBE" w:tentative="1">
      <w:start w:val="1"/>
      <w:numFmt w:val="bullet"/>
      <w:lvlText w:val="o"/>
      <w:lvlJc w:val="left"/>
      <w:pPr>
        <w:ind w:left="3524" w:hanging="360"/>
      </w:pPr>
      <w:rPr>
        <w:rFonts w:ascii="Courier New" w:hAnsi="Courier New" w:cs="Courier New" w:hint="default"/>
      </w:rPr>
    </w:lvl>
    <w:lvl w:ilvl="5" w:tplc="61848D6E" w:tentative="1">
      <w:start w:val="1"/>
      <w:numFmt w:val="bullet"/>
      <w:lvlText w:val=""/>
      <w:lvlJc w:val="left"/>
      <w:pPr>
        <w:ind w:left="4244" w:hanging="360"/>
      </w:pPr>
      <w:rPr>
        <w:rFonts w:ascii="Wingdings" w:hAnsi="Wingdings" w:hint="default"/>
      </w:rPr>
    </w:lvl>
    <w:lvl w:ilvl="6" w:tplc="409C0A14" w:tentative="1">
      <w:start w:val="1"/>
      <w:numFmt w:val="bullet"/>
      <w:lvlText w:val=""/>
      <w:lvlJc w:val="left"/>
      <w:pPr>
        <w:ind w:left="4964" w:hanging="360"/>
      </w:pPr>
      <w:rPr>
        <w:rFonts w:ascii="Symbol" w:hAnsi="Symbol" w:hint="default"/>
      </w:rPr>
    </w:lvl>
    <w:lvl w:ilvl="7" w:tplc="158263E0" w:tentative="1">
      <w:start w:val="1"/>
      <w:numFmt w:val="bullet"/>
      <w:lvlText w:val="o"/>
      <w:lvlJc w:val="left"/>
      <w:pPr>
        <w:ind w:left="5684" w:hanging="360"/>
      </w:pPr>
      <w:rPr>
        <w:rFonts w:ascii="Courier New" w:hAnsi="Courier New" w:cs="Courier New" w:hint="default"/>
      </w:rPr>
    </w:lvl>
    <w:lvl w:ilvl="8" w:tplc="DD42E63E" w:tentative="1">
      <w:start w:val="1"/>
      <w:numFmt w:val="bullet"/>
      <w:lvlText w:val=""/>
      <w:lvlJc w:val="left"/>
      <w:pPr>
        <w:ind w:left="6404" w:hanging="360"/>
      </w:pPr>
      <w:rPr>
        <w:rFonts w:ascii="Wingdings" w:hAnsi="Wingdings" w:hint="default"/>
      </w:rPr>
    </w:lvl>
  </w:abstractNum>
  <w:abstractNum w:abstractNumId="2" w15:restartNumberingAfterBreak="0">
    <w:nsid w:val="5F7839A3"/>
    <w:multiLevelType w:val="hybridMultilevel"/>
    <w:tmpl w:val="B4081D00"/>
    <w:lvl w:ilvl="0" w:tplc="6B8A2A2C">
      <w:start w:val="1"/>
      <w:numFmt w:val="bullet"/>
      <w:lvlText w:val=""/>
      <w:lvlJc w:val="left"/>
      <w:pPr>
        <w:ind w:left="720" w:hanging="360"/>
      </w:pPr>
      <w:rPr>
        <w:rFonts w:ascii="Symbol" w:hAnsi="Symbol" w:hint="default"/>
      </w:rPr>
    </w:lvl>
    <w:lvl w:ilvl="1" w:tplc="4F04BAC6" w:tentative="1">
      <w:start w:val="1"/>
      <w:numFmt w:val="lowerLetter"/>
      <w:lvlText w:val="%2."/>
      <w:lvlJc w:val="left"/>
      <w:pPr>
        <w:ind w:left="1440" w:hanging="360"/>
      </w:pPr>
    </w:lvl>
    <w:lvl w:ilvl="2" w:tplc="DA208492" w:tentative="1">
      <w:start w:val="1"/>
      <w:numFmt w:val="lowerRoman"/>
      <w:lvlText w:val="%3."/>
      <w:lvlJc w:val="right"/>
      <w:pPr>
        <w:ind w:left="2160" w:hanging="180"/>
      </w:pPr>
    </w:lvl>
    <w:lvl w:ilvl="3" w:tplc="607A9F28" w:tentative="1">
      <w:start w:val="1"/>
      <w:numFmt w:val="decimal"/>
      <w:lvlText w:val="%4."/>
      <w:lvlJc w:val="left"/>
      <w:pPr>
        <w:ind w:left="2880" w:hanging="360"/>
      </w:pPr>
    </w:lvl>
    <w:lvl w:ilvl="4" w:tplc="5FF226C2" w:tentative="1">
      <w:start w:val="1"/>
      <w:numFmt w:val="lowerLetter"/>
      <w:lvlText w:val="%5."/>
      <w:lvlJc w:val="left"/>
      <w:pPr>
        <w:ind w:left="3600" w:hanging="360"/>
      </w:pPr>
    </w:lvl>
    <w:lvl w:ilvl="5" w:tplc="24B8240A" w:tentative="1">
      <w:start w:val="1"/>
      <w:numFmt w:val="lowerRoman"/>
      <w:lvlText w:val="%6."/>
      <w:lvlJc w:val="right"/>
      <w:pPr>
        <w:ind w:left="4320" w:hanging="180"/>
      </w:pPr>
    </w:lvl>
    <w:lvl w:ilvl="6" w:tplc="005C0EFE" w:tentative="1">
      <w:start w:val="1"/>
      <w:numFmt w:val="decimal"/>
      <w:lvlText w:val="%7."/>
      <w:lvlJc w:val="left"/>
      <w:pPr>
        <w:ind w:left="5040" w:hanging="360"/>
      </w:pPr>
    </w:lvl>
    <w:lvl w:ilvl="7" w:tplc="8AD47ADE" w:tentative="1">
      <w:start w:val="1"/>
      <w:numFmt w:val="lowerLetter"/>
      <w:lvlText w:val="%8."/>
      <w:lvlJc w:val="left"/>
      <w:pPr>
        <w:ind w:left="5760" w:hanging="360"/>
      </w:pPr>
    </w:lvl>
    <w:lvl w:ilvl="8" w:tplc="1CAE92F6" w:tentative="1">
      <w:start w:val="1"/>
      <w:numFmt w:val="lowerRoman"/>
      <w:lvlText w:val="%9."/>
      <w:lvlJc w:val="right"/>
      <w:pPr>
        <w:ind w:left="6480" w:hanging="180"/>
      </w:pPr>
    </w:lvl>
  </w:abstractNum>
  <w:abstractNum w:abstractNumId="3" w15:restartNumberingAfterBreak="0">
    <w:nsid w:val="69C61CC9"/>
    <w:multiLevelType w:val="hybridMultilevel"/>
    <w:tmpl w:val="904E78C0"/>
    <w:lvl w:ilvl="0" w:tplc="02F00C18">
      <w:start w:val="2"/>
      <w:numFmt w:val="bullet"/>
      <w:lvlText w:val="-"/>
      <w:lvlJc w:val="left"/>
      <w:pPr>
        <w:ind w:left="720" w:hanging="360"/>
      </w:pPr>
      <w:rPr>
        <w:rFonts w:ascii="Calibri" w:eastAsia="Calibri" w:hAnsi="Calibri" w:cs="Arial" w:hint="default"/>
      </w:rPr>
    </w:lvl>
    <w:lvl w:ilvl="1" w:tplc="7AF813B2" w:tentative="1">
      <w:start w:val="1"/>
      <w:numFmt w:val="bullet"/>
      <w:lvlText w:val="o"/>
      <w:lvlJc w:val="left"/>
      <w:pPr>
        <w:ind w:left="1440" w:hanging="360"/>
      </w:pPr>
      <w:rPr>
        <w:rFonts w:ascii="Courier New" w:hAnsi="Courier New" w:cs="Courier New" w:hint="default"/>
      </w:rPr>
    </w:lvl>
    <w:lvl w:ilvl="2" w:tplc="DB4A4018" w:tentative="1">
      <w:start w:val="1"/>
      <w:numFmt w:val="bullet"/>
      <w:lvlText w:val=""/>
      <w:lvlJc w:val="left"/>
      <w:pPr>
        <w:ind w:left="2160" w:hanging="360"/>
      </w:pPr>
      <w:rPr>
        <w:rFonts w:ascii="Wingdings" w:hAnsi="Wingdings" w:hint="default"/>
      </w:rPr>
    </w:lvl>
    <w:lvl w:ilvl="3" w:tplc="44C6D8C8" w:tentative="1">
      <w:start w:val="1"/>
      <w:numFmt w:val="bullet"/>
      <w:lvlText w:val=""/>
      <w:lvlJc w:val="left"/>
      <w:pPr>
        <w:ind w:left="2880" w:hanging="360"/>
      </w:pPr>
      <w:rPr>
        <w:rFonts w:ascii="Symbol" w:hAnsi="Symbol" w:hint="default"/>
      </w:rPr>
    </w:lvl>
    <w:lvl w:ilvl="4" w:tplc="EAD8FA76" w:tentative="1">
      <w:start w:val="1"/>
      <w:numFmt w:val="bullet"/>
      <w:lvlText w:val="o"/>
      <w:lvlJc w:val="left"/>
      <w:pPr>
        <w:ind w:left="3600" w:hanging="360"/>
      </w:pPr>
      <w:rPr>
        <w:rFonts w:ascii="Courier New" w:hAnsi="Courier New" w:cs="Courier New" w:hint="default"/>
      </w:rPr>
    </w:lvl>
    <w:lvl w:ilvl="5" w:tplc="2F2AE772" w:tentative="1">
      <w:start w:val="1"/>
      <w:numFmt w:val="bullet"/>
      <w:lvlText w:val=""/>
      <w:lvlJc w:val="left"/>
      <w:pPr>
        <w:ind w:left="4320" w:hanging="360"/>
      </w:pPr>
      <w:rPr>
        <w:rFonts w:ascii="Wingdings" w:hAnsi="Wingdings" w:hint="default"/>
      </w:rPr>
    </w:lvl>
    <w:lvl w:ilvl="6" w:tplc="ADE470F4" w:tentative="1">
      <w:start w:val="1"/>
      <w:numFmt w:val="bullet"/>
      <w:lvlText w:val=""/>
      <w:lvlJc w:val="left"/>
      <w:pPr>
        <w:ind w:left="5040" w:hanging="360"/>
      </w:pPr>
      <w:rPr>
        <w:rFonts w:ascii="Symbol" w:hAnsi="Symbol" w:hint="default"/>
      </w:rPr>
    </w:lvl>
    <w:lvl w:ilvl="7" w:tplc="A04AB92C" w:tentative="1">
      <w:start w:val="1"/>
      <w:numFmt w:val="bullet"/>
      <w:lvlText w:val="o"/>
      <w:lvlJc w:val="left"/>
      <w:pPr>
        <w:ind w:left="5760" w:hanging="360"/>
      </w:pPr>
      <w:rPr>
        <w:rFonts w:ascii="Courier New" w:hAnsi="Courier New" w:cs="Courier New" w:hint="default"/>
      </w:rPr>
    </w:lvl>
    <w:lvl w:ilvl="8" w:tplc="5DAC0C10" w:tentative="1">
      <w:start w:val="1"/>
      <w:numFmt w:val="bullet"/>
      <w:lvlText w:val=""/>
      <w:lvlJc w:val="left"/>
      <w:pPr>
        <w:ind w:left="6480" w:hanging="360"/>
      </w:pPr>
      <w:rPr>
        <w:rFonts w:ascii="Wingdings" w:hAnsi="Wingdings" w:hint="default"/>
      </w:rPr>
    </w:lvl>
  </w:abstractNum>
  <w:abstractNum w:abstractNumId="4" w15:restartNumberingAfterBreak="0">
    <w:nsid w:val="7CB8691D"/>
    <w:multiLevelType w:val="hybridMultilevel"/>
    <w:tmpl w:val="BF2ED650"/>
    <w:lvl w:ilvl="0" w:tplc="BEFA08AC">
      <w:start w:val="1"/>
      <w:numFmt w:val="decimal"/>
      <w:lvlText w:val="%1)"/>
      <w:lvlJc w:val="left"/>
      <w:pPr>
        <w:ind w:left="720" w:hanging="360"/>
      </w:pPr>
      <w:rPr>
        <w:rFonts w:hint="default"/>
      </w:rPr>
    </w:lvl>
    <w:lvl w:ilvl="1" w:tplc="3124AA9E" w:tentative="1">
      <w:start w:val="1"/>
      <w:numFmt w:val="lowerLetter"/>
      <w:lvlText w:val="%2."/>
      <w:lvlJc w:val="left"/>
      <w:pPr>
        <w:ind w:left="1440" w:hanging="360"/>
      </w:pPr>
    </w:lvl>
    <w:lvl w:ilvl="2" w:tplc="02B8C81C" w:tentative="1">
      <w:start w:val="1"/>
      <w:numFmt w:val="lowerRoman"/>
      <w:lvlText w:val="%3."/>
      <w:lvlJc w:val="right"/>
      <w:pPr>
        <w:ind w:left="2160" w:hanging="180"/>
      </w:pPr>
    </w:lvl>
    <w:lvl w:ilvl="3" w:tplc="7848E7C6" w:tentative="1">
      <w:start w:val="1"/>
      <w:numFmt w:val="decimal"/>
      <w:lvlText w:val="%4."/>
      <w:lvlJc w:val="left"/>
      <w:pPr>
        <w:ind w:left="2880" w:hanging="360"/>
      </w:pPr>
    </w:lvl>
    <w:lvl w:ilvl="4" w:tplc="32289AAC" w:tentative="1">
      <w:start w:val="1"/>
      <w:numFmt w:val="lowerLetter"/>
      <w:lvlText w:val="%5."/>
      <w:lvlJc w:val="left"/>
      <w:pPr>
        <w:ind w:left="3600" w:hanging="360"/>
      </w:pPr>
    </w:lvl>
    <w:lvl w:ilvl="5" w:tplc="26863222" w:tentative="1">
      <w:start w:val="1"/>
      <w:numFmt w:val="lowerRoman"/>
      <w:lvlText w:val="%6."/>
      <w:lvlJc w:val="right"/>
      <w:pPr>
        <w:ind w:left="4320" w:hanging="180"/>
      </w:pPr>
    </w:lvl>
    <w:lvl w:ilvl="6" w:tplc="B5227A50" w:tentative="1">
      <w:start w:val="1"/>
      <w:numFmt w:val="decimal"/>
      <w:lvlText w:val="%7."/>
      <w:lvlJc w:val="left"/>
      <w:pPr>
        <w:ind w:left="5040" w:hanging="360"/>
      </w:pPr>
    </w:lvl>
    <w:lvl w:ilvl="7" w:tplc="D40C73BA" w:tentative="1">
      <w:start w:val="1"/>
      <w:numFmt w:val="lowerLetter"/>
      <w:lvlText w:val="%8."/>
      <w:lvlJc w:val="left"/>
      <w:pPr>
        <w:ind w:left="5760" w:hanging="360"/>
      </w:pPr>
    </w:lvl>
    <w:lvl w:ilvl="8" w:tplc="354AA8BE"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D8B"/>
    <w:rsid w:val="003B734A"/>
    <w:rsid w:val="00405896"/>
    <w:rsid w:val="00583C67"/>
    <w:rsid w:val="005B4D33"/>
    <w:rsid w:val="006560FB"/>
    <w:rsid w:val="007B7D8B"/>
    <w:rsid w:val="007F1B8D"/>
    <w:rsid w:val="00894BB6"/>
    <w:rsid w:val="00963B8C"/>
    <w:rsid w:val="00983ED0"/>
    <w:rsid w:val="00992911"/>
    <w:rsid w:val="00A476ED"/>
    <w:rsid w:val="00BF0AF7"/>
    <w:rsid w:val="00CB14F0"/>
    <w:rsid w:val="00DB1C0F"/>
    <w:rsid w:val="00F50AFC"/>
    <w:rsid w:val="00FA14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E160E"/>
  <w15:docId w15:val="{ECCF5712-476E-4641-8C28-4D2527D60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4CD2"/>
    <w:pPr>
      <w:spacing w:after="0" w:line="240" w:lineRule="auto"/>
    </w:pPr>
    <w:rPr>
      <w:rFonts w:ascii="Arial" w:eastAsia="Times New Roman" w:hAnsi="Arial" w:cs="Times New Roman"/>
      <w:sz w:val="24"/>
      <w:szCs w:val="20"/>
      <w:lang w:eastAsia="en-GB"/>
    </w:rPr>
  </w:style>
  <w:style w:type="paragraph" w:styleId="Heading5">
    <w:name w:val="heading 5"/>
    <w:basedOn w:val="Normal"/>
    <w:next w:val="Normal"/>
    <w:link w:val="Heading5Char"/>
    <w:qFormat/>
    <w:rsid w:val="00FD4CD2"/>
    <w:pPr>
      <w:keepNext/>
      <w:outlineLvl w:val="4"/>
    </w:pPr>
    <w:rPr>
      <w:rFonts w:ascii="Univers" w:hAnsi="Univers"/>
      <w:b/>
      <w:u w:val="single"/>
    </w:rPr>
  </w:style>
  <w:style w:type="paragraph" w:styleId="Heading6">
    <w:name w:val="heading 6"/>
    <w:basedOn w:val="Normal"/>
    <w:next w:val="Normal"/>
    <w:link w:val="Heading6Char"/>
    <w:qFormat/>
    <w:rsid w:val="00FD4CD2"/>
    <w:pPr>
      <w:keepNext/>
      <w:outlineLvl w:val="5"/>
    </w:pPr>
    <w:rPr>
      <w:rFonts w:ascii="Univers" w:hAnsi="Univers"/>
      <w:b/>
    </w:rPr>
  </w:style>
  <w:style w:type="paragraph" w:styleId="Heading7">
    <w:name w:val="heading 7"/>
    <w:basedOn w:val="Normal"/>
    <w:next w:val="Normal"/>
    <w:link w:val="Heading7Char"/>
    <w:qFormat/>
    <w:rsid w:val="00FD4CD2"/>
    <w:pPr>
      <w:keepNext/>
      <w:outlineLvl w:val="6"/>
    </w:pPr>
    <w:rPr>
      <w:rFonts w:ascii="Univers" w:hAnsi="Univer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FD4CD2"/>
    <w:rPr>
      <w:rFonts w:ascii="Univers" w:eastAsia="Times New Roman" w:hAnsi="Univers" w:cs="Times New Roman"/>
      <w:b/>
      <w:sz w:val="24"/>
      <w:szCs w:val="20"/>
      <w:u w:val="single"/>
      <w:lang w:eastAsia="en-GB"/>
    </w:rPr>
  </w:style>
  <w:style w:type="character" w:customStyle="1" w:styleId="Heading6Char">
    <w:name w:val="Heading 6 Char"/>
    <w:basedOn w:val="DefaultParagraphFont"/>
    <w:link w:val="Heading6"/>
    <w:rsid w:val="00FD4CD2"/>
    <w:rPr>
      <w:rFonts w:ascii="Univers" w:eastAsia="Times New Roman" w:hAnsi="Univers" w:cs="Times New Roman"/>
      <w:b/>
      <w:sz w:val="24"/>
      <w:szCs w:val="20"/>
      <w:lang w:eastAsia="en-GB"/>
    </w:rPr>
  </w:style>
  <w:style w:type="character" w:customStyle="1" w:styleId="Heading7Char">
    <w:name w:val="Heading 7 Char"/>
    <w:basedOn w:val="DefaultParagraphFont"/>
    <w:link w:val="Heading7"/>
    <w:rsid w:val="00FD4CD2"/>
    <w:rPr>
      <w:rFonts w:ascii="Univers" w:eastAsia="Times New Roman" w:hAnsi="Univers" w:cs="Times New Roman"/>
      <w:sz w:val="24"/>
      <w:szCs w:val="20"/>
      <w:u w:val="single"/>
      <w:lang w:eastAsia="en-GB"/>
    </w:rPr>
  </w:style>
  <w:style w:type="paragraph" w:styleId="Header">
    <w:name w:val="header"/>
    <w:basedOn w:val="Normal"/>
    <w:link w:val="HeaderChar"/>
    <w:rsid w:val="00FD4CD2"/>
    <w:rPr>
      <w:rFonts w:ascii="Universal" w:hAnsi="Universal"/>
    </w:rPr>
  </w:style>
  <w:style w:type="character" w:customStyle="1" w:styleId="HeaderChar">
    <w:name w:val="Header Char"/>
    <w:basedOn w:val="DefaultParagraphFont"/>
    <w:link w:val="Header"/>
    <w:rsid w:val="00FD4CD2"/>
    <w:rPr>
      <w:rFonts w:ascii="Universal" w:eastAsia="Times New Roman" w:hAnsi="Universal" w:cs="Times New Roman"/>
      <w:sz w:val="24"/>
      <w:szCs w:val="20"/>
      <w:lang w:eastAsia="en-GB"/>
    </w:rPr>
  </w:style>
  <w:style w:type="paragraph" w:styleId="BodyText">
    <w:name w:val="Body Text"/>
    <w:basedOn w:val="Normal"/>
    <w:link w:val="BodyTextChar"/>
    <w:rsid w:val="00FD4CD2"/>
  </w:style>
  <w:style w:type="character" w:customStyle="1" w:styleId="BodyTextChar">
    <w:name w:val="Body Text Char"/>
    <w:basedOn w:val="DefaultParagraphFont"/>
    <w:link w:val="BodyText"/>
    <w:rsid w:val="00FD4CD2"/>
    <w:rPr>
      <w:rFonts w:ascii="Arial" w:eastAsia="Times New Roman" w:hAnsi="Arial" w:cs="Times New Roman"/>
      <w:sz w:val="24"/>
      <w:szCs w:val="20"/>
      <w:lang w:eastAsia="en-GB"/>
    </w:rPr>
  </w:style>
  <w:style w:type="paragraph" w:styleId="Footer">
    <w:name w:val="footer"/>
    <w:basedOn w:val="Normal"/>
    <w:link w:val="FooterChar"/>
    <w:rsid w:val="00FD4CD2"/>
    <w:pPr>
      <w:tabs>
        <w:tab w:val="center" w:pos="4153"/>
        <w:tab w:val="right" w:pos="8306"/>
      </w:tabs>
    </w:pPr>
  </w:style>
  <w:style w:type="character" w:customStyle="1" w:styleId="FooterChar">
    <w:name w:val="Footer Char"/>
    <w:basedOn w:val="DefaultParagraphFont"/>
    <w:link w:val="Footer"/>
    <w:rsid w:val="00FD4CD2"/>
    <w:rPr>
      <w:rFonts w:ascii="Arial" w:eastAsia="Times New Roman" w:hAnsi="Arial" w:cs="Times New Roman"/>
      <w:sz w:val="24"/>
      <w:szCs w:val="20"/>
      <w:lang w:eastAsia="en-GB"/>
    </w:rPr>
  </w:style>
  <w:style w:type="paragraph" w:styleId="ListParagraph">
    <w:name w:val="List Paragraph"/>
    <w:basedOn w:val="Normal"/>
    <w:uiPriority w:val="34"/>
    <w:qFormat/>
    <w:rsid w:val="00FD4CD2"/>
    <w:pPr>
      <w:spacing w:after="160" w:line="259" w:lineRule="auto"/>
      <w:ind w:left="720"/>
      <w:contextualSpacing/>
    </w:pPr>
    <w:rPr>
      <w:rFonts w:ascii="Calibri" w:eastAsia="Calibri" w:hAnsi="Calibri"/>
      <w:sz w:val="22"/>
      <w:szCs w:val="22"/>
      <w:lang w:eastAsia="en-US"/>
    </w:rPr>
  </w:style>
  <w:style w:type="character" w:styleId="Hyperlink">
    <w:name w:val="Hyperlink"/>
    <w:basedOn w:val="DefaultParagraphFont"/>
    <w:uiPriority w:val="99"/>
    <w:unhideWhenUsed/>
    <w:rsid w:val="00B80583"/>
    <w:rPr>
      <w:color w:val="0563C1" w:themeColor="hyperlink"/>
      <w:u w:val="single"/>
    </w:rPr>
  </w:style>
  <w:style w:type="character" w:styleId="FollowedHyperlink">
    <w:name w:val="FollowedHyperlink"/>
    <w:basedOn w:val="DefaultParagraphFont"/>
    <w:uiPriority w:val="99"/>
    <w:semiHidden/>
    <w:unhideWhenUsed/>
    <w:rsid w:val="00B80583"/>
    <w:rPr>
      <w:color w:val="954F72" w:themeColor="followedHyperlink"/>
      <w:u w:val="single"/>
    </w:rPr>
  </w:style>
  <w:style w:type="paragraph" w:styleId="BalloonText">
    <w:name w:val="Balloon Text"/>
    <w:basedOn w:val="Normal"/>
    <w:link w:val="BalloonTextChar"/>
    <w:uiPriority w:val="99"/>
    <w:semiHidden/>
    <w:unhideWhenUsed/>
    <w:rsid w:val="003A20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20A7"/>
    <w:rPr>
      <w:rFonts w:ascii="Segoe UI" w:eastAsia="Times New Roman" w:hAnsi="Segoe UI" w:cs="Segoe UI"/>
      <w:sz w:val="18"/>
      <w:szCs w:val="18"/>
      <w:lang w:eastAsia="en-GB"/>
    </w:rPr>
  </w:style>
  <w:style w:type="character" w:styleId="CommentReference">
    <w:name w:val="annotation reference"/>
    <w:basedOn w:val="DefaultParagraphFont"/>
    <w:uiPriority w:val="99"/>
    <w:semiHidden/>
    <w:unhideWhenUsed/>
    <w:rsid w:val="00E258D8"/>
    <w:rPr>
      <w:sz w:val="16"/>
      <w:szCs w:val="16"/>
    </w:rPr>
  </w:style>
  <w:style w:type="paragraph" w:styleId="CommentText">
    <w:name w:val="annotation text"/>
    <w:basedOn w:val="Normal"/>
    <w:link w:val="CommentTextChar"/>
    <w:uiPriority w:val="99"/>
    <w:semiHidden/>
    <w:unhideWhenUsed/>
    <w:rsid w:val="00E258D8"/>
    <w:rPr>
      <w:sz w:val="20"/>
    </w:rPr>
  </w:style>
  <w:style w:type="character" w:customStyle="1" w:styleId="CommentTextChar">
    <w:name w:val="Comment Text Char"/>
    <w:basedOn w:val="DefaultParagraphFont"/>
    <w:link w:val="CommentText"/>
    <w:uiPriority w:val="99"/>
    <w:semiHidden/>
    <w:rsid w:val="00E258D8"/>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E258D8"/>
    <w:rPr>
      <w:b/>
      <w:bCs/>
    </w:rPr>
  </w:style>
  <w:style w:type="character" w:customStyle="1" w:styleId="CommentSubjectChar">
    <w:name w:val="Comment Subject Char"/>
    <w:basedOn w:val="CommentTextChar"/>
    <w:link w:val="CommentSubject"/>
    <w:uiPriority w:val="99"/>
    <w:semiHidden/>
    <w:rsid w:val="00E258D8"/>
    <w:rPr>
      <w:rFonts w:ascii="Arial" w:eastAsia="Times New Roman" w:hAnsi="Arial" w:cs="Times New Roman"/>
      <w:b/>
      <w:bCs/>
      <w:sz w:val="20"/>
      <w:szCs w:val="20"/>
      <w:lang w:eastAsia="en-GB"/>
    </w:rPr>
  </w:style>
  <w:style w:type="paragraph" w:styleId="Revision">
    <w:name w:val="Revision"/>
    <w:hidden/>
    <w:uiPriority w:val="99"/>
    <w:semiHidden/>
    <w:rsid w:val="00011676"/>
    <w:pPr>
      <w:spacing w:after="0" w:line="240" w:lineRule="auto"/>
    </w:pPr>
    <w:rPr>
      <w:rFonts w:ascii="Arial" w:eastAsia="Times New Roman" w:hAnsi="Arial"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julie.bell@lancashire.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3</Pages>
  <Words>817</Words>
  <Characters>4663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5470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Bell, Julie</dc:creator>
  <cp:lastModifiedBy>Maya Evenson</cp:lastModifiedBy>
  <cp:revision>31</cp:revision>
  <dcterms:created xsi:type="dcterms:W3CDTF">2017-12-05T13:56:00Z</dcterms:created>
  <dcterms:modified xsi:type="dcterms:W3CDTF">2018-01-08T13:03:00Z</dcterms:modified>
</cp:coreProperties>
</file>