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D8" w:rsidRPr="005F60D8" w:rsidRDefault="00C56E86">
      <w:pPr>
        <w:rPr>
          <w:b/>
          <w:u w:val="single"/>
        </w:rPr>
      </w:pPr>
      <w:r w:rsidRPr="005F60D8">
        <w:rPr>
          <w:b/>
          <w:u w:val="single"/>
        </w:rPr>
        <w:t xml:space="preserve">Appendix </w:t>
      </w:r>
      <w:r>
        <w:rPr>
          <w:b/>
          <w:u w:val="single"/>
        </w:rPr>
        <w:t>A</w:t>
      </w:r>
      <w:r w:rsidRPr="005F60D8">
        <w:rPr>
          <w:b/>
          <w:u w:val="single"/>
        </w:rPr>
        <w:t xml:space="preserve"> - Harr</w:t>
      </w:r>
      <w:r>
        <w:rPr>
          <w:b/>
          <w:u w:val="single"/>
        </w:rPr>
        <w:t>is single team options analysis</w:t>
      </w:r>
    </w:p>
    <w:p w:rsidR="00B21F64" w:rsidRDefault="00C56E86">
      <w:r>
        <w:t>An officer working group involving representation from the finance, legal and HR departments of both c</w:t>
      </w:r>
      <w:r>
        <w:t>ouncils met several times during 2016 and 2017 to discuss the development of a shared service and potential single team at the Harris.  The Harris Project Leader also met with Members and senior officers from both councils to discuss the ambition to create</w:t>
      </w:r>
      <w:r>
        <w:t xml:space="preserve"> a single team.</w:t>
      </w:r>
    </w:p>
    <w:p w:rsidR="00593F9D" w:rsidRDefault="00C56E86">
      <w:r>
        <w:t>The options appraisal below was developed from the feedback secured from these meetings and interviews.  The key requirements reflect the main concerns identified by the two councils.</w:t>
      </w:r>
    </w:p>
    <w:p w:rsidR="00593F9D" w:rsidRDefault="00C56E86">
      <w:r>
        <w:t>The appraisal uses the following scoring system.</w:t>
      </w:r>
    </w:p>
    <w:p w:rsidR="00593F9D" w:rsidRDefault="00C56E86" w:rsidP="00593F9D">
      <w:r>
        <w:t>0 – Doe</w:t>
      </w:r>
      <w:r>
        <w:t>s not meet requirements</w:t>
      </w:r>
    </w:p>
    <w:p w:rsidR="00593F9D" w:rsidRDefault="00C56E86" w:rsidP="00593F9D">
      <w:r>
        <w:t>1 – Partly meets requirements</w:t>
      </w:r>
    </w:p>
    <w:p w:rsidR="00593F9D" w:rsidRDefault="00C56E86" w:rsidP="00593F9D">
      <w:r>
        <w:t>2 – Meets requirements</w:t>
      </w:r>
    </w:p>
    <w:p w:rsidR="005F60D8" w:rsidRDefault="00C56E86">
      <w:r>
        <w:t>3 – Exceeds requirements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0F7FA6" w:rsidRPr="00C56E86" w:rsidTr="0088172C">
        <w:tc>
          <w:tcPr>
            <w:tcW w:w="2324" w:type="dxa"/>
          </w:tcPr>
          <w:p w:rsidR="0088172C" w:rsidRPr="00C56E86" w:rsidRDefault="00C56E86">
            <w:pPr>
              <w:rPr>
                <w:rFonts w:ascii="Arial" w:hAnsi="Arial" w:cs="Arial"/>
              </w:rPr>
            </w:pPr>
            <w:r w:rsidRPr="00C56E86">
              <w:rPr>
                <w:rFonts w:ascii="Arial" w:hAnsi="Arial" w:cs="Arial"/>
              </w:rPr>
              <w:t>Key requirements of staffing approach</w:t>
            </w:r>
          </w:p>
        </w:tc>
        <w:tc>
          <w:tcPr>
            <w:tcW w:w="2324" w:type="dxa"/>
          </w:tcPr>
          <w:p w:rsidR="0088172C" w:rsidRPr="00C56E86" w:rsidRDefault="00C56E86" w:rsidP="0088172C">
            <w:pPr>
              <w:rPr>
                <w:rFonts w:ascii="Arial" w:hAnsi="Arial" w:cs="Arial"/>
                <w:b/>
              </w:rPr>
            </w:pPr>
            <w:r w:rsidRPr="00C56E86">
              <w:rPr>
                <w:rFonts w:ascii="Arial" w:hAnsi="Arial" w:cs="Arial"/>
                <w:b/>
              </w:rPr>
              <w:t>Staffing situation remains the same</w:t>
            </w:r>
          </w:p>
          <w:p w:rsidR="0088172C" w:rsidRPr="00C56E86" w:rsidRDefault="00C56E86" w:rsidP="0088172C">
            <w:pPr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</w:tcPr>
          <w:p w:rsidR="0088172C" w:rsidRPr="00C56E86" w:rsidRDefault="00C56E86" w:rsidP="00F718F8">
            <w:pPr>
              <w:rPr>
                <w:rFonts w:ascii="Arial" w:hAnsi="Arial" w:cs="Arial"/>
                <w:b/>
              </w:rPr>
            </w:pPr>
            <w:r w:rsidRPr="00C56E86">
              <w:rPr>
                <w:rFonts w:ascii="Arial" w:hAnsi="Arial" w:cs="Arial"/>
                <w:b/>
              </w:rPr>
              <w:t xml:space="preserve">Single team for the Harris. </w:t>
            </w:r>
            <w:r w:rsidRPr="00C56E86">
              <w:rPr>
                <w:rFonts w:ascii="Arial" w:hAnsi="Arial" w:cs="Arial"/>
                <w:b/>
              </w:rPr>
              <w:t>S</w:t>
            </w:r>
            <w:r w:rsidRPr="00C56E86">
              <w:rPr>
                <w:rFonts w:ascii="Arial" w:hAnsi="Arial" w:cs="Arial"/>
                <w:b/>
              </w:rPr>
              <w:t>taff retain existin</w:t>
            </w:r>
            <w:r w:rsidRPr="00C56E86">
              <w:rPr>
                <w:rFonts w:ascii="Arial" w:hAnsi="Arial" w:cs="Arial"/>
                <w:b/>
              </w:rPr>
              <w:t>g employer, pay and conditions</w:t>
            </w:r>
          </w:p>
        </w:tc>
        <w:tc>
          <w:tcPr>
            <w:tcW w:w="2325" w:type="dxa"/>
          </w:tcPr>
          <w:p w:rsidR="0088172C" w:rsidRPr="00C56E86" w:rsidRDefault="00C56E86" w:rsidP="0088172C">
            <w:pPr>
              <w:rPr>
                <w:rFonts w:ascii="Arial" w:hAnsi="Arial" w:cs="Arial"/>
                <w:b/>
              </w:rPr>
            </w:pPr>
            <w:r w:rsidRPr="00C56E86">
              <w:rPr>
                <w:rFonts w:ascii="Arial" w:hAnsi="Arial" w:cs="Arial"/>
                <w:b/>
              </w:rPr>
              <w:t>Single team for the Har</w:t>
            </w:r>
            <w:r w:rsidRPr="00C56E86">
              <w:rPr>
                <w:rFonts w:ascii="Arial" w:hAnsi="Arial" w:cs="Arial"/>
                <w:b/>
              </w:rPr>
              <w:t>ris.  PCC staff transfer to LCC</w:t>
            </w:r>
          </w:p>
          <w:p w:rsidR="0088172C" w:rsidRPr="00C56E86" w:rsidRDefault="00C56E8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</w:tcPr>
          <w:p w:rsidR="0088172C" w:rsidRPr="00C56E86" w:rsidRDefault="00C56E86" w:rsidP="0088172C">
            <w:pPr>
              <w:rPr>
                <w:rFonts w:ascii="Arial" w:hAnsi="Arial" w:cs="Arial"/>
                <w:b/>
              </w:rPr>
            </w:pPr>
            <w:r w:rsidRPr="00C56E86">
              <w:rPr>
                <w:rFonts w:ascii="Arial" w:hAnsi="Arial" w:cs="Arial"/>
                <w:b/>
              </w:rPr>
              <w:t>Single team for the Har</w:t>
            </w:r>
            <w:r w:rsidRPr="00C56E86">
              <w:rPr>
                <w:rFonts w:ascii="Arial" w:hAnsi="Arial" w:cs="Arial"/>
                <w:b/>
              </w:rPr>
              <w:t>ris.  LCC staff transfer to PCC</w:t>
            </w:r>
          </w:p>
          <w:p w:rsidR="0088172C" w:rsidRPr="00C56E86" w:rsidRDefault="00C56E86">
            <w:pPr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</w:tcPr>
          <w:p w:rsidR="007236F2" w:rsidRPr="00C56E86" w:rsidRDefault="00C56E86">
            <w:pPr>
              <w:rPr>
                <w:rFonts w:ascii="Arial" w:hAnsi="Arial" w:cs="Arial"/>
                <w:b/>
              </w:rPr>
            </w:pPr>
            <w:r w:rsidRPr="00C56E86">
              <w:rPr>
                <w:rFonts w:ascii="Arial" w:hAnsi="Arial" w:cs="Arial"/>
                <w:b/>
              </w:rPr>
              <w:t>Single team for the Harris.  LCC and PCC staff transfer t</w:t>
            </w:r>
            <w:r w:rsidRPr="00C56E86">
              <w:rPr>
                <w:rFonts w:ascii="Arial" w:hAnsi="Arial" w:cs="Arial"/>
                <w:b/>
              </w:rPr>
              <w:t>o third party (e.g. Trust, CIC)</w:t>
            </w:r>
          </w:p>
        </w:tc>
      </w:tr>
      <w:tr w:rsidR="000F7FA6" w:rsidTr="0088172C">
        <w:tc>
          <w:tcPr>
            <w:tcW w:w="2324" w:type="dxa"/>
          </w:tcPr>
          <w:p w:rsidR="0088172C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t>Meet expectations of funders (e.g. HLF, ACE)</w:t>
            </w:r>
          </w:p>
        </w:tc>
        <w:tc>
          <w:tcPr>
            <w:tcW w:w="2324" w:type="dxa"/>
          </w:tcPr>
          <w:p w:rsidR="0088172C" w:rsidRDefault="00C56E86">
            <w:r>
              <w:t xml:space="preserve">0 – </w:t>
            </w:r>
            <w:r>
              <w:t>Funders are clear they expect a single team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1 – Creates single team but still have to work across both </w:t>
            </w:r>
            <w:r>
              <w:t>c</w:t>
            </w:r>
            <w:r>
              <w:t>ouncils</w:t>
            </w:r>
          </w:p>
        </w:tc>
        <w:tc>
          <w:tcPr>
            <w:tcW w:w="2325" w:type="dxa"/>
          </w:tcPr>
          <w:p w:rsidR="0088172C" w:rsidRDefault="00C56E86">
            <w:r>
              <w:t>2 – Meets the expectations of funders</w:t>
            </w:r>
          </w:p>
        </w:tc>
        <w:tc>
          <w:tcPr>
            <w:tcW w:w="2325" w:type="dxa"/>
          </w:tcPr>
          <w:p w:rsidR="0088172C" w:rsidRDefault="00C56E86">
            <w:r>
              <w:t xml:space="preserve">2 </w:t>
            </w:r>
            <w:r w:rsidRPr="00593F9D">
              <w:t>– Meets the expectations of funders</w:t>
            </w:r>
          </w:p>
        </w:tc>
        <w:tc>
          <w:tcPr>
            <w:tcW w:w="2325" w:type="dxa"/>
          </w:tcPr>
          <w:p w:rsidR="0088172C" w:rsidRDefault="00C56E86">
            <w:r>
              <w:t xml:space="preserve">2 </w:t>
            </w:r>
            <w:r w:rsidRPr="00593F9D">
              <w:t>– Meets the expectations of funders</w:t>
            </w:r>
          </w:p>
        </w:tc>
      </w:tr>
      <w:tr w:rsidR="000F7FA6" w:rsidTr="0088172C">
        <w:tc>
          <w:tcPr>
            <w:tcW w:w="2324" w:type="dxa"/>
          </w:tcPr>
          <w:p w:rsidR="0088172C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t xml:space="preserve">Deliver services effectively </w:t>
            </w:r>
            <w:r w:rsidRPr="00B9397A">
              <w:rPr>
                <w:b/>
              </w:rPr>
              <w:t>and efficiently</w:t>
            </w:r>
          </w:p>
        </w:tc>
        <w:tc>
          <w:tcPr>
            <w:tcW w:w="2324" w:type="dxa"/>
          </w:tcPr>
          <w:p w:rsidR="0088172C" w:rsidRDefault="00C56E86">
            <w:r>
              <w:t>1 – Hard to align key services such as front of house delivery with differing pay and terms</w:t>
            </w:r>
          </w:p>
        </w:tc>
        <w:tc>
          <w:tcPr>
            <w:tcW w:w="2325" w:type="dxa"/>
          </w:tcPr>
          <w:p w:rsidR="0088172C" w:rsidRDefault="00C56E86">
            <w:r>
              <w:t>1 - Hard</w:t>
            </w:r>
            <w:r w:rsidRPr="007236F2">
              <w:t xml:space="preserve"> to align key services such as front of house delivery with differing pay and terms</w:t>
            </w:r>
          </w:p>
        </w:tc>
        <w:tc>
          <w:tcPr>
            <w:tcW w:w="2325" w:type="dxa"/>
          </w:tcPr>
          <w:p w:rsidR="0088172C" w:rsidRDefault="00C56E86">
            <w:r>
              <w:t>2 – Services can be aligned and co-ordinated in an effec</w:t>
            </w:r>
            <w:r>
              <w:t>tive manner</w:t>
            </w:r>
          </w:p>
        </w:tc>
        <w:tc>
          <w:tcPr>
            <w:tcW w:w="2325" w:type="dxa"/>
          </w:tcPr>
          <w:p w:rsidR="0088172C" w:rsidRDefault="00C56E86">
            <w:r>
              <w:t xml:space="preserve">2 </w:t>
            </w:r>
            <w:r w:rsidRPr="000C1476">
              <w:t>– Services can be aligned and co-ordinated in an effective manner</w:t>
            </w:r>
          </w:p>
        </w:tc>
        <w:tc>
          <w:tcPr>
            <w:tcW w:w="2325" w:type="dxa"/>
          </w:tcPr>
          <w:p w:rsidR="0088172C" w:rsidRDefault="00C56E86">
            <w:r>
              <w:t xml:space="preserve">2 </w:t>
            </w:r>
            <w:r w:rsidRPr="000C1476">
              <w:t>– Services can be aligned and co-ordinated in an effective manner</w:t>
            </w:r>
          </w:p>
        </w:tc>
      </w:tr>
      <w:tr w:rsidR="000F7FA6" w:rsidTr="0088172C">
        <w:tc>
          <w:tcPr>
            <w:tcW w:w="2324" w:type="dxa"/>
          </w:tcPr>
          <w:p w:rsidR="0088172C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lastRenderedPageBreak/>
              <w:t>Enables the Harris to adopt a more commercial approach</w:t>
            </w:r>
          </w:p>
        </w:tc>
        <w:tc>
          <w:tcPr>
            <w:tcW w:w="2324" w:type="dxa"/>
          </w:tcPr>
          <w:p w:rsidR="0088172C" w:rsidRDefault="00C56E86" w:rsidP="00317C09">
            <w:r>
              <w:t xml:space="preserve">0 – Very difficult to deliver enterprising </w:t>
            </w:r>
            <w:r>
              <w:t xml:space="preserve">approach working across procedures and policies of 2 </w:t>
            </w:r>
            <w:r>
              <w:t>c</w:t>
            </w:r>
            <w:r>
              <w:t>ouncils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0 - </w:t>
            </w:r>
            <w:r w:rsidRPr="00B16AE3">
              <w:t xml:space="preserve">Very difficult to deliver enterprising approach working across procedures and policies of 2 </w:t>
            </w:r>
            <w:r>
              <w:t>c</w:t>
            </w:r>
            <w:r w:rsidRPr="00B16AE3">
              <w:t>ouncils</w:t>
            </w:r>
          </w:p>
        </w:tc>
        <w:tc>
          <w:tcPr>
            <w:tcW w:w="2325" w:type="dxa"/>
          </w:tcPr>
          <w:p w:rsidR="0088172C" w:rsidRDefault="00C56E86" w:rsidP="00317C09">
            <w:r>
              <w:t>2 – Greater freedom and flexibility will be enabled by a move to a team delivered by a si</w:t>
            </w:r>
            <w:r>
              <w:t xml:space="preserve">ngle </w:t>
            </w:r>
            <w:r>
              <w:t>c</w:t>
            </w:r>
            <w:r>
              <w:t>ouncil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2 - </w:t>
            </w:r>
            <w:r w:rsidRPr="002B3CA5">
              <w:t xml:space="preserve">Greater freedom and flexibility will be enabled by a move to a team delivered by a single </w:t>
            </w:r>
            <w:r>
              <w:t>c</w:t>
            </w:r>
            <w:r w:rsidRPr="002B3CA5">
              <w:t>ouncil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3 – Moving away from direct </w:t>
            </w:r>
            <w:r>
              <w:t>council</w:t>
            </w:r>
            <w:r>
              <w:t xml:space="preserve"> control would allow enhanced freedoms and flexibilities</w:t>
            </w:r>
          </w:p>
        </w:tc>
      </w:tr>
      <w:tr w:rsidR="000F7FA6" w:rsidTr="0088172C">
        <w:tc>
          <w:tcPr>
            <w:tcW w:w="2324" w:type="dxa"/>
          </w:tcPr>
          <w:p w:rsidR="0088172C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t>Understands and meets the needs and expectations</w:t>
            </w:r>
            <w:r w:rsidRPr="00B9397A">
              <w:rPr>
                <w:b/>
              </w:rPr>
              <w:t xml:space="preserve"> of users</w:t>
            </w:r>
          </w:p>
        </w:tc>
        <w:tc>
          <w:tcPr>
            <w:tcW w:w="2324" w:type="dxa"/>
          </w:tcPr>
          <w:p w:rsidR="0088172C" w:rsidRDefault="00C56E86" w:rsidP="002B3CA5">
            <w:r>
              <w:t>1 – Very difficult to deliver across two separately delivered services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1 – Difficult to deliver across two </w:t>
            </w:r>
            <w:r>
              <w:t>c</w:t>
            </w:r>
            <w:r>
              <w:t>ouncils with differing engagement processes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2 – More straightforward to understand users and shape services if team delivery by 1 </w:t>
            </w:r>
            <w:r>
              <w:t>c</w:t>
            </w:r>
            <w:r>
              <w:t>ouncil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2 </w:t>
            </w:r>
            <w:r w:rsidRPr="002B3CA5">
              <w:t xml:space="preserve">– More straightforward to understand users and shape services if team delivery by 1 </w:t>
            </w:r>
            <w:r>
              <w:t>c</w:t>
            </w:r>
            <w:r w:rsidRPr="002B3CA5">
              <w:t>ouncil</w:t>
            </w:r>
          </w:p>
        </w:tc>
        <w:tc>
          <w:tcPr>
            <w:tcW w:w="2325" w:type="dxa"/>
          </w:tcPr>
          <w:p w:rsidR="0088172C" w:rsidRDefault="00C56E86">
            <w:r>
              <w:t xml:space="preserve">2 - </w:t>
            </w:r>
            <w:r w:rsidRPr="000C1476">
              <w:t>More straightforward to understand users and shape service</w:t>
            </w:r>
            <w:r>
              <w:t>s if team delivery by third party</w:t>
            </w:r>
          </w:p>
        </w:tc>
      </w:tr>
      <w:tr w:rsidR="000F7FA6" w:rsidTr="0088172C">
        <w:tc>
          <w:tcPr>
            <w:tcW w:w="2324" w:type="dxa"/>
          </w:tcPr>
          <w:p w:rsidR="00B9397A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t xml:space="preserve">Maintains strong links with other key services in </w:t>
            </w:r>
            <w:r>
              <w:rPr>
                <w:b/>
              </w:rPr>
              <w:t>both</w:t>
            </w:r>
            <w:r w:rsidRPr="00B9397A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B9397A">
              <w:rPr>
                <w:b/>
              </w:rPr>
              <w:t>ouncils</w:t>
            </w:r>
          </w:p>
        </w:tc>
        <w:tc>
          <w:tcPr>
            <w:tcW w:w="2324" w:type="dxa"/>
          </w:tcPr>
          <w:p w:rsidR="00B9397A" w:rsidRDefault="00C56E86" w:rsidP="00317C09">
            <w:r>
              <w:t>3</w:t>
            </w:r>
            <w:r>
              <w:t xml:space="preserve"> – Strong links with all other </w:t>
            </w:r>
            <w:r>
              <w:t>c</w:t>
            </w:r>
            <w:r>
              <w:t>ouncil services e.g.  LCC Library Service retained</w:t>
            </w:r>
          </w:p>
        </w:tc>
        <w:tc>
          <w:tcPr>
            <w:tcW w:w="2325" w:type="dxa"/>
          </w:tcPr>
          <w:p w:rsidR="00B9397A" w:rsidRDefault="00C56E86" w:rsidP="00317C09">
            <w:r>
              <w:t xml:space="preserve">3 - </w:t>
            </w:r>
            <w:r w:rsidRPr="00E80795">
              <w:t xml:space="preserve">Strong links with all other </w:t>
            </w:r>
            <w:r>
              <w:t>c</w:t>
            </w:r>
            <w:r w:rsidRPr="00E80795">
              <w:t>ouncil services e.g.  LCC Library Service retained</w:t>
            </w:r>
          </w:p>
        </w:tc>
        <w:tc>
          <w:tcPr>
            <w:tcW w:w="2325" w:type="dxa"/>
          </w:tcPr>
          <w:p w:rsidR="00B9397A" w:rsidRDefault="00C56E86" w:rsidP="00317C09">
            <w:r>
              <w:t>2 – L</w:t>
            </w:r>
            <w:r w:rsidRPr="00E80795">
              <w:t xml:space="preserve">inks with </w:t>
            </w:r>
            <w:r>
              <w:t xml:space="preserve">other </w:t>
            </w:r>
            <w:r>
              <w:t>c</w:t>
            </w:r>
            <w:r>
              <w:t>ouncil services retained through delegation agreement</w:t>
            </w:r>
          </w:p>
        </w:tc>
        <w:tc>
          <w:tcPr>
            <w:tcW w:w="2325" w:type="dxa"/>
          </w:tcPr>
          <w:p w:rsidR="00B9397A" w:rsidRDefault="00C56E86" w:rsidP="00317C09">
            <w:r>
              <w:t xml:space="preserve">2 - </w:t>
            </w:r>
            <w:r w:rsidRPr="00E80795">
              <w:t>Links wit</w:t>
            </w:r>
            <w:r w:rsidRPr="00E80795">
              <w:t xml:space="preserve">h other </w:t>
            </w:r>
            <w:r>
              <w:t>c</w:t>
            </w:r>
            <w:r w:rsidRPr="00E80795">
              <w:t>ouncil services retained through delegation agreement</w:t>
            </w:r>
          </w:p>
        </w:tc>
        <w:tc>
          <w:tcPr>
            <w:tcW w:w="2325" w:type="dxa"/>
          </w:tcPr>
          <w:p w:rsidR="00B9397A" w:rsidRDefault="00C56E86">
            <w:r>
              <w:t>1 – Relationship with other services delivered through service level agreement</w:t>
            </w:r>
          </w:p>
        </w:tc>
      </w:tr>
      <w:tr w:rsidR="000F7FA6" w:rsidTr="0088172C">
        <w:tc>
          <w:tcPr>
            <w:tcW w:w="2324" w:type="dxa"/>
          </w:tcPr>
          <w:p w:rsidR="0088172C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t>Enables a joined up and seamless approach across the Harris</w:t>
            </w:r>
          </w:p>
        </w:tc>
        <w:tc>
          <w:tcPr>
            <w:tcW w:w="2324" w:type="dxa"/>
          </w:tcPr>
          <w:p w:rsidR="0088172C" w:rsidRDefault="00C56E86">
            <w:r>
              <w:t xml:space="preserve">1 – Teams reporting through different management </w:t>
            </w:r>
            <w:r>
              <w:t>structures make this difficult</w:t>
            </w:r>
          </w:p>
        </w:tc>
        <w:tc>
          <w:tcPr>
            <w:tcW w:w="2325" w:type="dxa"/>
          </w:tcPr>
          <w:p w:rsidR="0088172C" w:rsidRDefault="00C56E86">
            <w:r>
              <w:t>1 – Staff on different pay and conditions, even in same team, may find this challenging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2 – Single team, single </w:t>
            </w:r>
            <w:r>
              <w:t>c</w:t>
            </w:r>
            <w:r>
              <w:t>ouncil approach will drives seamless approach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2 - </w:t>
            </w:r>
            <w:r w:rsidRPr="00E80795">
              <w:t xml:space="preserve">Single team, single </w:t>
            </w:r>
            <w:r>
              <w:t>c</w:t>
            </w:r>
            <w:r w:rsidRPr="00E80795">
              <w:t>ouncil approach will drives seamless appr</w:t>
            </w:r>
            <w:r w:rsidRPr="00E80795">
              <w:t>oach</w:t>
            </w:r>
          </w:p>
        </w:tc>
        <w:tc>
          <w:tcPr>
            <w:tcW w:w="2325" w:type="dxa"/>
          </w:tcPr>
          <w:p w:rsidR="0088172C" w:rsidRDefault="00C56E86">
            <w:r>
              <w:t>2 – Single organisation approach will drive seamless approach</w:t>
            </w:r>
          </w:p>
        </w:tc>
      </w:tr>
      <w:tr w:rsidR="000F7FA6" w:rsidTr="0088172C">
        <w:tc>
          <w:tcPr>
            <w:tcW w:w="2324" w:type="dxa"/>
          </w:tcPr>
          <w:p w:rsidR="0088172C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t>Harris able to deliver a major capital redevelopment project</w:t>
            </w:r>
          </w:p>
        </w:tc>
        <w:tc>
          <w:tcPr>
            <w:tcW w:w="2324" w:type="dxa"/>
          </w:tcPr>
          <w:p w:rsidR="0088172C" w:rsidRDefault="00C56E86">
            <w:r>
              <w:t>1 – Significant risk to effective delivery of major capital project, funders want to see change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2 – Balance of benefits </w:t>
            </w:r>
            <w:r>
              <w:t xml:space="preserve">from both </w:t>
            </w:r>
            <w:r>
              <w:t>c</w:t>
            </w:r>
            <w:r>
              <w:t>ouncils being involved against challenging LCC relationship with HLF</w:t>
            </w:r>
          </w:p>
        </w:tc>
        <w:tc>
          <w:tcPr>
            <w:tcW w:w="2325" w:type="dxa"/>
          </w:tcPr>
          <w:p w:rsidR="0088172C" w:rsidRDefault="00C56E86">
            <w:r>
              <w:t>1 – LCC has track record of major project delivery, but relationship with HLF and ACE effected by museum closures</w:t>
            </w:r>
          </w:p>
        </w:tc>
        <w:tc>
          <w:tcPr>
            <w:tcW w:w="2325" w:type="dxa"/>
          </w:tcPr>
          <w:p w:rsidR="0088172C" w:rsidRDefault="00C56E86">
            <w:r>
              <w:t>3 – PCC owns the building and the majority of the collections.</w:t>
            </w:r>
            <w:r>
              <w:t xml:space="preserve">  Has recent track record of delivering HLF projects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1 – Access may be limited to the expertise of two </w:t>
            </w:r>
            <w:r>
              <w:t>c</w:t>
            </w:r>
            <w:r>
              <w:t>ouncils.  No track record of delivery</w:t>
            </w:r>
          </w:p>
        </w:tc>
      </w:tr>
      <w:tr w:rsidR="000F7FA6" w:rsidTr="0088172C">
        <w:tc>
          <w:tcPr>
            <w:tcW w:w="2324" w:type="dxa"/>
          </w:tcPr>
          <w:p w:rsidR="00C61D41" w:rsidRPr="00B9397A" w:rsidRDefault="00C56E86">
            <w:pPr>
              <w:rPr>
                <w:b/>
              </w:rPr>
            </w:pPr>
            <w:r>
              <w:rPr>
                <w:b/>
              </w:rPr>
              <w:t>Aligns to wider approach across the councils</w:t>
            </w:r>
          </w:p>
        </w:tc>
        <w:tc>
          <w:tcPr>
            <w:tcW w:w="2324" w:type="dxa"/>
          </w:tcPr>
          <w:p w:rsidR="00C61D41" w:rsidRDefault="00C56E86" w:rsidP="00317C09">
            <w:r>
              <w:t xml:space="preserve">1 – Un-coordinated approach at odds to direction of travel in the </w:t>
            </w:r>
            <w:r>
              <w:t>c</w:t>
            </w:r>
            <w:r>
              <w:t>o</w:t>
            </w:r>
            <w:r>
              <w:t>uncils</w:t>
            </w:r>
          </w:p>
        </w:tc>
        <w:tc>
          <w:tcPr>
            <w:tcW w:w="2325" w:type="dxa"/>
          </w:tcPr>
          <w:p w:rsidR="00C61D41" w:rsidRDefault="00C56E86" w:rsidP="005F60D8">
            <w:r>
              <w:t>1 – Difficult to see creating a team with mixed employers, pay and conditions meeting wider council priorities</w:t>
            </w:r>
          </w:p>
        </w:tc>
        <w:tc>
          <w:tcPr>
            <w:tcW w:w="2325" w:type="dxa"/>
          </w:tcPr>
          <w:p w:rsidR="00C61D41" w:rsidRDefault="00C56E86">
            <w:r>
              <w:t>1 – County Council outsourcing services rather than taking on new ones.  Wider museum service delivery reduced</w:t>
            </w:r>
          </w:p>
        </w:tc>
        <w:tc>
          <w:tcPr>
            <w:tcW w:w="2325" w:type="dxa"/>
          </w:tcPr>
          <w:p w:rsidR="00C61D41" w:rsidRDefault="00C56E86" w:rsidP="00317C09">
            <w:r>
              <w:t>3 – PCC has delivered singl</w:t>
            </w:r>
            <w:r>
              <w:t xml:space="preserve">e team on behalf of other </w:t>
            </w:r>
            <w:r>
              <w:t>c</w:t>
            </w:r>
            <w:r>
              <w:t>ouncils, and is keen to take the Harris forward</w:t>
            </w:r>
          </w:p>
        </w:tc>
        <w:tc>
          <w:tcPr>
            <w:tcW w:w="2325" w:type="dxa"/>
          </w:tcPr>
          <w:p w:rsidR="00C61D41" w:rsidRDefault="00C56E86" w:rsidP="00317C09">
            <w:r>
              <w:t xml:space="preserve">1 – </w:t>
            </w:r>
            <w:r>
              <w:t>c</w:t>
            </w:r>
            <w:r>
              <w:t>ouncils not yet ready to pass on responsibility of the Harris to third party</w:t>
            </w:r>
          </w:p>
        </w:tc>
      </w:tr>
      <w:tr w:rsidR="000F7FA6" w:rsidTr="0088172C">
        <w:tc>
          <w:tcPr>
            <w:tcW w:w="2324" w:type="dxa"/>
          </w:tcPr>
          <w:p w:rsidR="0088172C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lastRenderedPageBreak/>
              <w:t xml:space="preserve">No increased costs to </w:t>
            </w:r>
            <w:r>
              <w:rPr>
                <w:b/>
              </w:rPr>
              <w:t>either</w:t>
            </w:r>
            <w:r w:rsidRPr="00B9397A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B9397A">
              <w:rPr>
                <w:b/>
              </w:rPr>
              <w:t>ouncil</w:t>
            </w:r>
          </w:p>
        </w:tc>
        <w:tc>
          <w:tcPr>
            <w:tcW w:w="2324" w:type="dxa"/>
          </w:tcPr>
          <w:p w:rsidR="0088172C" w:rsidRDefault="00C56E86" w:rsidP="00317C09">
            <w:r>
              <w:t xml:space="preserve">2 – Costs directly controlled by both </w:t>
            </w:r>
            <w:r>
              <w:t>c</w:t>
            </w:r>
            <w:r>
              <w:t>ouncils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2 - </w:t>
            </w:r>
            <w:r w:rsidRPr="005A7952">
              <w:t>Costs dire</w:t>
            </w:r>
            <w:r w:rsidRPr="005A7952">
              <w:t xml:space="preserve">ctly controlled by both </w:t>
            </w:r>
            <w:r>
              <w:t>c</w:t>
            </w:r>
            <w:r w:rsidRPr="005A7952">
              <w:t>ouncils</w:t>
            </w:r>
          </w:p>
        </w:tc>
        <w:tc>
          <w:tcPr>
            <w:tcW w:w="2325" w:type="dxa"/>
          </w:tcPr>
          <w:p w:rsidR="0088172C" w:rsidRDefault="00C56E86">
            <w:r>
              <w:t>2 – Costs fixed through delegation of service agreement</w:t>
            </w:r>
          </w:p>
        </w:tc>
        <w:tc>
          <w:tcPr>
            <w:tcW w:w="2325" w:type="dxa"/>
          </w:tcPr>
          <w:p w:rsidR="0088172C" w:rsidRDefault="00C56E86">
            <w:r>
              <w:t xml:space="preserve">2 - </w:t>
            </w:r>
            <w:r w:rsidRPr="00E80795">
              <w:t>Costs fixed through delegation of service agreement</w:t>
            </w:r>
          </w:p>
        </w:tc>
        <w:tc>
          <w:tcPr>
            <w:tcW w:w="2325" w:type="dxa"/>
          </w:tcPr>
          <w:p w:rsidR="0088172C" w:rsidRDefault="00C56E86" w:rsidP="00317C09">
            <w:r>
              <w:t xml:space="preserve">1 – Independent Board of Trustees may provide challenge to the two </w:t>
            </w:r>
            <w:r>
              <w:t>c</w:t>
            </w:r>
            <w:r>
              <w:t>ouncils</w:t>
            </w:r>
          </w:p>
        </w:tc>
      </w:tr>
      <w:tr w:rsidR="000F7FA6" w:rsidTr="0088172C">
        <w:tc>
          <w:tcPr>
            <w:tcW w:w="2324" w:type="dxa"/>
          </w:tcPr>
          <w:p w:rsidR="0088172C" w:rsidRPr="00B9397A" w:rsidRDefault="00C56E86">
            <w:pPr>
              <w:rPr>
                <w:b/>
              </w:rPr>
            </w:pPr>
            <w:r w:rsidRPr="00B9397A">
              <w:rPr>
                <w:b/>
              </w:rPr>
              <w:t>Total Score</w:t>
            </w:r>
          </w:p>
        </w:tc>
        <w:tc>
          <w:tcPr>
            <w:tcW w:w="2324" w:type="dxa"/>
          </w:tcPr>
          <w:p w:rsidR="0088172C" w:rsidRPr="00C61D41" w:rsidRDefault="00C56E86">
            <w:pPr>
              <w:rPr>
                <w:b/>
              </w:rPr>
            </w:pPr>
            <w:r w:rsidRPr="00C61D41">
              <w:rPr>
                <w:b/>
              </w:rPr>
              <w:t>10</w:t>
            </w:r>
          </w:p>
        </w:tc>
        <w:tc>
          <w:tcPr>
            <w:tcW w:w="2325" w:type="dxa"/>
          </w:tcPr>
          <w:p w:rsidR="0088172C" w:rsidRPr="00C61D41" w:rsidRDefault="00C56E8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5" w:type="dxa"/>
          </w:tcPr>
          <w:p w:rsidR="0088172C" w:rsidRPr="00C61D41" w:rsidRDefault="00C56E8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25" w:type="dxa"/>
          </w:tcPr>
          <w:p w:rsidR="0088172C" w:rsidRPr="00C61D41" w:rsidRDefault="00C56E86">
            <w:pPr>
              <w:rPr>
                <w:b/>
              </w:rPr>
            </w:pPr>
            <w:r w:rsidRPr="00C61D41">
              <w:rPr>
                <w:b/>
              </w:rPr>
              <w:t>20</w:t>
            </w:r>
          </w:p>
        </w:tc>
        <w:tc>
          <w:tcPr>
            <w:tcW w:w="2325" w:type="dxa"/>
          </w:tcPr>
          <w:p w:rsidR="0088172C" w:rsidRPr="00C61D41" w:rsidRDefault="00C56E86">
            <w:pPr>
              <w:rPr>
                <w:b/>
              </w:rPr>
            </w:pPr>
            <w:r w:rsidRPr="00C61D41">
              <w:rPr>
                <w:b/>
              </w:rPr>
              <w:t>16</w:t>
            </w:r>
          </w:p>
        </w:tc>
      </w:tr>
    </w:tbl>
    <w:p w:rsidR="00DE637C" w:rsidRDefault="00C56E86"/>
    <w:sectPr w:rsidR="00DE637C" w:rsidSect="00881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A6"/>
    <w:rsid w:val="00023A99"/>
    <w:rsid w:val="000F7FA6"/>
    <w:rsid w:val="00C5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06F7F2-D83B-47A5-8CEA-B5E6D77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0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7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7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64"/>
  </w:style>
  <w:style w:type="paragraph" w:styleId="Footer">
    <w:name w:val="footer"/>
    <w:basedOn w:val="Normal"/>
    <w:link w:val="FooterChar"/>
    <w:uiPriority w:val="99"/>
    <w:unhideWhenUsed/>
    <w:rsid w:val="00B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Finch</dc:creator>
  <cp:lastModifiedBy>Gorman, Dave</cp:lastModifiedBy>
  <cp:revision>16</cp:revision>
  <dcterms:created xsi:type="dcterms:W3CDTF">2018-04-05T09:22:00Z</dcterms:created>
  <dcterms:modified xsi:type="dcterms:W3CDTF">2018-04-20T10:53:00Z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-1098767780</vt:i4>
  </property>
  <property fmtid="{D5CDD505-2E9C-101B-9397-08002B2CF9AE}" pid="3" name="_AuthorEmail">
    <vt:lpwstr>j.r.finch@preston.gov.uk</vt:lpwstr>
  </property>
  <property fmtid="{D5CDD505-2E9C-101B-9397-08002B2CF9AE}" pid="4" name="_AuthorEmailDisplayName">
    <vt:lpwstr>Jon Finch</vt:lpwstr>
  </property>
  <property fmtid="{D5CDD505-2E9C-101B-9397-08002B2CF9AE}" pid="5" name="_EmailSubject">
    <vt:lpwstr>TRE: Forward Plan - Cabinet Reports May 2018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