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01" w:rsidRDefault="004E7101" w:rsidP="00CF1133">
      <w:pPr>
        <w:ind w:left="-710" w:firstLine="695"/>
        <w:rPr>
          <w:b/>
          <w:bCs/>
        </w:rPr>
      </w:pPr>
    </w:p>
    <w:p w:rsidR="00CF1133" w:rsidRDefault="00127052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4E7101" w:rsidP="00CF1133">
      <w:pPr>
        <w:ind w:left="-710" w:firstLine="695"/>
        <w:rPr>
          <w:b/>
          <w:bCs/>
        </w:rPr>
      </w:pPr>
    </w:p>
    <w:p w:rsidR="00BE3AA8" w:rsidRDefault="00127052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Business Support Management Board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CF1133" w:rsidRPr="00BC4466" w:rsidRDefault="004E7101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127052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:rsidR="00BC4466" w:rsidRDefault="004E7101" w:rsidP="00CF1133">
      <w:pPr>
        <w:spacing w:after="0" w:line="256" w:lineRule="auto"/>
        <w:ind w:left="0" w:firstLine="0"/>
      </w:pPr>
    </w:p>
    <w:p w:rsidR="00A3358A" w:rsidRDefault="00127052" w:rsidP="00A3358A">
      <w:r w:rsidRPr="006312CF">
        <w:rPr>
          <w:b/>
        </w:rPr>
        <w:t>Date:</w:t>
      </w:r>
      <w:r>
        <w:t xml:space="preserve"> </w:t>
      </w:r>
      <w:r w:rsidR="004E7101">
        <w:fldChar w:fldCharType="begin"/>
      </w:r>
      <w:r w:rsidR="004E7101">
        <w:instrText xml:space="preserve"> DOCPROPERTY  MeetingDate  \* MERGEFORMAT </w:instrText>
      </w:r>
      <w:r w:rsidR="004E7101">
        <w:fldChar w:fldCharType="separate"/>
      </w:r>
      <w:r>
        <w:t>Friday, 19 October 2018</w:t>
      </w:r>
      <w:r w:rsidR="004E7101">
        <w:fldChar w:fldCharType="end"/>
      </w:r>
    </w:p>
    <w:p w:rsidR="00A3358A" w:rsidRDefault="004E7101" w:rsidP="00A3358A"/>
    <w:p w:rsidR="00A3358A" w:rsidRDefault="00127052" w:rsidP="00A3358A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IssueTitle  \* MERGEFORMAT </w:instrText>
      </w:r>
      <w:r>
        <w:rPr>
          <w:b/>
        </w:rPr>
        <w:fldChar w:fldCharType="separate"/>
      </w:r>
      <w:r>
        <w:rPr>
          <w:b/>
        </w:rPr>
        <w:t>Growth Hub Performance Update</w:t>
      </w:r>
      <w:r>
        <w:rPr>
          <w:b/>
        </w:rPr>
        <w:fldChar w:fldCharType="end"/>
      </w:r>
    </w:p>
    <w:p w:rsidR="00056F00" w:rsidRPr="00056F00" w:rsidRDefault="00056F00" w:rsidP="00A3358A">
      <w:pPr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t>(Appendices 'A' – 'C' refer)</w:t>
      </w:r>
    </w:p>
    <w:p w:rsidR="00D7480F" w:rsidRDefault="004E7101" w:rsidP="00CF1133">
      <w:pPr>
        <w:spacing w:after="0" w:line="256" w:lineRule="auto"/>
        <w:ind w:left="0" w:firstLine="0"/>
      </w:pPr>
    </w:p>
    <w:p w:rsidR="00F41096" w:rsidRPr="00F41096" w:rsidRDefault="00127052" w:rsidP="00F41096">
      <w:pPr>
        <w:ind w:right="-873"/>
        <w:rPr>
          <w:rFonts w:eastAsia="Times New Roman" w:cs="Times New Roman"/>
          <w:b/>
          <w:color w:val="auto"/>
          <w:szCs w:val="20"/>
        </w:rPr>
      </w:pPr>
      <w:r w:rsidRPr="00F41096">
        <w:rPr>
          <w:b/>
        </w:rPr>
        <w:t>Report Author: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DOCPROPERTY  LeadOfficer  \* MERGEFORMAT </w:instrText>
      </w:r>
      <w:r>
        <w:rPr>
          <w:b/>
        </w:rPr>
        <w:fldChar w:fldCharType="separate"/>
      </w:r>
      <w:r>
        <w:rPr>
          <w:b/>
        </w:rPr>
        <w:t>Andy Walker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>
        <w:rPr>
          <w:b/>
        </w:rPr>
        <w:fldChar w:fldCharType="begin"/>
      </w:r>
      <w:r>
        <w:rPr>
          <w:b/>
        </w:rPr>
        <w:instrText xml:space="preserve"> DOCPROPERTY  LeadOfficerTel  \* MERGEFORMAT </w:instrText>
      </w:r>
      <w:r>
        <w:rPr>
          <w:b/>
        </w:rPr>
        <w:fldChar w:fldCharType="separate"/>
      </w:r>
      <w:r>
        <w:rPr>
          <w:b/>
        </w:rPr>
        <w:t>Tel: 01772 535629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 w:rsidR="004E7101">
        <w:rPr>
          <w:b/>
        </w:rPr>
        <w:t>Head of Service Business Growth,</w:t>
      </w:r>
    </w:p>
    <w:p w:rsidR="00056F00" w:rsidRDefault="00127052" w:rsidP="00056F00">
      <w:pPr>
        <w:ind w:right="-873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LeadOfficerEmail  \* MERGEFORMAT </w:instrText>
      </w:r>
      <w:r>
        <w:rPr>
          <w:b/>
        </w:rPr>
        <w:fldChar w:fldCharType="separate"/>
      </w:r>
      <w:r>
        <w:rPr>
          <w:b/>
        </w:rPr>
        <w:t>andy.walker@lancashire.gov.uk</w:t>
      </w:r>
      <w:r>
        <w:rPr>
          <w:b/>
        </w:rPr>
        <w:fldChar w:fldCharType="end"/>
      </w:r>
      <w:bookmarkStart w:id="0" w:name="_GoBack"/>
      <w:bookmarkEnd w:id="0"/>
    </w:p>
    <w:p w:rsidR="00056F00" w:rsidRPr="002B3CC5" w:rsidRDefault="00056F00" w:rsidP="00056F00">
      <w:pPr>
        <w:ind w:right="-873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969F3" w:rsidTr="008B5354">
        <w:tc>
          <w:tcPr>
            <w:tcW w:w="9180" w:type="dxa"/>
          </w:tcPr>
          <w:p w:rsidR="00373A2F" w:rsidRDefault="00373A2F" w:rsidP="004E7101">
            <w:pPr>
              <w:pStyle w:val="Heading6"/>
              <w:jc w:val="both"/>
              <w:rPr>
                <w:rFonts w:ascii="Arial" w:hAnsi="Arial"/>
                <w:b/>
                <w:color w:val="auto"/>
              </w:rPr>
            </w:pPr>
          </w:p>
          <w:p w:rsidR="002B3CC5" w:rsidRPr="002B3CC5" w:rsidRDefault="00127052" w:rsidP="004E7101">
            <w:pPr>
              <w:pStyle w:val="Heading6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:rsidR="002B3CC5" w:rsidRPr="002B3CC5" w:rsidRDefault="004E7101" w:rsidP="004E7101">
            <w:pPr>
              <w:jc w:val="both"/>
              <w:rPr>
                <w:color w:val="auto"/>
              </w:rPr>
            </w:pPr>
          </w:p>
          <w:p w:rsidR="002B3CC5" w:rsidRDefault="00127052" w:rsidP="004E7101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As the primary LEP committee dealing with business engagement and support, the Business Support Management Board receives an update on Growth Hub Performance as a standing item of business. </w:t>
            </w:r>
          </w:p>
          <w:p w:rsidR="00EF2D9F" w:rsidRDefault="004E7101" w:rsidP="004E7101">
            <w:pPr>
              <w:ind w:left="0" w:firstLine="0"/>
              <w:jc w:val="both"/>
              <w:rPr>
                <w:color w:val="auto"/>
              </w:rPr>
            </w:pPr>
          </w:p>
          <w:p w:rsidR="00EF2D9F" w:rsidRDefault="00127052" w:rsidP="004E7101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The Boost 2 </w:t>
            </w:r>
            <w:r w:rsidR="00373A2F">
              <w:rPr>
                <w:color w:val="auto"/>
              </w:rPr>
              <w:t>European Regional Development Fund (</w:t>
            </w:r>
            <w:r>
              <w:rPr>
                <w:color w:val="auto"/>
              </w:rPr>
              <w:t>ERDF</w:t>
            </w:r>
            <w:r w:rsidR="00373A2F">
              <w:rPr>
                <w:color w:val="auto"/>
              </w:rPr>
              <w:t>)</w:t>
            </w:r>
            <w:r>
              <w:rPr>
                <w:color w:val="auto"/>
              </w:rPr>
              <w:t xml:space="preserve"> project is now drawing to its close but continues to perform well both in terms of achieving key funding performance requirements and in terms of wider local impact.</w:t>
            </w:r>
          </w:p>
          <w:p w:rsidR="008B7F50" w:rsidRDefault="004E7101" w:rsidP="004E7101">
            <w:pPr>
              <w:ind w:left="0" w:firstLine="0"/>
              <w:jc w:val="both"/>
              <w:rPr>
                <w:color w:val="auto"/>
              </w:rPr>
            </w:pPr>
          </w:p>
          <w:p w:rsidR="004E7101" w:rsidRDefault="00127052" w:rsidP="004E7101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As at the end of Quarter 3 (calendar year) 2018, initial figures show that </w:t>
            </w:r>
            <w:r w:rsidRPr="008B7F50">
              <w:rPr>
                <w:color w:val="auto"/>
              </w:rPr>
              <w:t xml:space="preserve"> Boost 2 </w:t>
            </w:r>
            <w:r>
              <w:rPr>
                <w:color w:val="auto"/>
              </w:rPr>
              <w:t>(2016-18) had delivered:-</w:t>
            </w:r>
          </w:p>
          <w:p w:rsidR="008B7F50" w:rsidRPr="008B7F50" w:rsidRDefault="00127052" w:rsidP="004E7101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br/>
            </w:r>
            <w:r w:rsidRPr="008B7F50">
              <w:rPr>
                <w:color w:val="auto"/>
              </w:rPr>
              <w:t xml:space="preserve">1525 business information, diagnostic and brokerage interventions </w:t>
            </w:r>
          </w:p>
          <w:p w:rsidR="008B7F50" w:rsidRDefault="00127052" w:rsidP="004E7101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8B7F50">
              <w:rPr>
                <w:color w:val="auto"/>
              </w:rPr>
              <w:t>1226 Businesses Supported</w:t>
            </w:r>
          </w:p>
          <w:p w:rsidR="008B7F50" w:rsidRPr="008B7F50" w:rsidRDefault="00127052" w:rsidP="004E7101">
            <w:pPr>
              <w:pStyle w:val="ListParagraph"/>
              <w:numPr>
                <w:ilvl w:val="0"/>
                <w:numId w:val="6"/>
              </w:numPr>
              <w:ind w:hanging="673"/>
              <w:jc w:val="both"/>
              <w:rPr>
                <w:color w:val="auto"/>
              </w:rPr>
            </w:pPr>
            <w:r w:rsidRPr="008B7F50">
              <w:rPr>
                <w:color w:val="auto"/>
              </w:rPr>
              <w:t>352 under 12 months</w:t>
            </w:r>
          </w:p>
          <w:p w:rsidR="008B7F50" w:rsidRPr="008B7F50" w:rsidRDefault="00127052" w:rsidP="004E7101">
            <w:pPr>
              <w:pStyle w:val="ListParagraph"/>
              <w:numPr>
                <w:ilvl w:val="0"/>
                <w:numId w:val="6"/>
              </w:numPr>
              <w:ind w:hanging="673"/>
              <w:jc w:val="both"/>
              <w:rPr>
                <w:color w:val="auto"/>
              </w:rPr>
            </w:pPr>
            <w:r w:rsidRPr="008B7F50">
              <w:rPr>
                <w:color w:val="auto"/>
              </w:rPr>
              <w:t>162 received grant to the value of 420k</w:t>
            </w:r>
          </w:p>
          <w:p w:rsidR="008B7F50" w:rsidRPr="008B7F50" w:rsidRDefault="00127052" w:rsidP="004E7101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8B7F50">
              <w:rPr>
                <w:color w:val="auto"/>
              </w:rPr>
              <w:t>370 individuals assisted to start a business</w:t>
            </w:r>
          </w:p>
          <w:p w:rsidR="008B7F50" w:rsidRPr="008B7F50" w:rsidRDefault="00127052" w:rsidP="004E7101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8B7F50">
              <w:rPr>
                <w:color w:val="auto"/>
              </w:rPr>
              <w:t>972 jobs created</w:t>
            </w:r>
          </w:p>
          <w:p w:rsidR="008B7F50" w:rsidRPr="008B7F50" w:rsidRDefault="00127052" w:rsidP="004E7101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8B7F50">
              <w:rPr>
                <w:color w:val="auto"/>
              </w:rPr>
              <w:t>£20million GVA created</w:t>
            </w:r>
          </w:p>
          <w:p w:rsidR="008B7F50" w:rsidRPr="008B7F50" w:rsidRDefault="00127052" w:rsidP="004E7101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8B7F50">
              <w:rPr>
                <w:color w:val="auto"/>
              </w:rPr>
              <w:t>5600+ referrals made to additional support services</w:t>
            </w:r>
          </w:p>
          <w:p w:rsidR="008B7F50" w:rsidRDefault="004E7101" w:rsidP="004E7101">
            <w:pPr>
              <w:ind w:left="0" w:firstLine="0"/>
              <w:jc w:val="both"/>
              <w:rPr>
                <w:color w:val="auto"/>
              </w:rPr>
            </w:pPr>
          </w:p>
          <w:p w:rsidR="00EF2D9F" w:rsidRDefault="00127052" w:rsidP="004E7101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The application for Boost 3 (2019-2021) was approved at the last </w:t>
            </w:r>
            <w:r w:rsidR="00373A2F">
              <w:rPr>
                <w:color w:val="auto"/>
              </w:rPr>
              <w:t xml:space="preserve">Lancashire </w:t>
            </w:r>
            <w:r>
              <w:rPr>
                <w:color w:val="auto"/>
              </w:rPr>
              <w:t>European Structural and Investment Funds (ESIF) Committee and we are currently procuring partners to deliver the programme from the 1</w:t>
            </w:r>
            <w:r w:rsidRPr="0074662B">
              <w:rPr>
                <w:color w:val="auto"/>
                <w:vertAlign w:val="superscript"/>
              </w:rPr>
              <w:t>st</w:t>
            </w:r>
            <w:r>
              <w:rPr>
                <w:color w:val="auto"/>
              </w:rPr>
              <w:t xml:space="preserve"> January 2019.</w:t>
            </w:r>
          </w:p>
          <w:p w:rsidR="002B3CC5" w:rsidRPr="002B3CC5" w:rsidRDefault="004E7101" w:rsidP="004E7101">
            <w:pPr>
              <w:jc w:val="both"/>
              <w:rPr>
                <w:color w:val="auto"/>
              </w:rPr>
            </w:pPr>
          </w:p>
          <w:p w:rsidR="002B3CC5" w:rsidRPr="002B3CC5" w:rsidRDefault="00127052" w:rsidP="004E7101">
            <w:pPr>
              <w:pStyle w:val="Heading5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</w:p>
          <w:p w:rsidR="002B3CC5" w:rsidRPr="002B3CC5" w:rsidRDefault="004E7101" w:rsidP="004E7101">
            <w:pPr>
              <w:jc w:val="both"/>
              <w:rPr>
                <w:color w:val="auto"/>
              </w:rPr>
            </w:pPr>
          </w:p>
          <w:p w:rsidR="002B3CC5" w:rsidRDefault="00127052" w:rsidP="004E7101">
            <w:pPr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The Business Support Management Board </w:t>
            </w:r>
            <w:r w:rsidR="00373A2F">
              <w:rPr>
                <w:color w:val="auto"/>
              </w:rPr>
              <w:t>is asked</w:t>
            </w:r>
            <w:r>
              <w:rPr>
                <w:color w:val="auto"/>
              </w:rPr>
              <w:t xml:space="preserve"> to note</w:t>
            </w:r>
            <w:r w:rsidR="00373A2F">
              <w:rPr>
                <w:color w:val="auto"/>
              </w:rPr>
              <w:t xml:space="preserve"> the contents of</w:t>
            </w:r>
            <w:r>
              <w:rPr>
                <w:color w:val="auto"/>
              </w:rPr>
              <w:t xml:space="preserve"> this report.</w:t>
            </w:r>
          </w:p>
          <w:p w:rsidR="0009375A" w:rsidRDefault="004E7101" w:rsidP="004E7101">
            <w:pPr>
              <w:jc w:val="both"/>
            </w:pPr>
          </w:p>
        </w:tc>
      </w:tr>
    </w:tbl>
    <w:p w:rsidR="002B3CC5" w:rsidRDefault="004E7101" w:rsidP="004E7101">
      <w:pPr>
        <w:pStyle w:val="Header"/>
        <w:jc w:val="both"/>
      </w:pPr>
    </w:p>
    <w:p w:rsidR="00A3358A" w:rsidRDefault="00127052" w:rsidP="004E7101">
      <w:pPr>
        <w:jc w:val="both"/>
        <w:rPr>
          <w:b/>
        </w:rPr>
      </w:pPr>
      <w:r>
        <w:rPr>
          <w:b/>
        </w:rPr>
        <w:lastRenderedPageBreak/>
        <w:t xml:space="preserve">Background and Advice </w:t>
      </w:r>
    </w:p>
    <w:p w:rsidR="00A3358A" w:rsidRDefault="004E7101" w:rsidP="004E7101">
      <w:pPr>
        <w:jc w:val="both"/>
        <w:rPr>
          <w:b/>
        </w:rPr>
      </w:pPr>
    </w:p>
    <w:p w:rsidR="00A3358A" w:rsidRDefault="00373A2F" w:rsidP="004E7101">
      <w:pPr>
        <w:ind w:left="0" w:firstLine="0"/>
        <w:jc w:val="both"/>
      </w:pPr>
      <w:r>
        <w:t>N/A</w:t>
      </w:r>
    </w:p>
    <w:p w:rsidR="00386D34" w:rsidRDefault="004E7101" w:rsidP="004E7101">
      <w:pPr>
        <w:jc w:val="both"/>
      </w:pPr>
    </w:p>
    <w:p w:rsidR="006312CF" w:rsidRPr="00ED571D" w:rsidRDefault="00127052" w:rsidP="004E7101">
      <w:pPr>
        <w:keepNext/>
        <w:keepLines/>
        <w:spacing w:before="40" w:after="0"/>
        <w:jc w:val="both"/>
        <w:outlineLvl w:val="4"/>
        <w:rPr>
          <w:rFonts w:eastAsiaTheme="majorEastAsia" w:cstheme="majorBidi"/>
          <w:b/>
          <w:color w:val="auto"/>
        </w:rPr>
      </w:pPr>
      <w:r w:rsidRPr="00ED571D">
        <w:rPr>
          <w:rFonts w:eastAsiaTheme="majorEastAsia" w:cstheme="majorBidi"/>
          <w:b/>
          <w:color w:val="auto"/>
        </w:rPr>
        <w:t>List of Background Papers</w:t>
      </w:r>
    </w:p>
    <w:p w:rsidR="006312CF" w:rsidRPr="00ED571D" w:rsidRDefault="004E7101" w:rsidP="004E710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0969F3" w:rsidTr="00366AEB">
        <w:tc>
          <w:tcPr>
            <w:tcW w:w="3510" w:type="dxa"/>
          </w:tcPr>
          <w:p w:rsidR="006312CF" w:rsidRPr="00ED571D" w:rsidRDefault="00127052" w:rsidP="004E7101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Paper</w:t>
            </w:r>
          </w:p>
        </w:tc>
        <w:tc>
          <w:tcPr>
            <w:tcW w:w="2492" w:type="dxa"/>
          </w:tcPr>
          <w:p w:rsidR="006312CF" w:rsidRPr="00ED571D" w:rsidRDefault="00127052" w:rsidP="004E7101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Date</w:t>
            </w:r>
          </w:p>
        </w:tc>
        <w:tc>
          <w:tcPr>
            <w:tcW w:w="3178" w:type="dxa"/>
          </w:tcPr>
          <w:p w:rsidR="006312CF" w:rsidRPr="00ED571D" w:rsidRDefault="00127052" w:rsidP="004E7101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Contact/Tel</w:t>
            </w:r>
          </w:p>
        </w:tc>
      </w:tr>
      <w:tr w:rsidR="000969F3" w:rsidTr="00366AEB">
        <w:tc>
          <w:tcPr>
            <w:tcW w:w="3510" w:type="dxa"/>
          </w:tcPr>
          <w:p w:rsidR="006312CF" w:rsidRPr="00ED571D" w:rsidRDefault="004E7101" w:rsidP="004E7101">
            <w:pPr>
              <w:jc w:val="both"/>
              <w:rPr>
                <w:color w:val="auto"/>
              </w:rPr>
            </w:pPr>
          </w:p>
          <w:p w:rsidR="006312CF" w:rsidRPr="00ED571D" w:rsidRDefault="00373A2F" w:rsidP="004E710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None</w:t>
            </w:r>
          </w:p>
          <w:p w:rsidR="006312CF" w:rsidRPr="00ED571D" w:rsidRDefault="004E7101" w:rsidP="004E7101">
            <w:pPr>
              <w:jc w:val="both"/>
              <w:rPr>
                <w:color w:val="auto"/>
              </w:rPr>
            </w:pPr>
          </w:p>
        </w:tc>
        <w:tc>
          <w:tcPr>
            <w:tcW w:w="2492" w:type="dxa"/>
          </w:tcPr>
          <w:p w:rsidR="006312CF" w:rsidRPr="00ED571D" w:rsidRDefault="004E7101" w:rsidP="004E7101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:rsidR="006312CF" w:rsidRPr="00ED571D" w:rsidRDefault="004E7101" w:rsidP="004E7101">
            <w:pPr>
              <w:jc w:val="both"/>
              <w:rPr>
                <w:color w:val="auto"/>
              </w:rPr>
            </w:pPr>
          </w:p>
        </w:tc>
      </w:tr>
      <w:tr w:rsidR="000969F3" w:rsidTr="00366AEB">
        <w:trPr>
          <w:cantSplit/>
        </w:trPr>
        <w:tc>
          <w:tcPr>
            <w:tcW w:w="9180" w:type="dxa"/>
            <w:gridSpan w:val="3"/>
          </w:tcPr>
          <w:p w:rsidR="006312CF" w:rsidRPr="00ED571D" w:rsidRDefault="00127052" w:rsidP="004E7101">
            <w:pPr>
              <w:jc w:val="both"/>
            </w:pPr>
            <w:r w:rsidRPr="00ED571D">
              <w:t xml:space="preserve">Reason for inclusion in Part II, if appropriate </w:t>
            </w:r>
          </w:p>
          <w:p w:rsidR="006312CF" w:rsidRPr="00ED571D" w:rsidRDefault="004E7101" w:rsidP="004E7101">
            <w:pPr>
              <w:jc w:val="both"/>
            </w:pPr>
          </w:p>
          <w:p w:rsidR="006312CF" w:rsidRPr="00ED571D" w:rsidRDefault="00373A2F" w:rsidP="004E710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:rsidR="006312CF" w:rsidRPr="00ED571D" w:rsidRDefault="004E7101" w:rsidP="004E7101">
            <w:pPr>
              <w:jc w:val="both"/>
            </w:pPr>
          </w:p>
        </w:tc>
      </w:tr>
    </w:tbl>
    <w:p w:rsidR="006312CF" w:rsidRDefault="004E7101" w:rsidP="004E7101">
      <w:pPr>
        <w:jc w:val="both"/>
      </w:pPr>
    </w:p>
    <w:sectPr w:rsidR="006312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90" w:rsidRDefault="00127052">
      <w:pPr>
        <w:spacing w:after="0" w:line="240" w:lineRule="auto"/>
      </w:pPr>
      <w:r>
        <w:separator/>
      </w:r>
    </w:p>
  </w:endnote>
  <w:endnote w:type="continuationSeparator" w:id="0">
    <w:p w:rsidR="006D6E90" w:rsidRDefault="0012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90" w:rsidRDefault="00127052">
      <w:pPr>
        <w:spacing w:after="0" w:line="240" w:lineRule="auto"/>
      </w:pPr>
      <w:r>
        <w:separator/>
      </w:r>
    </w:p>
  </w:footnote>
  <w:footnote w:type="continuationSeparator" w:id="0">
    <w:p w:rsidR="006D6E90" w:rsidRDefault="0012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12705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243086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D2473D4"/>
    <w:multiLevelType w:val="hybridMultilevel"/>
    <w:tmpl w:val="0BBA2C0C"/>
    <w:lvl w:ilvl="0" w:tplc="7A488392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E6C0F1F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470061EC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334C3E78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0C0A305E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F2321300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390A9D90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37ECC0C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ECA4D182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3" w15:restartNumberingAfterBreak="0">
    <w:nsid w:val="5F0637FB"/>
    <w:multiLevelType w:val="hybridMultilevel"/>
    <w:tmpl w:val="B2A4C354"/>
    <w:lvl w:ilvl="0" w:tplc="740ED754">
      <w:start w:val="1"/>
      <w:numFmt w:val="bullet"/>
      <w:lvlText w:val=""/>
      <w:lvlJc w:val="left"/>
      <w:pPr>
        <w:ind w:left="1269" w:hanging="956"/>
      </w:pPr>
      <w:rPr>
        <w:rFonts w:ascii="Wingdings" w:hAnsi="Wingdings" w:hint="default"/>
      </w:rPr>
    </w:lvl>
    <w:lvl w:ilvl="1" w:tplc="61DA6F3E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F9943694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3AFC1FF0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7C26587E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4C6A0F9E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5C78FC5C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175EB71A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18389796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4" w15:restartNumberingAfterBreak="0">
    <w:nsid w:val="64932F77"/>
    <w:multiLevelType w:val="hybridMultilevel"/>
    <w:tmpl w:val="53CC4380"/>
    <w:lvl w:ilvl="0" w:tplc="B0009B8E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EE85DD6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3412F70C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BCA85DA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8ACC277E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58B0C10A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3B30209E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D14871A0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8A009916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7B9A1311"/>
    <w:multiLevelType w:val="hybridMultilevel"/>
    <w:tmpl w:val="E55214F8"/>
    <w:lvl w:ilvl="0" w:tplc="5282C00C">
      <w:numFmt w:val="bullet"/>
      <w:lvlText w:val="•"/>
      <w:lvlJc w:val="left"/>
      <w:pPr>
        <w:ind w:left="1269" w:hanging="956"/>
      </w:pPr>
      <w:rPr>
        <w:rFonts w:ascii="Arial" w:eastAsia="Calibri" w:hAnsi="Arial" w:cs="Arial" w:hint="default"/>
      </w:rPr>
    </w:lvl>
    <w:lvl w:ilvl="1" w:tplc="40E4C0AE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688A0E1A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3B78E19C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DB0E2CC8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6EA41202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39E6973A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3C2A6A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ABF2E666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F3"/>
    <w:rsid w:val="00056F00"/>
    <w:rsid w:val="000969F3"/>
    <w:rsid w:val="00127052"/>
    <w:rsid w:val="00373A2F"/>
    <w:rsid w:val="004E7101"/>
    <w:rsid w:val="006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CA34F-CB31-462E-8FA8-51B8BA77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2F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CFEF-B6D7-4AB5-A890-DF8C1BD7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Hyde, Ryan</cp:lastModifiedBy>
  <cp:revision>10</cp:revision>
  <dcterms:created xsi:type="dcterms:W3CDTF">2015-06-25T10:41:00Z</dcterms:created>
  <dcterms:modified xsi:type="dcterms:W3CDTF">2018-10-12T13:31:00Z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LEP - Business Support Management Board</vt:lpwstr>
  </property>
  <property fmtid="{D5CDD505-2E9C-101B-9397-08002B2CF9AE}" pid="3" name="IssueTitle">
    <vt:lpwstr>Growth Hub Performance Update</vt:lpwstr>
  </property>
  <property fmtid="{D5CDD505-2E9C-101B-9397-08002B2CF9AE}" pid="4" name="LeadOfficer">
    <vt:lpwstr>Andy Walker</vt:lpwstr>
  </property>
  <property fmtid="{D5CDD505-2E9C-101B-9397-08002B2CF9AE}" pid="5" name="LeadOfficerEmail">
    <vt:lpwstr>andy.walker@lancashire.gov.uk</vt:lpwstr>
  </property>
  <property fmtid="{D5CDD505-2E9C-101B-9397-08002B2CF9AE}" pid="6" name="LeadOfficerTel">
    <vt:lpwstr>Tel: 01772 535629</vt:lpwstr>
  </property>
  <property fmtid="{D5CDD505-2E9C-101B-9397-08002B2CF9AE}" pid="7" name="MeetingDate">
    <vt:lpwstr>Friday, 19 October 2018</vt:lpwstr>
  </property>
</Properties>
</file>