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D266" w14:textId="1A0823BA" w:rsidR="00CB5AF9" w:rsidRPr="007C0AFF" w:rsidRDefault="00CB5AF9" w:rsidP="00CC6DCE">
      <w:pPr>
        <w:pStyle w:val="Heading5"/>
        <w:spacing w:line="276" w:lineRule="auto"/>
        <w:rPr>
          <w:rFonts w:ascii="Arial" w:hAnsi="Arial"/>
          <w:sz w:val="24"/>
          <w:szCs w:val="24"/>
          <w:u w:val="none"/>
        </w:rPr>
      </w:pPr>
      <w:r w:rsidRPr="007C0AFF">
        <w:rPr>
          <w:rFonts w:ascii="Arial" w:hAnsi="Arial"/>
          <w:sz w:val="24"/>
          <w:szCs w:val="24"/>
          <w:u w:val="none"/>
        </w:rPr>
        <w:t>Meeting of the</w:t>
      </w:r>
      <w:r w:rsidR="005D4154">
        <w:rPr>
          <w:rFonts w:ascii="Arial" w:hAnsi="Arial"/>
          <w:sz w:val="24"/>
          <w:szCs w:val="24"/>
          <w:u w:val="none"/>
        </w:rPr>
        <w:t xml:space="preserve"> Full</w:t>
      </w:r>
      <w:r w:rsidRPr="007C0AFF">
        <w:rPr>
          <w:rFonts w:ascii="Arial" w:hAnsi="Arial"/>
          <w:sz w:val="24"/>
          <w:szCs w:val="24"/>
          <w:u w:val="none"/>
        </w:rPr>
        <w:t xml:space="preserve"> Council</w:t>
      </w:r>
    </w:p>
    <w:p w14:paraId="6B4F470D" w14:textId="0BF11CBC" w:rsidR="00CB5AF9" w:rsidRPr="007C0AFF" w:rsidRDefault="00DD1F36" w:rsidP="00CC6DCE">
      <w:pPr>
        <w:pStyle w:val="Heading5"/>
        <w:spacing w:line="276" w:lineRule="auto"/>
        <w:rPr>
          <w:rFonts w:ascii="Arial" w:hAnsi="Arial"/>
          <w:sz w:val="24"/>
          <w:szCs w:val="24"/>
          <w:u w:val="none"/>
        </w:rPr>
      </w:pPr>
      <w:r w:rsidRPr="007C0AFF">
        <w:rPr>
          <w:rFonts w:ascii="Arial" w:hAnsi="Arial"/>
          <w:sz w:val="24"/>
          <w:szCs w:val="24"/>
          <w:u w:val="none"/>
        </w:rPr>
        <w:t xml:space="preserve">Meeting to be held on </w:t>
      </w:r>
      <w:r w:rsidR="005D4154">
        <w:rPr>
          <w:rFonts w:ascii="Arial" w:hAnsi="Arial"/>
          <w:sz w:val="24"/>
          <w:szCs w:val="24"/>
          <w:u w:val="none"/>
        </w:rPr>
        <w:t xml:space="preserve">Thursday, </w:t>
      </w:r>
      <w:r w:rsidR="007C0AFF" w:rsidRPr="007C0AFF">
        <w:rPr>
          <w:rFonts w:ascii="Arial" w:hAnsi="Arial"/>
          <w:sz w:val="24"/>
          <w:szCs w:val="24"/>
          <w:u w:val="none"/>
        </w:rPr>
        <w:t>14</w:t>
      </w:r>
      <w:r w:rsidR="00BE1843" w:rsidRPr="007C0AFF">
        <w:rPr>
          <w:rFonts w:ascii="Arial" w:hAnsi="Arial"/>
          <w:sz w:val="24"/>
          <w:szCs w:val="24"/>
          <w:u w:val="none"/>
        </w:rPr>
        <w:t xml:space="preserve"> February 20</w:t>
      </w:r>
      <w:r w:rsidR="00655BC0" w:rsidRPr="007C0AFF">
        <w:rPr>
          <w:rFonts w:ascii="Arial" w:hAnsi="Arial"/>
          <w:sz w:val="24"/>
          <w:szCs w:val="24"/>
          <w:u w:val="none"/>
        </w:rPr>
        <w:t>1</w:t>
      </w:r>
      <w:r w:rsidR="007C0AFF" w:rsidRPr="007C0AFF">
        <w:rPr>
          <w:rFonts w:ascii="Arial" w:hAnsi="Arial"/>
          <w:sz w:val="24"/>
          <w:szCs w:val="24"/>
          <w:u w:val="none"/>
        </w:rPr>
        <w:t>9</w:t>
      </w:r>
      <w:r w:rsidR="00CB5AF9" w:rsidRPr="007C0AFF">
        <w:rPr>
          <w:rFonts w:ascii="Arial" w:hAnsi="Arial"/>
          <w:sz w:val="24"/>
          <w:szCs w:val="24"/>
          <w:u w:val="none"/>
        </w:rPr>
        <w:t xml:space="preserve"> </w:t>
      </w:r>
    </w:p>
    <w:p w14:paraId="5B65C02C" w14:textId="77777777" w:rsidR="00A77CA9" w:rsidRPr="007C0AFF" w:rsidRDefault="00A77CA9" w:rsidP="00CC6DCE">
      <w:pPr>
        <w:spacing w:line="276" w:lineRule="auto"/>
        <w:rPr>
          <w:szCs w:val="24"/>
          <w:lang w:val="en-US"/>
        </w:rPr>
      </w:pPr>
    </w:p>
    <w:p w14:paraId="698A3AF6" w14:textId="2BE7D68B" w:rsidR="00655BC0" w:rsidRPr="007C0AFF" w:rsidRDefault="00655BC0" w:rsidP="00CC6DCE">
      <w:pPr>
        <w:pStyle w:val="Header"/>
        <w:spacing w:line="276" w:lineRule="auto"/>
        <w:rPr>
          <w:rFonts w:ascii="Arial" w:hAnsi="Arial"/>
          <w:sz w:val="24"/>
          <w:szCs w:val="24"/>
        </w:rPr>
      </w:pPr>
      <w:r w:rsidRPr="007C0AFF">
        <w:rPr>
          <w:rFonts w:ascii="Arial" w:hAnsi="Arial"/>
          <w:sz w:val="24"/>
          <w:szCs w:val="24"/>
        </w:rPr>
        <w:t>Report submitted by the Cabinet</w:t>
      </w:r>
      <w:r w:rsidR="00800366">
        <w:rPr>
          <w:rFonts w:ascii="Arial" w:hAnsi="Arial"/>
          <w:sz w:val="24"/>
          <w:szCs w:val="24"/>
        </w:rPr>
        <w:t xml:space="preserve"> and Audit, Risk and Governance Committee</w:t>
      </w:r>
    </w:p>
    <w:p w14:paraId="7704ED8B" w14:textId="77777777" w:rsidR="00655BC0" w:rsidRPr="007C0AFF" w:rsidRDefault="00655BC0" w:rsidP="00CC6DCE">
      <w:pPr>
        <w:spacing w:line="276" w:lineRule="auto"/>
        <w:rPr>
          <w:szCs w:val="24"/>
          <w:lang w:val="en-US"/>
        </w:rPr>
      </w:pPr>
    </w:p>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B5AF9" w:rsidRPr="005D4154" w14:paraId="64144588" w14:textId="77777777" w:rsidTr="005301A7">
        <w:trPr>
          <w:trHeight w:val="222"/>
        </w:trPr>
        <w:tc>
          <w:tcPr>
            <w:tcW w:w="1134" w:type="dxa"/>
          </w:tcPr>
          <w:p w14:paraId="1319E935" w14:textId="77777777" w:rsidR="00CB5AF9" w:rsidRPr="005D4154" w:rsidRDefault="00CB5AF9" w:rsidP="00CC6DCE">
            <w:pPr>
              <w:spacing w:line="276" w:lineRule="auto"/>
              <w:rPr>
                <w:b/>
                <w:sz w:val="28"/>
                <w:szCs w:val="28"/>
              </w:rPr>
            </w:pPr>
            <w:r w:rsidRPr="005D4154">
              <w:rPr>
                <w:b/>
                <w:sz w:val="28"/>
                <w:szCs w:val="28"/>
              </w:rPr>
              <w:t xml:space="preserve">Part A </w:t>
            </w:r>
          </w:p>
        </w:tc>
      </w:tr>
    </w:tbl>
    <w:p w14:paraId="78BC63D8" w14:textId="77777777" w:rsidR="00CB5AF9" w:rsidRPr="007C0AFF" w:rsidRDefault="00CB5AF9" w:rsidP="00CC6DCE">
      <w:pPr>
        <w:spacing w:line="276" w:lineRule="auto"/>
        <w:rPr>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B5AF9" w:rsidRPr="007C0AFF" w14:paraId="284280A6" w14:textId="77777777">
        <w:tc>
          <w:tcPr>
            <w:tcW w:w="3402" w:type="dxa"/>
          </w:tcPr>
          <w:p w14:paraId="6E4F55D2" w14:textId="77777777" w:rsidR="00CB5AF9" w:rsidRPr="007C0AFF" w:rsidRDefault="00CB5AF9" w:rsidP="00CC6DCE">
            <w:pPr>
              <w:pStyle w:val="BodyText"/>
              <w:spacing w:line="276" w:lineRule="auto"/>
              <w:rPr>
                <w:szCs w:val="24"/>
              </w:rPr>
            </w:pPr>
            <w:r w:rsidRPr="007C0AFF">
              <w:rPr>
                <w:szCs w:val="24"/>
              </w:rPr>
              <w:t>Electoral Division affected:</w:t>
            </w:r>
          </w:p>
          <w:p w14:paraId="749C38F8" w14:textId="77777777" w:rsidR="00CB5AF9" w:rsidRPr="007C0AFF" w:rsidRDefault="00CB5AF9" w:rsidP="00CC6DCE">
            <w:pPr>
              <w:spacing w:line="276" w:lineRule="auto"/>
              <w:ind w:right="-250"/>
              <w:rPr>
                <w:szCs w:val="24"/>
              </w:rPr>
            </w:pPr>
            <w:r w:rsidRPr="007C0AFF">
              <w:rPr>
                <w:szCs w:val="24"/>
              </w:rPr>
              <w:t>All</w:t>
            </w:r>
          </w:p>
        </w:tc>
      </w:tr>
    </w:tbl>
    <w:p w14:paraId="1A4E3234" w14:textId="77777777" w:rsidR="00CB5AF9" w:rsidRPr="007C0AFF" w:rsidRDefault="00CB5AF9" w:rsidP="00CC6DCE">
      <w:pPr>
        <w:pStyle w:val="Heading1"/>
        <w:spacing w:line="276" w:lineRule="auto"/>
        <w:rPr>
          <w:szCs w:val="24"/>
        </w:rPr>
      </w:pPr>
    </w:p>
    <w:p w14:paraId="44E8BCD2" w14:textId="00424263" w:rsidR="00CB5AF9" w:rsidRPr="007C0AFF" w:rsidRDefault="00CB5AF9" w:rsidP="00CC6DCE">
      <w:pPr>
        <w:pStyle w:val="Header"/>
        <w:spacing w:line="276" w:lineRule="auto"/>
        <w:rPr>
          <w:rFonts w:ascii="Arial" w:hAnsi="Arial"/>
          <w:b/>
          <w:sz w:val="24"/>
          <w:szCs w:val="24"/>
        </w:rPr>
      </w:pPr>
      <w:r w:rsidRPr="007C0AFF">
        <w:rPr>
          <w:rFonts w:ascii="Arial" w:hAnsi="Arial"/>
          <w:b/>
          <w:sz w:val="24"/>
          <w:szCs w:val="24"/>
        </w:rPr>
        <w:t xml:space="preserve">Revenue Budget </w:t>
      </w:r>
      <w:r w:rsidR="007C0AFF" w:rsidRPr="007C0AFF">
        <w:rPr>
          <w:rFonts w:ascii="Arial" w:hAnsi="Arial"/>
          <w:b/>
          <w:sz w:val="24"/>
          <w:szCs w:val="24"/>
        </w:rPr>
        <w:t>2019/20</w:t>
      </w:r>
      <w:r w:rsidR="00004ACB" w:rsidRPr="007C0AFF">
        <w:rPr>
          <w:rFonts w:ascii="Arial" w:hAnsi="Arial"/>
          <w:b/>
          <w:sz w:val="24"/>
          <w:szCs w:val="24"/>
        </w:rPr>
        <w:t xml:space="preserve"> and Financial Strategy </w:t>
      </w:r>
      <w:r w:rsidR="007C0AFF" w:rsidRPr="007C0AFF">
        <w:rPr>
          <w:rFonts w:ascii="Arial" w:hAnsi="Arial"/>
          <w:b/>
          <w:sz w:val="24"/>
          <w:szCs w:val="24"/>
        </w:rPr>
        <w:t>2019/20</w:t>
      </w:r>
      <w:r w:rsidR="00004ACB" w:rsidRPr="007C0AFF">
        <w:rPr>
          <w:rFonts w:ascii="Arial" w:hAnsi="Arial"/>
          <w:b/>
          <w:sz w:val="24"/>
          <w:szCs w:val="24"/>
        </w:rPr>
        <w:t xml:space="preserve"> to </w:t>
      </w:r>
      <w:r w:rsidR="007C0AFF" w:rsidRPr="007C0AFF">
        <w:rPr>
          <w:rFonts w:ascii="Arial" w:hAnsi="Arial"/>
          <w:b/>
          <w:sz w:val="24"/>
          <w:szCs w:val="24"/>
        </w:rPr>
        <w:t>2022/23</w:t>
      </w:r>
    </w:p>
    <w:p w14:paraId="420710D4" w14:textId="66EA3BC7" w:rsidR="00CB5AF9" w:rsidRPr="007C0AFF" w:rsidRDefault="00BC7C82" w:rsidP="00CC6DCE">
      <w:pPr>
        <w:pStyle w:val="Header"/>
        <w:spacing w:line="276" w:lineRule="auto"/>
        <w:rPr>
          <w:rFonts w:ascii="Arial" w:hAnsi="Arial" w:cs="Arial"/>
          <w:b/>
          <w:sz w:val="24"/>
          <w:szCs w:val="24"/>
        </w:rPr>
      </w:pPr>
      <w:r>
        <w:rPr>
          <w:rFonts w:ascii="Arial" w:hAnsi="Arial" w:cs="Arial"/>
          <w:b/>
          <w:sz w:val="24"/>
          <w:szCs w:val="24"/>
        </w:rPr>
        <w:t>Capital Delivery</w:t>
      </w:r>
      <w:r w:rsidR="00D23DD7" w:rsidRPr="007C0AFF">
        <w:rPr>
          <w:rFonts w:ascii="Arial" w:hAnsi="Arial" w:cs="Arial"/>
          <w:b/>
          <w:sz w:val="24"/>
          <w:szCs w:val="24"/>
        </w:rPr>
        <w:t xml:space="preserve"> </w:t>
      </w:r>
      <w:r w:rsidR="00004ACB" w:rsidRPr="007C0AFF">
        <w:rPr>
          <w:rFonts w:ascii="Arial" w:hAnsi="Arial" w:cs="Arial"/>
          <w:b/>
          <w:sz w:val="24"/>
          <w:szCs w:val="24"/>
        </w:rPr>
        <w:t>Programme</w:t>
      </w:r>
      <w:r w:rsidR="00D23DD7" w:rsidRPr="007C0AFF">
        <w:rPr>
          <w:rFonts w:ascii="Arial" w:hAnsi="Arial" w:cs="Arial"/>
          <w:b/>
          <w:sz w:val="24"/>
          <w:szCs w:val="24"/>
        </w:rPr>
        <w:t xml:space="preserve"> </w:t>
      </w:r>
      <w:r>
        <w:rPr>
          <w:rFonts w:ascii="Arial" w:hAnsi="Arial" w:cs="Arial"/>
          <w:b/>
          <w:sz w:val="24"/>
          <w:szCs w:val="24"/>
        </w:rPr>
        <w:t>2019/20</w:t>
      </w:r>
    </w:p>
    <w:p w14:paraId="72B3832D" w14:textId="19EEFF72" w:rsidR="00004ACB" w:rsidRDefault="00004ACB" w:rsidP="00CC6DCE">
      <w:pPr>
        <w:pStyle w:val="Header"/>
        <w:spacing w:line="276" w:lineRule="auto"/>
        <w:rPr>
          <w:rFonts w:ascii="Arial" w:hAnsi="Arial"/>
          <w:b/>
          <w:sz w:val="24"/>
          <w:szCs w:val="24"/>
        </w:rPr>
      </w:pPr>
      <w:r w:rsidRPr="007C0AFF">
        <w:rPr>
          <w:rFonts w:ascii="Arial" w:hAnsi="Arial"/>
          <w:b/>
          <w:sz w:val="24"/>
          <w:szCs w:val="24"/>
        </w:rPr>
        <w:t xml:space="preserve">Council Tax and Precept </w:t>
      </w:r>
      <w:r w:rsidR="00DB0084" w:rsidRPr="007C0AFF">
        <w:rPr>
          <w:rFonts w:ascii="Arial" w:hAnsi="Arial"/>
          <w:b/>
          <w:sz w:val="24"/>
          <w:szCs w:val="24"/>
        </w:rPr>
        <w:t>201</w:t>
      </w:r>
      <w:r w:rsidR="007C0AFF">
        <w:rPr>
          <w:rFonts w:ascii="Arial" w:hAnsi="Arial"/>
          <w:b/>
          <w:sz w:val="24"/>
          <w:szCs w:val="24"/>
        </w:rPr>
        <w:t>9/20</w:t>
      </w:r>
    </w:p>
    <w:p w14:paraId="3FF8A67E" w14:textId="460EE1DB" w:rsidR="00800366" w:rsidRPr="007C0AFF" w:rsidRDefault="00800366" w:rsidP="00CC6DCE">
      <w:pPr>
        <w:pStyle w:val="Header"/>
        <w:spacing w:line="276" w:lineRule="auto"/>
        <w:rPr>
          <w:rFonts w:ascii="Arial" w:hAnsi="Arial"/>
          <w:b/>
          <w:sz w:val="24"/>
          <w:szCs w:val="24"/>
        </w:rPr>
      </w:pPr>
      <w:r>
        <w:rPr>
          <w:rFonts w:ascii="Arial" w:hAnsi="Arial"/>
          <w:b/>
          <w:sz w:val="24"/>
          <w:szCs w:val="24"/>
        </w:rPr>
        <w:t>Treasury Management Strategy and Non-Treasury Investment Strategy 2019/20</w:t>
      </w:r>
    </w:p>
    <w:p w14:paraId="241D7CCB" w14:textId="7104C954" w:rsidR="00202A46" w:rsidRPr="00800366" w:rsidRDefault="00202A46" w:rsidP="00CC6DCE">
      <w:pPr>
        <w:spacing w:line="276" w:lineRule="auto"/>
        <w:rPr>
          <w:szCs w:val="24"/>
        </w:rPr>
      </w:pPr>
      <w:r w:rsidRPr="00800366">
        <w:rPr>
          <w:szCs w:val="24"/>
        </w:rPr>
        <w:t>(</w:t>
      </w:r>
      <w:r w:rsidR="00727549" w:rsidRPr="00800366">
        <w:rPr>
          <w:szCs w:val="24"/>
        </w:rPr>
        <w:t>Appendices 'A', 'B', 'C'</w:t>
      </w:r>
      <w:r w:rsidR="00800366" w:rsidRPr="00800366">
        <w:rPr>
          <w:szCs w:val="24"/>
        </w:rPr>
        <w:t>, 'D'</w:t>
      </w:r>
      <w:r w:rsidR="00727549" w:rsidRPr="00800366">
        <w:rPr>
          <w:szCs w:val="24"/>
        </w:rPr>
        <w:t xml:space="preserve"> and '</w:t>
      </w:r>
      <w:r w:rsidR="00800366" w:rsidRPr="00800366">
        <w:rPr>
          <w:szCs w:val="24"/>
        </w:rPr>
        <w:t>E</w:t>
      </w:r>
      <w:r w:rsidR="00727549" w:rsidRPr="00800366">
        <w:rPr>
          <w:szCs w:val="24"/>
        </w:rPr>
        <w:t>'</w:t>
      </w:r>
      <w:r w:rsidRPr="00800366">
        <w:rPr>
          <w:szCs w:val="24"/>
        </w:rPr>
        <w:t xml:space="preserve"> refer)</w:t>
      </w:r>
    </w:p>
    <w:p w14:paraId="1A49412E" w14:textId="77777777" w:rsidR="00195BD0" w:rsidRPr="007C0AFF" w:rsidRDefault="00195BD0" w:rsidP="00CC6DCE">
      <w:pPr>
        <w:pStyle w:val="Header"/>
        <w:spacing w:line="276" w:lineRule="auto"/>
        <w:rPr>
          <w:rFonts w:ascii="Arial" w:hAnsi="Arial"/>
          <w:sz w:val="24"/>
          <w:szCs w:val="24"/>
          <w:highlight w:val="yellow"/>
        </w:rPr>
      </w:pPr>
    </w:p>
    <w:p w14:paraId="0756357D" w14:textId="77777777" w:rsidR="00CB5AF9" w:rsidRPr="007C0AFF" w:rsidRDefault="00CB5AF9" w:rsidP="00CC6DCE">
      <w:pPr>
        <w:spacing w:line="276" w:lineRule="auto"/>
        <w:ind w:right="-873"/>
        <w:rPr>
          <w:szCs w:val="24"/>
        </w:rPr>
      </w:pPr>
      <w:r w:rsidRPr="007C0AFF">
        <w:rPr>
          <w:szCs w:val="24"/>
        </w:rPr>
        <w:t xml:space="preserve">Contact for further information: </w:t>
      </w:r>
    </w:p>
    <w:p w14:paraId="114EC398" w14:textId="6D5DEC7A" w:rsidR="00CB5AF9" w:rsidRPr="007C0AFF" w:rsidRDefault="00237774" w:rsidP="00CC6DCE">
      <w:pPr>
        <w:spacing w:line="276" w:lineRule="auto"/>
        <w:ind w:right="-873"/>
        <w:rPr>
          <w:szCs w:val="24"/>
        </w:rPr>
      </w:pPr>
      <w:r w:rsidRPr="007C0AFF">
        <w:rPr>
          <w:szCs w:val="24"/>
        </w:rPr>
        <w:t>Angie Ridgwell</w:t>
      </w:r>
      <w:r w:rsidR="005D4154">
        <w:rPr>
          <w:szCs w:val="24"/>
        </w:rPr>
        <w:t>,</w:t>
      </w:r>
      <w:r w:rsidRPr="007C0AFF">
        <w:rPr>
          <w:szCs w:val="24"/>
        </w:rPr>
        <w:t xml:space="preserve"> </w:t>
      </w:r>
      <w:r w:rsidR="005D4154">
        <w:rPr>
          <w:szCs w:val="24"/>
        </w:rPr>
        <w:t xml:space="preserve">Tel: </w:t>
      </w:r>
      <w:r w:rsidRPr="007C0AFF">
        <w:rPr>
          <w:szCs w:val="24"/>
        </w:rPr>
        <w:t>(01772) 536260, Chief Executive and Director of Resources</w:t>
      </w:r>
    </w:p>
    <w:p w14:paraId="15B26720" w14:textId="1ECB41A8" w:rsidR="00CB5AF9" w:rsidRPr="007C0AFF" w:rsidRDefault="005E1344" w:rsidP="00CC6DCE">
      <w:pPr>
        <w:spacing w:line="276" w:lineRule="auto"/>
      </w:pPr>
      <w:hyperlink r:id="rId8" w:history="1">
        <w:r w:rsidR="005D4154" w:rsidRPr="003A5A60">
          <w:rPr>
            <w:rStyle w:val="Hyperlink"/>
          </w:rPr>
          <w:t>angie.ridgwell@lancashire.gov.uk</w:t>
        </w:r>
      </w:hyperlink>
    </w:p>
    <w:p w14:paraId="782B0658" w14:textId="77777777" w:rsidR="00655BC0" w:rsidRPr="007C0AFF" w:rsidRDefault="00655BC0" w:rsidP="00CC6DCE">
      <w:pPr>
        <w:spacing w:line="276" w:lineRule="auto"/>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B5AF9" w:rsidRPr="007C0AFF" w14:paraId="737281B8" w14:textId="77777777">
        <w:tc>
          <w:tcPr>
            <w:tcW w:w="9180" w:type="dxa"/>
          </w:tcPr>
          <w:p w14:paraId="259F685D" w14:textId="77777777" w:rsidR="00CB5AF9" w:rsidRPr="007C0AFF" w:rsidRDefault="00CB5AF9" w:rsidP="00CC6DCE">
            <w:pPr>
              <w:pStyle w:val="BodyText"/>
              <w:spacing w:line="276" w:lineRule="auto"/>
              <w:jc w:val="both"/>
              <w:rPr>
                <w:rFonts w:cs="Arial"/>
                <w:szCs w:val="24"/>
                <w:highlight w:val="yellow"/>
              </w:rPr>
            </w:pPr>
          </w:p>
          <w:p w14:paraId="6F737E24" w14:textId="77777777" w:rsidR="00CB5AF9" w:rsidRPr="007C0AFF" w:rsidRDefault="00CB5AF9" w:rsidP="00CC6DCE">
            <w:pPr>
              <w:pStyle w:val="Heading6"/>
              <w:spacing w:line="276" w:lineRule="auto"/>
              <w:jc w:val="both"/>
              <w:rPr>
                <w:rFonts w:ascii="Arial" w:hAnsi="Arial" w:cs="Arial"/>
                <w:sz w:val="24"/>
                <w:szCs w:val="24"/>
              </w:rPr>
            </w:pPr>
            <w:r w:rsidRPr="007C0AFF">
              <w:rPr>
                <w:rFonts w:ascii="Arial" w:hAnsi="Arial" w:cs="Arial"/>
                <w:sz w:val="24"/>
                <w:szCs w:val="24"/>
              </w:rPr>
              <w:t>Executive Summary</w:t>
            </w:r>
          </w:p>
          <w:p w14:paraId="3CBB1A6C" w14:textId="77777777" w:rsidR="00CB5AF9" w:rsidRPr="007C0AFF" w:rsidRDefault="00CB5AF9" w:rsidP="00CC6DCE">
            <w:pPr>
              <w:spacing w:line="276" w:lineRule="auto"/>
              <w:jc w:val="both"/>
              <w:rPr>
                <w:rFonts w:cs="Arial"/>
                <w:szCs w:val="24"/>
              </w:rPr>
            </w:pPr>
          </w:p>
          <w:p w14:paraId="70F17813" w14:textId="6E82B03C" w:rsidR="00CB5AF9" w:rsidRPr="007C0AFF" w:rsidRDefault="00CB5AF9" w:rsidP="00CC6DCE">
            <w:pPr>
              <w:spacing w:line="276" w:lineRule="auto"/>
              <w:jc w:val="both"/>
              <w:rPr>
                <w:rFonts w:cs="Arial"/>
                <w:szCs w:val="24"/>
                <w:highlight w:val="yellow"/>
              </w:rPr>
            </w:pPr>
            <w:r w:rsidRPr="007C0AFF">
              <w:rPr>
                <w:rFonts w:cs="Arial"/>
                <w:szCs w:val="24"/>
              </w:rPr>
              <w:t>To consider the reco</w:t>
            </w:r>
            <w:r w:rsidR="00E348F2" w:rsidRPr="007C0AFF">
              <w:rPr>
                <w:rFonts w:cs="Arial"/>
                <w:szCs w:val="24"/>
              </w:rPr>
              <w:t xml:space="preserve">mmendations of the </w:t>
            </w:r>
            <w:r w:rsidR="005D4154">
              <w:rPr>
                <w:rFonts w:cs="Arial"/>
                <w:szCs w:val="24"/>
              </w:rPr>
              <w:t>C</w:t>
            </w:r>
            <w:r w:rsidR="00E348F2" w:rsidRPr="007C0AFF">
              <w:rPr>
                <w:rFonts w:cs="Arial"/>
                <w:szCs w:val="24"/>
              </w:rPr>
              <w:t xml:space="preserve">abinet on </w:t>
            </w:r>
            <w:r w:rsidR="007C0AFF">
              <w:rPr>
                <w:rFonts w:cs="Arial"/>
                <w:szCs w:val="24"/>
              </w:rPr>
              <w:t>7 February</w:t>
            </w:r>
            <w:r w:rsidR="00237774" w:rsidRPr="007C0AFF">
              <w:rPr>
                <w:rFonts w:cs="Arial"/>
                <w:szCs w:val="24"/>
              </w:rPr>
              <w:t xml:space="preserve"> 201</w:t>
            </w:r>
            <w:r w:rsidR="007C0AFF">
              <w:rPr>
                <w:rFonts w:cs="Arial"/>
                <w:szCs w:val="24"/>
              </w:rPr>
              <w:t>9</w:t>
            </w:r>
            <w:r w:rsidRPr="007C0AFF">
              <w:rPr>
                <w:rFonts w:cs="Arial"/>
                <w:szCs w:val="24"/>
              </w:rPr>
              <w:t xml:space="preserve"> regarding:</w:t>
            </w:r>
          </w:p>
          <w:p w14:paraId="7A985EBE" w14:textId="77777777" w:rsidR="00CB5AF9" w:rsidRPr="007C0AFF" w:rsidRDefault="00CB5AF9" w:rsidP="00CC6DCE">
            <w:pPr>
              <w:spacing w:line="276" w:lineRule="auto"/>
              <w:ind w:left="313" w:hanging="313"/>
              <w:jc w:val="both"/>
              <w:rPr>
                <w:rFonts w:cs="Arial"/>
                <w:szCs w:val="24"/>
                <w:highlight w:val="yellow"/>
              </w:rPr>
            </w:pPr>
          </w:p>
          <w:p w14:paraId="4277AA51" w14:textId="44B21A1C" w:rsidR="00CB5AF9" w:rsidRPr="00E55872" w:rsidRDefault="00BC7C82" w:rsidP="00CC6DCE">
            <w:pPr>
              <w:pStyle w:val="ListParagraph"/>
              <w:numPr>
                <w:ilvl w:val="0"/>
                <w:numId w:val="32"/>
              </w:numPr>
              <w:spacing w:line="276" w:lineRule="auto"/>
              <w:ind w:left="313" w:hanging="313"/>
              <w:jc w:val="both"/>
              <w:rPr>
                <w:rFonts w:cs="Arial"/>
                <w:szCs w:val="24"/>
              </w:rPr>
            </w:pPr>
            <w:r>
              <w:rPr>
                <w:rFonts w:cs="Arial"/>
                <w:szCs w:val="24"/>
              </w:rPr>
              <w:t>The revenue b</w:t>
            </w:r>
            <w:r w:rsidR="00CB5AF9" w:rsidRPr="007C0AFF">
              <w:rPr>
                <w:rFonts w:cs="Arial"/>
                <w:szCs w:val="24"/>
              </w:rPr>
              <w:t xml:space="preserve">udget </w:t>
            </w:r>
            <w:r w:rsidR="007C0AFF" w:rsidRPr="007C0AFF">
              <w:rPr>
                <w:rFonts w:cs="Arial"/>
                <w:szCs w:val="24"/>
              </w:rPr>
              <w:t>2019/20</w:t>
            </w:r>
            <w:r>
              <w:rPr>
                <w:rFonts w:cs="Arial"/>
                <w:szCs w:val="24"/>
              </w:rPr>
              <w:t xml:space="preserve"> and financial s</w:t>
            </w:r>
            <w:r w:rsidR="00004ACB" w:rsidRPr="007C0AFF">
              <w:rPr>
                <w:rFonts w:cs="Arial"/>
                <w:szCs w:val="24"/>
              </w:rPr>
              <w:t xml:space="preserve">trategy </w:t>
            </w:r>
            <w:r w:rsidR="007C0AFF" w:rsidRPr="007C0AFF">
              <w:rPr>
                <w:rFonts w:cs="Arial"/>
                <w:szCs w:val="24"/>
              </w:rPr>
              <w:t>2019/20</w:t>
            </w:r>
            <w:r w:rsidR="00004ACB" w:rsidRPr="007C0AFF">
              <w:rPr>
                <w:rFonts w:cs="Arial"/>
                <w:szCs w:val="24"/>
              </w:rPr>
              <w:t xml:space="preserve"> to </w:t>
            </w:r>
            <w:r w:rsidR="007C0AFF" w:rsidRPr="007C0AFF">
              <w:rPr>
                <w:rFonts w:cs="Arial"/>
                <w:szCs w:val="24"/>
              </w:rPr>
              <w:t>2022/23</w:t>
            </w:r>
            <w:r w:rsidR="00066B3A" w:rsidRPr="007C0AFF">
              <w:rPr>
                <w:rFonts w:cs="Arial"/>
                <w:szCs w:val="24"/>
              </w:rPr>
              <w:t xml:space="preserve">: section </w:t>
            </w:r>
            <w:r w:rsidR="00195BD0" w:rsidRPr="00E55872">
              <w:rPr>
                <w:rFonts w:cs="Arial"/>
                <w:szCs w:val="24"/>
              </w:rPr>
              <w:t>1</w:t>
            </w:r>
            <w:r w:rsidR="00066B3A" w:rsidRPr="00E55872">
              <w:rPr>
                <w:rFonts w:cs="Arial"/>
                <w:szCs w:val="24"/>
              </w:rPr>
              <w:t xml:space="preserve"> of </w:t>
            </w:r>
            <w:r w:rsidR="00CE77D7" w:rsidRPr="00E55872">
              <w:rPr>
                <w:rFonts w:cs="Arial"/>
                <w:szCs w:val="24"/>
              </w:rPr>
              <w:t>this</w:t>
            </w:r>
            <w:r w:rsidR="00066B3A" w:rsidRPr="00E55872">
              <w:rPr>
                <w:rFonts w:cs="Arial"/>
                <w:szCs w:val="24"/>
              </w:rPr>
              <w:t xml:space="preserve"> report</w:t>
            </w:r>
            <w:r w:rsidR="00004ACB" w:rsidRPr="00E55872">
              <w:rPr>
                <w:rFonts w:cs="Arial"/>
                <w:szCs w:val="24"/>
              </w:rPr>
              <w:t xml:space="preserve"> and Appendix </w:t>
            </w:r>
            <w:r w:rsidR="005D4154">
              <w:rPr>
                <w:rFonts w:cs="Arial"/>
                <w:szCs w:val="24"/>
              </w:rPr>
              <w:t>'</w:t>
            </w:r>
            <w:r w:rsidR="00004ACB" w:rsidRPr="00E55872">
              <w:rPr>
                <w:rFonts w:cs="Arial"/>
                <w:szCs w:val="24"/>
              </w:rPr>
              <w:t>A</w:t>
            </w:r>
            <w:r w:rsidR="005D4154">
              <w:rPr>
                <w:rFonts w:cs="Arial"/>
                <w:szCs w:val="24"/>
              </w:rPr>
              <w:t>'</w:t>
            </w:r>
            <w:r w:rsidR="00195BD0" w:rsidRPr="00E55872">
              <w:rPr>
                <w:rFonts w:cs="Arial"/>
                <w:szCs w:val="24"/>
              </w:rPr>
              <w:t>;</w:t>
            </w:r>
          </w:p>
          <w:p w14:paraId="244CA354" w14:textId="77777777" w:rsidR="00004ACB" w:rsidRPr="00E55872" w:rsidRDefault="00004ACB" w:rsidP="00CC6DCE">
            <w:pPr>
              <w:spacing w:line="276" w:lineRule="auto"/>
              <w:ind w:left="313" w:hanging="313"/>
              <w:jc w:val="both"/>
              <w:rPr>
                <w:rFonts w:cs="Arial"/>
                <w:szCs w:val="24"/>
              </w:rPr>
            </w:pPr>
          </w:p>
          <w:p w14:paraId="4F5C0CF4" w14:textId="4D7ECEB3" w:rsidR="00004ACB" w:rsidRPr="00E55872" w:rsidRDefault="00BC7C82" w:rsidP="00CC6DCE">
            <w:pPr>
              <w:pStyle w:val="ListParagraph"/>
              <w:numPr>
                <w:ilvl w:val="0"/>
                <w:numId w:val="32"/>
              </w:numPr>
              <w:spacing w:line="276" w:lineRule="auto"/>
              <w:ind w:left="313" w:hanging="313"/>
              <w:jc w:val="both"/>
              <w:rPr>
                <w:rFonts w:cs="Arial"/>
                <w:szCs w:val="24"/>
              </w:rPr>
            </w:pPr>
            <w:r>
              <w:rPr>
                <w:rFonts w:cs="Arial"/>
                <w:szCs w:val="24"/>
              </w:rPr>
              <w:t>The c</w:t>
            </w:r>
            <w:r w:rsidR="00004ACB" w:rsidRPr="00E55872">
              <w:rPr>
                <w:rFonts w:cs="Arial"/>
                <w:szCs w:val="24"/>
              </w:rPr>
              <w:t xml:space="preserve">apital </w:t>
            </w:r>
            <w:r>
              <w:rPr>
                <w:rFonts w:cs="Arial"/>
                <w:szCs w:val="24"/>
              </w:rPr>
              <w:t>delivery p</w:t>
            </w:r>
            <w:r w:rsidR="00004ACB" w:rsidRPr="00E55872">
              <w:rPr>
                <w:rFonts w:cs="Arial"/>
                <w:szCs w:val="24"/>
              </w:rPr>
              <w:t xml:space="preserve">rogramme </w:t>
            </w:r>
            <w:r w:rsidR="00E55872" w:rsidRPr="00E55872">
              <w:rPr>
                <w:rFonts w:cs="Arial"/>
                <w:szCs w:val="24"/>
              </w:rPr>
              <w:t>2019/20</w:t>
            </w:r>
            <w:r w:rsidR="00880ACA" w:rsidRPr="00E55872">
              <w:rPr>
                <w:rFonts w:cs="Arial"/>
                <w:szCs w:val="24"/>
              </w:rPr>
              <w:t>: section 2</w:t>
            </w:r>
            <w:r w:rsidR="00004ACB" w:rsidRPr="00E55872">
              <w:rPr>
                <w:rFonts w:cs="Arial"/>
                <w:szCs w:val="24"/>
              </w:rPr>
              <w:t xml:space="preserve"> of</w:t>
            </w:r>
            <w:r w:rsidR="00C07C0E" w:rsidRPr="00E55872">
              <w:rPr>
                <w:rFonts w:cs="Arial"/>
                <w:szCs w:val="24"/>
              </w:rPr>
              <w:t xml:space="preserve"> this report and Appendix </w:t>
            </w:r>
            <w:r w:rsidR="005D4154">
              <w:rPr>
                <w:rFonts w:cs="Arial"/>
                <w:szCs w:val="24"/>
              </w:rPr>
              <w:t>'</w:t>
            </w:r>
            <w:r w:rsidR="00C07C0E" w:rsidRPr="00E55872">
              <w:rPr>
                <w:rFonts w:cs="Arial"/>
                <w:szCs w:val="24"/>
              </w:rPr>
              <w:t>A</w:t>
            </w:r>
            <w:r w:rsidR="005D4154">
              <w:rPr>
                <w:rFonts w:cs="Arial"/>
                <w:szCs w:val="24"/>
              </w:rPr>
              <w:t>'</w:t>
            </w:r>
            <w:r w:rsidR="00C07C0E" w:rsidRPr="00E55872">
              <w:rPr>
                <w:rFonts w:cs="Arial"/>
                <w:szCs w:val="24"/>
              </w:rPr>
              <w:t>; and</w:t>
            </w:r>
          </w:p>
          <w:p w14:paraId="03CDB2AE" w14:textId="77777777" w:rsidR="00CB5AF9" w:rsidRPr="00E55872" w:rsidRDefault="00CB5AF9" w:rsidP="00CC6DCE">
            <w:pPr>
              <w:spacing w:line="276" w:lineRule="auto"/>
              <w:ind w:left="313" w:hanging="313"/>
              <w:jc w:val="both"/>
              <w:rPr>
                <w:rFonts w:cs="Arial"/>
                <w:szCs w:val="24"/>
              </w:rPr>
            </w:pPr>
          </w:p>
          <w:p w14:paraId="621B6FA2" w14:textId="4045E12D" w:rsidR="00195BD0" w:rsidRDefault="00BC7C82" w:rsidP="00CC6DCE">
            <w:pPr>
              <w:pStyle w:val="ListParagraph"/>
              <w:numPr>
                <w:ilvl w:val="0"/>
                <w:numId w:val="32"/>
              </w:numPr>
              <w:spacing w:line="276" w:lineRule="auto"/>
              <w:ind w:left="313" w:hanging="313"/>
              <w:jc w:val="both"/>
              <w:rPr>
                <w:rFonts w:cs="Arial"/>
                <w:szCs w:val="24"/>
              </w:rPr>
            </w:pPr>
            <w:r>
              <w:rPr>
                <w:rFonts w:cs="Arial"/>
                <w:szCs w:val="24"/>
              </w:rPr>
              <w:t>The council tax and p</w:t>
            </w:r>
            <w:r w:rsidR="00CB5AF9" w:rsidRPr="00E55872">
              <w:rPr>
                <w:rFonts w:cs="Arial"/>
                <w:szCs w:val="24"/>
              </w:rPr>
              <w:t xml:space="preserve">recept </w:t>
            </w:r>
            <w:r w:rsidR="007C0AFF" w:rsidRPr="00E55872">
              <w:rPr>
                <w:rFonts w:cs="Arial"/>
                <w:szCs w:val="24"/>
              </w:rPr>
              <w:t>2019/20</w:t>
            </w:r>
            <w:r w:rsidR="00066B3A" w:rsidRPr="00E55872">
              <w:rPr>
                <w:rFonts w:cs="Arial"/>
                <w:szCs w:val="24"/>
              </w:rPr>
              <w:t xml:space="preserve">: section </w:t>
            </w:r>
            <w:r w:rsidR="00880ACA" w:rsidRPr="00E55872">
              <w:rPr>
                <w:rFonts w:cs="Arial"/>
                <w:szCs w:val="24"/>
              </w:rPr>
              <w:t>3</w:t>
            </w:r>
            <w:r w:rsidR="00066B3A" w:rsidRPr="00E55872">
              <w:rPr>
                <w:rFonts w:cs="Arial"/>
                <w:szCs w:val="24"/>
              </w:rPr>
              <w:t xml:space="preserve"> of </w:t>
            </w:r>
            <w:r w:rsidR="00CE77D7" w:rsidRPr="00E55872">
              <w:rPr>
                <w:rFonts w:cs="Arial"/>
                <w:szCs w:val="24"/>
              </w:rPr>
              <w:t>this</w:t>
            </w:r>
            <w:r w:rsidR="00066B3A" w:rsidRPr="00E55872">
              <w:rPr>
                <w:rFonts w:cs="Arial"/>
                <w:szCs w:val="24"/>
              </w:rPr>
              <w:t xml:space="preserve"> </w:t>
            </w:r>
            <w:r w:rsidR="00CB5AF9" w:rsidRPr="00E55872">
              <w:rPr>
                <w:rFonts w:cs="Arial"/>
                <w:szCs w:val="24"/>
              </w:rPr>
              <w:t>report</w:t>
            </w:r>
            <w:r w:rsidR="00004ACB" w:rsidRPr="00E55872">
              <w:rPr>
                <w:rFonts w:cs="Arial"/>
                <w:szCs w:val="24"/>
              </w:rPr>
              <w:t>.</w:t>
            </w:r>
          </w:p>
          <w:p w14:paraId="20BB2D64" w14:textId="77777777" w:rsidR="00800366" w:rsidRPr="00800366" w:rsidRDefault="00800366" w:rsidP="00800366">
            <w:pPr>
              <w:pStyle w:val="ListParagraph"/>
              <w:rPr>
                <w:rFonts w:cs="Arial"/>
                <w:szCs w:val="24"/>
              </w:rPr>
            </w:pPr>
          </w:p>
          <w:p w14:paraId="225B7A2E" w14:textId="103ABC2C" w:rsidR="00800366" w:rsidRDefault="00800366" w:rsidP="00800366">
            <w:pPr>
              <w:jc w:val="both"/>
              <w:rPr>
                <w:b/>
              </w:rPr>
            </w:pPr>
            <w:r>
              <w:t>To cons</w:t>
            </w:r>
            <w:r w:rsidR="005D4154">
              <w:t>ider the recommendation of the A</w:t>
            </w:r>
            <w:r>
              <w:t xml:space="preserve">udit, </w:t>
            </w:r>
            <w:r w:rsidR="005D4154">
              <w:t>Risk and Governance C</w:t>
            </w:r>
            <w:r>
              <w:t xml:space="preserve">ommittee considered on 28 January 2019 regarding the Treasury Management Strategy and Non-Treasury Investment Strategy 2019/20. </w:t>
            </w:r>
          </w:p>
          <w:p w14:paraId="0290C9D8" w14:textId="77777777" w:rsidR="00D3748A" w:rsidRPr="007C0AFF" w:rsidRDefault="00D3748A" w:rsidP="00CC6DCE">
            <w:pPr>
              <w:pStyle w:val="Heading5"/>
              <w:spacing w:line="276" w:lineRule="auto"/>
              <w:jc w:val="both"/>
              <w:rPr>
                <w:rFonts w:ascii="Arial" w:hAnsi="Arial" w:cs="Arial"/>
                <w:sz w:val="24"/>
                <w:szCs w:val="24"/>
                <w:highlight w:val="yellow"/>
                <w:u w:val="none"/>
              </w:rPr>
            </w:pPr>
          </w:p>
          <w:p w14:paraId="2B44C091" w14:textId="09C4781E" w:rsidR="00CB5AF9" w:rsidRPr="00F7589C" w:rsidRDefault="00CB5AF9" w:rsidP="00D3748A">
            <w:pPr>
              <w:pStyle w:val="Heading5"/>
              <w:spacing w:line="276" w:lineRule="auto"/>
              <w:jc w:val="both"/>
              <w:rPr>
                <w:rFonts w:ascii="Arial" w:hAnsi="Arial" w:cs="Arial"/>
                <w:sz w:val="24"/>
                <w:szCs w:val="24"/>
                <w:u w:val="none"/>
              </w:rPr>
            </w:pPr>
            <w:r w:rsidRPr="00F7589C">
              <w:rPr>
                <w:rFonts w:ascii="Arial" w:hAnsi="Arial" w:cs="Arial"/>
                <w:sz w:val="24"/>
                <w:szCs w:val="24"/>
                <w:u w:val="none"/>
              </w:rPr>
              <w:t>Recommendation</w:t>
            </w:r>
          </w:p>
          <w:p w14:paraId="2BB98C39" w14:textId="77777777" w:rsidR="005D4154" w:rsidRDefault="005D4154" w:rsidP="00800366">
            <w:pPr>
              <w:pStyle w:val="ListParagraph"/>
              <w:spacing w:line="276" w:lineRule="auto"/>
              <w:jc w:val="both"/>
              <w:rPr>
                <w:rFonts w:cs="Arial"/>
                <w:szCs w:val="24"/>
              </w:rPr>
            </w:pPr>
          </w:p>
          <w:p w14:paraId="55693CAF" w14:textId="77777777" w:rsidR="005D4154" w:rsidRDefault="005D4154" w:rsidP="005D4154">
            <w:pPr>
              <w:spacing w:line="276" w:lineRule="auto"/>
              <w:jc w:val="both"/>
              <w:rPr>
                <w:rFonts w:cs="Arial"/>
                <w:szCs w:val="24"/>
              </w:rPr>
            </w:pPr>
            <w:r>
              <w:rPr>
                <w:rFonts w:cs="Arial"/>
                <w:szCs w:val="24"/>
              </w:rPr>
              <w:t>Full Council is asked to:</w:t>
            </w:r>
          </w:p>
          <w:p w14:paraId="2F71BAD9" w14:textId="77777777" w:rsidR="005D4154" w:rsidRDefault="005D4154" w:rsidP="005D4154">
            <w:pPr>
              <w:spacing w:line="276" w:lineRule="auto"/>
              <w:jc w:val="both"/>
              <w:rPr>
                <w:rFonts w:cs="Arial"/>
                <w:szCs w:val="24"/>
              </w:rPr>
            </w:pPr>
          </w:p>
          <w:p w14:paraId="4149F6F1" w14:textId="361FBA8C" w:rsidR="005D4154" w:rsidRDefault="005D4154" w:rsidP="005D4154">
            <w:pPr>
              <w:pStyle w:val="ListParagraph"/>
              <w:numPr>
                <w:ilvl w:val="0"/>
                <w:numId w:val="39"/>
              </w:numPr>
              <w:spacing w:line="276" w:lineRule="auto"/>
              <w:jc w:val="both"/>
              <w:rPr>
                <w:rFonts w:cs="Arial"/>
                <w:szCs w:val="24"/>
              </w:rPr>
            </w:pPr>
            <w:r>
              <w:t>Consider the proposals of cabinet from its meeting on 7 February 2019 and then approve:</w:t>
            </w:r>
          </w:p>
          <w:p w14:paraId="4D934E92" w14:textId="77777777" w:rsidR="005D4154" w:rsidRDefault="005D4154" w:rsidP="005D4154">
            <w:pPr>
              <w:spacing w:line="276" w:lineRule="auto"/>
              <w:jc w:val="both"/>
              <w:rPr>
                <w:rFonts w:cs="Arial"/>
                <w:szCs w:val="24"/>
              </w:rPr>
            </w:pPr>
          </w:p>
          <w:p w14:paraId="273A1AC5" w14:textId="77777777" w:rsidR="005D4154" w:rsidRDefault="005D4154" w:rsidP="005D4154">
            <w:pPr>
              <w:numPr>
                <w:ilvl w:val="0"/>
                <w:numId w:val="40"/>
              </w:numPr>
              <w:spacing w:line="276" w:lineRule="auto"/>
              <w:ind w:left="720"/>
              <w:jc w:val="both"/>
              <w:rPr>
                <w:rFonts w:cs="Arial"/>
                <w:szCs w:val="24"/>
              </w:rPr>
            </w:pPr>
            <w:r>
              <w:rPr>
                <w:rFonts w:cs="Arial"/>
                <w:szCs w:val="24"/>
              </w:rPr>
              <w:lastRenderedPageBreak/>
              <w:t xml:space="preserve">The revenue budget for 2019/20 and financial strategy 2019/20 to 2022/23; </w:t>
            </w:r>
          </w:p>
          <w:p w14:paraId="7B21C856" w14:textId="77777777" w:rsidR="005D4154" w:rsidRDefault="005D4154" w:rsidP="005D4154">
            <w:pPr>
              <w:numPr>
                <w:ilvl w:val="0"/>
                <w:numId w:val="40"/>
              </w:numPr>
              <w:spacing w:line="276" w:lineRule="auto"/>
              <w:ind w:left="720"/>
              <w:jc w:val="both"/>
              <w:rPr>
                <w:rFonts w:cs="Arial"/>
                <w:szCs w:val="24"/>
              </w:rPr>
            </w:pPr>
            <w:r>
              <w:rPr>
                <w:rFonts w:cs="Arial"/>
                <w:szCs w:val="24"/>
              </w:rPr>
              <w:t>The capital delivery programme for 2019/20;</w:t>
            </w:r>
          </w:p>
          <w:p w14:paraId="5A0F841A" w14:textId="77777777" w:rsidR="005D4154" w:rsidRDefault="005D4154" w:rsidP="005D4154">
            <w:pPr>
              <w:numPr>
                <w:ilvl w:val="0"/>
                <w:numId w:val="40"/>
              </w:numPr>
              <w:spacing w:line="276" w:lineRule="auto"/>
              <w:ind w:left="720"/>
              <w:jc w:val="both"/>
              <w:rPr>
                <w:rFonts w:cs="Arial"/>
                <w:szCs w:val="24"/>
              </w:rPr>
            </w:pPr>
            <w:r>
              <w:rPr>
                <w:rFonts w:cs="Arial"/>
                <w:szCs w:val="24"/>
              </w:rPr>
              <w:t>The council tax requirement and precept for 2019/20</w:t>
            </w:r>
          </w:p>
          <w:p w14:paraId="204BB2D6" w14:textId="77777777" w:rsidR="005D4154" w:rsidRDefault="005D4154" w:rsidP="005D4154">
            <w:pPr>
              <w:spacing w:line="276" w:lineRule="auto"/>
              <w:jc w:val="both"/>
              <w:rPr>
                <w:rFonts w:cs="Arial"/>
                <w:szCs w:val="24"/>
              </w:rPr>
            </w:pPr>
          </w:p>
          <w:p w14:paraId="131889F8" w14:textId="19ECDF6D" w:rsidR="005D4154" w:rsidRDefault="005D4154" w:rsidP="005D4154">
            <w:pPr>
              <w:pStyle w:val="ListParagraph"/>
              <w:numPr>
                <w:ilvl w:val="0"/>
                <w:numId w:val="39"/>
              </w:numPr>
              <w:spacing w:line="276" w:lineRule="auto"/>
              <w:jc w:val="both"/>
              <w:rPr>
                <w:rFonts w:cs="Arial"/>
                <w:szCs w:val="24"/>
              </w:rPr>
            </w:pPr>
            <w:r>
              <w:t>Consider the proposals of the Audit, Risk and Governance Committee from its meeting on 28 January 2019 and then approve the Treasury Management Strategy and Non-Treasury Investment Strategy 2019/20 (as set out at Appendix 'E').</w:t>
            </w:r>
          </w:p>
          <w:p w14:paraId="19B297B4" w14:textId="551B8208" w:rsidR="005D4154" w:rsidRPr="00800366" w:rsidRDefault="005D4154" w:rsidP="00800366">
            <w:pPr>
              <w:pStyle w:val="ListParagraph"/>
              <w:spacing w:line="276" w:lineRule="auto"/>
              <w:jc w:val="both"/>
              <w:rPr>
                <w:rFonts w:cs="Arial"/>
                <w:szCs w:val="24"/>
              </w:rPr>
            </w:pPr>
          </w:p>
        </w:tc>
      </w:tr>
    </w:tbl>
    <w:p w14:paraId="2EFA9FCA" w14:textId="77777777" w:rsidR="00E55872" w:rsidRPr="007C0AFF" w:rsidRDefault="00E55872" w:rsidP="00CB5AF9">
      <w:pPr>
        <w:rPr>
          <w:highlight w:val="yellow"/>
        </w:rPr>
      </w:pPr>
    </w:p>
    <w:p w14:paraId="03C29CC3" w14:textId="252D101E" w:rsidR="001C4234" w:rsidRPr="00F7589C" w:rsidRDefault="001C4234" w:rsidP="00CB5AF9">
      <w:pPr>
        <w:rPr>
          <w:b/>
        </w:rPr>
      </w:pPr>
      <w:r w:rsidRPr="00F7589C">
        <w:rPr>
          <w:b/>
        </w:rPr>
        <w:t>Consultations</w:t>
      </w:r>
    </w:p>
    <w:p w14:paraId="3C6C9864" w14:textId="77777777" w:rsidR="00D3748A" w:rsidRPr="00E55872" w:rsidRDefault="00D3748A" w:rsidP="00CB5AF9">
      <w:pPr>
        <w:rPr>
          <w:b/>
        </w:rPr>
      </w:pPr>
    </w:p>
    <w:p w14:paraId="5005057E" w14:textId="7CEE542E" w:rsidR="00D3748A" w:rsidRPr="00E55872" w:rsidRDefault="00D3748A" w:rsidP="001B19D5">
      <w:pPr>
        <w:jc w:val="both"/>
      </w:pPr>
      <w:r w:rsidRPr="00E55872">
        <w:t>As part of the budget process</w:t>
      </w:r>
      <w:r w:rsidR="00BC7C82">
        <w:t xml:space="preserve"> the contents of the report to full c</w:t>
      </w:r>
      <w:r w:rsidRPr="00E55872">
        <w:t xml:space="preserve">ouncil </w:t>
      </w:r>
      <w:r w:rsidR="0080083B" w:rsidRPr="00E55872">
        <w:t xml:space="preserve">have been </w:t>
      </w:r>
      <w:r w:rsidRPr="00E55872">
        <w:t>subject to a consultation with a variety of stakeholders and partners</w:t>
      </w:r>
      <w:r w:rsidR="0080083B" w:rsidRPr="00E55872">
        <w:t xml:space="preserve">, </w:t>
      </w:r>
      <w:r w:rsidR="00BC7C82">
        <w:t>including discussions with the trade u</w:t>
      </w:r>
      <w:r w:rsidR="0080083B" w:rsidRPr="00E55872">
        <w:t>nions</w:t>
      </w:r>
      <w:r w:rsidR="00800366">
        <w:t xml:space="preserve">. </w:t>
      </w:r>
    </w:p>
    <w:p w14:paraId="7C9352B2" w14:textId="77777777" w:rsidR="00D3748A" w:rsidRPr="007C0AFF" w:rsidRDefault="00D3748A" w:rsidP="001B19D5">
      <w:pPr>
        <w:jc w:val="both"/>
        <w:rPr>
          <w:highlight w:val="yellow"/>
        </w:rPr>
      </w:pPr>
    </w:p>
    <w:p w14:paraId="31A28371" w14:textId="389DB2FF" w:rsidR="00D3748A" w:rsidRPr="00E55872" w:rsidRDefault="00D3748A" w:rsidP="001B19D5">
      <w:pPr>
        <w:jc w:val="both"/>
      </w:pPr>
      <w:r w:rsidRPr="00E55872">
        <w:t xml:space="preserve">For the </w:t>
      </w:r>
      <w:r w:rsidR="0080083B" w:rsidRPr="00E55872">
        <w:t xml:space="preserve">budget </w:t>
      </w:r>
      <w:r w:rsidRPr="00E55872">
        <w:t>consultation, a</w:t>
      </w:r>
      <w:r w:rsidR="00E55872" w:rsidRPr="00E55872">
        <w:t>n email was sent out on behalf of the county c</w:t>
      </w:r>
      <w:r w:rsidRPr="00E55872">
        <w:t xml:space="preserve">ouncil </w:t>
      </w:r>
      <w:r w:rsidR="00A53E59" w:rsidRPr="00E55872">
        <w:t xml:space="preserve">on </w:t>
      </w:r>
      <w:r w:rsidR="00E55872" w:rsidRPr="00E55872">
        <w:t>7 December 2018</w:t>
      </w:r>
      <w:r w:rsidR="00A53E59" w:rsidRPr="00E55872">
        <w:t xml:space="preserve"> </w:t>
      </w:r>
      <w:r w:rsidRPr="00E55872">
        <w:t>outlining the budget position, a</w:t>
      </w:r>
      <w:r w:rsidR="0080083B" w:rsidRPr="00E55872">
        <w:t xml:space="preserve">nd containing a </w:t>
      </w:r>
      <w:r w:rsidRPr="00E55872">
        <w:t xml:space="preserve">link to the relevant reports with respondents </w:t>
      </w:r>
      <w:r w:rsidR="0080083B" w:rsidRPr="00E55872">
        <w:t xml:space="preserve">then </w:t>
      </w:r>
      <w:r w:rsidRPr="00E55872">
        <w:t>able</w:t>
      </w:r>
      <w:r w:rsidR="0080083B" w:rsidRPr="00E55872">
        <w:t xml:space="preserve"> to</w:t>
      </w:r>
      <w:r w:rsidRPr="00E55872">
        <w:t xml:space="preserve"> e</w:t>
      </w:r>
      <w:r w:rsidR="0080083B" w:rsidRPr="00E55872">
        <w:t>-</w:t>
      </w:r>
      <w:r w:rsidRPr="00E55872">
        <w:t>mail</w:t>
      </w:r>
      <w:r w:rsidR="0080083B" w:rsidRPr="00E55872">
        <w:t xml:space="preserve"> or send in their written</w:t>
      </w:r>
      <w:r w:rsidRPr="00E55872">
        <w:t xml:space="preserve"> feedback. The closing </w:t>
      </w:r>
      <w:r w:rsidR="00E55872" w:rsidRPr="00E55872">
        <w:t>date for the consultation was 18</w:t>
      </w:r>
      <w:r w:rsidRPr="00E55872">
        <w:t xml:space="preserve"> January 201</w:t>
      </w:r>
      <w:r w:rsidR="00E55872" w:rsidRPr="00E55872">
        <w:t>9, however responses have been accepted after this date and included in this report until the publication deadlines were reached</w:t>
      </w:r>
      <w:r w:rsidRPr="00E55872">
        <w:t>.</w:t>
      </w:r>
      <w:r w:rsidR="008C59E9" w:rsidRPr="00E55872">
        <w:t xml:space="preserve"> </w:t>
      </w:r>
      <w:r w:rsidR="00E55872" w:rsidRPr="00E55872">
        <w:t>Any responses received after</w:t>
      </w:r>
      <w:r w:rsidR="00BC7C82">
        <w:t xml:space="preserve"> this date will be shared with c</w:t>
      </w:r>
      <w:r w:rsidR="00E55872" w:rsidRPr="00E55872">
        <w:t>abinet</w:t>
      </w:r>
      <w:r w:rsidR="00BC7C82">
        <w:t xml:space="preserve"> for their consideration</w:t>
      </w:r>
      <w:r w:rsidR="00E55872" w:rsidRPr="00E55872">
        <w:t xml:space="preserve">. </w:t>
      </w:r>
      <w:r w:rsidR="008C59E9" w:rsidRPr="00E55872">
        <w:t>The consultation documentation included all the savings proposals that have been agreed</w:t>
      </w:r>
      <w:r w:rsidR="00BC7C82">
        <w:t xml:space="preserve"> by c</w:t>
      </w:r>
      <w:r w:rsidR="008C59E9" w:rsidRPr="00E55872">
        <w:t xml:space="preserve">abinet. These are set out in Appendices </w:t>
      </w:r>
      <w:r w:rsidR="005D4154">
        <w:t>'</w:t>
      </w:r>
      <w:r w:rsidR="008C59E9" w:rsidRPr="00E55872">
        <w:t>C</w:t>
      </w:r>
      <w:r w:rsidR="005D4154">
        <w:t>'</w:t>
      </w:r>
      <w:r w:rsidR="008C59E9" w:rsidRPr="00E55872">
        <w:t xml:space="preserve"> and </w:t>
      </w:r>
      <w:r w:rsidR="005D4154">
        <w:t>'</w:t>
      </w:r>
      <w:r w:rsidR="008C59E9" w:rsidRPr="00E55872">
        <w:t>D</w:t>
      </w:r>
      <w:r w:rsidR="005D4154">
        <w:t>'</w:t>
      </w:r>
      <w:r w:rsidR="008C59E9" w:rsidRPr="00E55872">
        <w:t xml:space="preserve">, with those proposals in Appendix </w:t>
      </w:r>
      <w:r w:rsidR="005D4154">
        <w:t>'</w:t>
      </w:r>
      <w:r w:rsidR="008C59E9" w:rsidRPr="00E55872">
        <w:t>C</w:t>
      </w:r>
      <w:r w:rsidR="005D4154">
        <w:t>'</w:t>
      </w:r>
      <w:r w:rsidR="008C59E9" w:rsidRPr="00E55872">
        <w:t xml:space="preserve"> being subject to further specific consultation, the outcome of </w:t>
      </w:r>
      <w:r w:rsidR="00BC7C82">
        <w:t>which will be reported back to c</w:t>
      </w:r>
      <w:r w:rsidR="008C59E9" w:rsidRPr="00E55872">
        <w:t xml:space="preserve">abinet for a final decision. </w:t>
      </w:r>
    </w:p>
    <w:p w14:paraId="67660856" w14:textId="77777777" w:rsidR="00B60D05" w:rsidRPr="007C0AFF" w:rsidRDefault="00B60D05" w:rsidP="00D3748A">
      <w:pPr>
        <w:rPr>
          <w:highlight w:val="yellow"/>
        </w:rPr>
      </w:pPr>
    </w:p>
    <w:p w14:paraId="3EB8FD1C" w14:textId="16DFBB03" w:rsidR="008C59E9" w:rsidRPr="007C0AFF" w:rsidRDefault="00B60D05" w:rsidP="00B60D05">
      <w:pPr>
        <w:jc w:val="both"/>
        <w:rPr>
          <w:highlight w:val="yellow"/>
        </w:rPr>
      </w:pPr>
      <w:r w:rsidRPr="00E55872">
        <w:t xml:space="preserve">Appendix </w:t>
      </w:r>
      <w:r w:rsidR="005D4154">
        <w:t>'</w:t>
      </w:r>
      <w:r w:rsidRPr="00E55872">
        <w:t>B</w:t>
      </w:r>
      <w:r w:rsidR="005D4154">
        <w:t>'</w:t>
      </w:r>
      <w:r w:rsidRPr="00E55872">
        <w:t xml:space="preserve"> contains the responses that have been received following the budget consultation. </w:t>
      </w:r>
      <w:r w:rsidR="002702A3" w:rsidRPr="00E55872">
        <w:t>A total of</w:t>
      </w:r>
      <w:r w:rsidR="0059077C">
        <w:t xml:space="preserve"> 78</w:t>
      </w:r>
      <w:r w:rsidR="002702A3" w:rsidRPr="00E55872">
        <w:t xml:space="preserve"> responses were received</w:t>
      </w:r>
      <w:r w:rsidR="00E55872" w:rsidRPr="00E55872">
        <w:t>, with the most</w:t>
      </w:r>
      <w:r w:rsidR="00A53E59" w:rsidRPr="00E55872">
        <w:t xml:space="preserve"> substantive feedback primarily related to </w:t>
      </w:r>
      <w:r w:rsidR="00BF5BC9" w:rsidRPr="00E55872">
        <w:t>a small number of savings proposals, namely,</w:t>
      </w:r>
      <w:r w:rsidR="00E55872" w:rsidRPr="00E55872">
        <w:t xml:space="preserve"> SC034 – Highways Network Regulation (Parking – On street pay and display) with significant feedback </w:t>
      </w:r>
      <w:r w:rsidR="0059077C">
        <w:t xml:space="preserve">(70% of respondents) </w:t>
      </w:r>
      <w:r w:rsidR="00E55872" w:rsidRPr="00E55872">
        <w:t xml:space="preserve">in relation to Colne, SC610 Lancashire Wellbeing Service, SC609 </w:t>
      </w:r>
      <w:r w:rsidR="0059077C">
        <w:t xml:space="preserve">Health Improvement Services, </w:t>
      </w:r>
      <w:r w:rsidR="00E55872" w:rsidRPr="00E55872">
        <w:t>SC611 Home Improvement Services</w:t>
      </w:r>
      <w:r w:rsidR="0059077C">
        <w:t xml:space="preserve"> and SC023 – Highways County Wide Services – Street Lighting – Part Night Lighting. (The saving relating to street lighting </w:t>
      </w:r>
      <w:r w:rsidR="00BC7C82">
        <w:t>is no longer being considered following a review of the saving and project planning</w:t>
      </w:r>
      <w:r w:rsidR="0059077C">
        <w:t xml:space="preserve">). </w:t>
      </w:r>
      <w:r w:rsidR="002702A3" w:rsidRPr="00E55872">
        <w:t>The majority of the feedback recognise</w:t>
      </w:r>
      <w:r w:rsidR="00BC7C82">
        <w:t>s</w:t>
      </w:r>
      <w:r w:rsidR="002702A3" w:rsidRPr="00E55872">
        <w:t xml:space="preserve"> the need to make savings but would prefer </w:t>
      </w:r>
      <w:r w:rsidR="00160D71" w:rsidRPr="00E55872">
        <w:t xml:space="preserve">the County Council to look at alternatives to achieve the saving </w:t>
      </w:r>
      <w:r w:rsidR="00E55872" w:rsidRPr="00E55872">
        <w:t xml:space="preserve">as they feel that these savings would have a detrimental impact on their local town or the services supporting them or their local residents.  </w:t>
      </w:r>
      <w:r w:rsidR="00160D71" w:rsidRPr="00E55872">
        <w:t xml:space="preserve"> </w:t>
      </w:r>
    </w:p>
    <w:p w14:paraId="0A28A722" w14:textId="77777777" w:rsidR="008C59E9" w:rsidRPr="00E55872" w:rsidRDefault="008C59E9" w:rsidP="00B60D05">
      <w:pPr>
        <w:jc w:val="both"/>
      </w:pPr>
    </w:p>
    <w:p w14:paraId="2D1F0148" w14:textId="05E08AC1" w:rsidR="00D3748A" w:rsidRPr="00E55872" w:rsidRDefault="00B60D05" w:rsidP="00B60D05">
      <w:pPr>
        <w:jc w:val="both"/>
      </w:pPr>
      <w:r w:rsidRPr="00E55872">
        <w:t>The</w:t>
      </w:r>
      <w:r w:rsidR="0059077C">
        <w:t xml:space="preserve"> majority of the </w:t>
      </w:r>
      <w:r w:rsidR="00BF5BC9" w:rsidRPr="00E55872">
        <w:t>specific savings</w:t>
      </w:r>
      <w:r w:rsidRPr="00E55872">
        <w:t xml:space="preserve"> areas </w:t>
      </w:r>
      <w:r w:rsidR="00BF5BC9" w:rsidRPr="00E55872">
        <w:t xml:space="preserve">responded on are </w:t>
      </w:r>
      <w:r w:rsidRPr="00E55872">
        <w:t>subject t</w:t>
      </w:r>
      <w:r w:rsidR="008872D8" w:rsidRPr="00E55872">
        <w:t>o</w:t>
      </w:r>
      <w:r w:rsidR="00BF5BC9" w:rsidRPr="00E55872">
        <w:t xml:space="preserve"> </w:t>
      </w:r>
      <w:r w:rsidR="008C59E9" w:rsidRPr="00E55872">
        <w:t xml:space="preserve">further </w:t>
      </w:r>
      <w:r w:rsidR="00BF5BC9" w:rsidRPr="00E55872">
        <w:t>specific</w:t>
      </w:r>
      <w:r w:rsidR="008872D8" w:rsidRPr="00E55872">
        <w:t xml:space="preserve"> consultation, </w:t>
      </w:r>
      <w:r w:rsidR="008C59E9" w:rsidRPr="00E55872">
        <w:t xml:space="preserve">before a final decision is made by Cabinet. </w:t>
      </w:r>
      <w:r w:rsidR="00402676">
        <w:t xml:space="preserve">In relation to potential charges for on-street parking, any such proposal could only be made on the basis of a specific scheme and public consultation would form part of the process on a scheme by scheme basis. </w:t>
      </w:r>
    </w:p>
    <w:p w14:paraId="39A17296" w14:textId="77777777" w:rsidR="001C4234" w:rsidRPr="007C0AFF" w:rsidRDefault="001C4234" w:rsidP="00CB5AF9">
      <w:pPr>
        <w:rPr>
          <w:b/>
          <w:highlight w:val="yellow"/>
        </w:rPr>
      </w:pPr>
    </w:p>
    <w:p w14:paraId="034B4997" w14:textId="6341BF4B" w:rsidR="00E55872" w:rsidRDefault="00E55872" w:rsidP="00E55872">
      <w:pPr>
        <w:autoSpaceDE w:val="0"/>
        <w:autoSpaceDN w:val="0"/>
        <w:adjustRightInd w:val="0"/>
        <w:jc w:val="both"/>
        <w:rPr>
          <w:rFonts w:cs="Arial"/>
          <w:szCs w:val="24"/>
        </w:rPr>
      </w:pPr>
      <w:r>
        <w:rPr>
          <w:rFonts w:cs="Arial"/>
          <w:szCs w:val="24"/>
        </w:rPr>
        <w:t xml:space="preserve">The total value of those savings that require consultation prior to implementation is £7.529m (£2.150m 2019/20, £5.329m 2020/21 and £0.050m 2021/22). Should cabinet ultimately not agree to any of these savings being implemented post consultation, then there would be sufficient reserves to support the budget until part way through 2022/23. </w:t>
      </w:r>
    </w:p>
    <w:p w14:paraId="6A0C050C" w14:textId="77777777" w:rsidR="005B4DF8" w:rsidRDefault="005B4DF8" w:rsidP="00E55872">
      <w:pPr>
        <w:autoSpaceDE w:val="0"/>
        <w:autoSpaceDN w:val="0"/>
        <w:adjustRightInd w:val="0"/>
        <w:jc w:val="both"/>
        <w:rPr>
          <w:rFonts w:cs="Arial"/>
          <w:szCs w:val="24"/>
        </w:rPr>
      </w:pPr>
    </w:p>
    <w:p w14:paraId="6A2A9DEF" w14:textId="5C7BF646" w:rsidR="005B4DF8" w:rsidRPr="00BD7A7B" w:rsidRDefault="004564F9" w:rsidP="00E55872">
      <w:pPr>
        <w:autoSpaceDE w:val="0"/>
        <w:autoSpaceDN w:val="0"/>
        <w:adjustRightInd w:val="0"/>
        <w:jc w:val="both"/>
        <w:rPr>
          <w:rFonts w:cs="Arial"/>
          <w:szCs w:val="24"/>
        </w:rPr>
      </w:pPr>
      <w:r>
        <w:rPr>
          <w:rFonts w:cs="Arial"/>
          <w:szCs w:val="24"/>
        </w:rPr>
        <w:t>F</w:t>
      </w:r>
      <w:r w:rsidR="005B4DF8">
        <w:rPr>
          <w:rFonts w:cs="Arial"/>
          <w:szCs w:val="24"/>
        </w:rPr>
        <w:t xml:space="preserve">ollowing </w:t>
      </w:r>
      <w:r>
        <w:rPr>
          <w:rFonts w:cs="Arial"/>
          <w:szCs w:val="24"/>
        </w:rPr>
        <w:t xml:space="preserve">review of the proposals by the new </w:t>
      </w:r>
      <w:r w:rsidR="005B4DF8">
        <w:rPr>
          <w:rFonts w:cs="Arial"/>
          <w:szCs w:val="24"/>
        </w:rPr>
        <w:t xml:space="preserve">permanent Executive Director for Education and Children's Services there have been some slight amendments to the wording of </w:t>
      </w:r>
      <w:r>
        <w:rPr>
          <w:rFonts w:cs="Arial"/>
          <w:szCs w:val="24"/>
        </w:rPr>
        <w:t>a small number o</w:t>
      </w:r>
      <w:r w:rsidR="005B4DF8">
        <w:rPr>
          <w:rFonts w:cs="Arial"/>
          <w:szCs w:val="24"/>
        </w:rPr>
        <w:t xml:space="preserve">f </w:t>
      </w:r>
      <w:r>
        <w:rPr>
          <w:rFonts w:cs="Arial"/>
          <w:szCs w:val="24"/>
        </w:rPr>
        <w:t>t</w:t>
      </w:r>
      <w:r w:rsidR="005B4DF8">
        <w:rPr>
          <w:rFonts w:cs="Arial"/>
          <w:szCs w:val="24"/>
        </w:rPr>
        <w:t>emplates</w:t>
      </w:r>
      <w:r>
        <w:rPr>
          <w:rFonts w:cs="Arial"/>
          <w:szCs w:val="24"/>
        </w:rPr>
        <w:t xml:space="preserve">.  The amendments </w:t>
      </w:r>
      <w:r w:rsidR="005B4DF8">
        <w:rPr>
          <w:rFonts w:cs="Arial"/>
          <w:szCs w:val="24"/>
        </w:rPr>
        <w:t>do not however fundamentally change the planned delivery of the saving. In addition SC109 Safeguarding, Inspection and Audit Team (£7</w:t>
      </w:r>
      <w:r w:rsidR="007F2AB6">
        <w:rPr>
          <w:rFonts w:cs="Arial"/>
          <w:szCs w:val="24"/>
        </w:rPr>
        <w:t>,000</w:t>
      </w:r>
      <w:r w:rsidR="005B4DF8">
        <w:rPr>
          <w:rFonts w:cs="Arial"/>
          <w:szCs w:val="24"/>
        </w:rPr>
        <w:t xml:space="preserve">) has been removed with the financial target added to SC122 Lancashire Safeguarding Children's Board. </w:t>
      </w:r>
    </w:p>
    <w:p w14:paraId="6FB81004" w14:textId="77777777" w:rsidR="00E55872" w:rsidRPr="007C0AFF" w:rsidRDefault="00E55872" w:rsidP="00A751BC">
      <w:pPr>
        <w:rPr>
          <w:highlight w:val="yellow"/>
        </w:rPr>
      </w:pPr>
    </w:p>
    <w:p w14:paraId="41E1A200" w14:textId="77777777" w:rsidR="00160203" w:rsidRPr="00F454D2" w:rsidRDefault="00160203" w:rsidP="00160203">
      <w:pPr>
        <w:pStyle w:val="Heading5"/>
        <w:rPr>
          <w:rFonts w:ascii="Arial" w:hAnsi="Arial"/>
          <w:sz w:val="24"/>
          <w:u w:val="none"/>
        </w:rPr>
      </w:pPr>
      <w:r w:rsidRPr="00F454D2">
        <w:rPr>
          <w:rFonts w:ascii="Arial" w:hAnsi="Arial"/>
          <w:sz w:val="24"/>
          <w:u w:val="none"/>
        </w:rPr>
        <w:t>Local Government (Access to Information) Act 1985</w:t>
      </w:r>
    </w:p>
    <w:p w14:paraId="0810B125" w14:textId="77777777" w:rsidR="00160203" w:rsidRPr="00F454D2" w:rsidRDefault="00160203" w:rsidP="00160203">
      <w:pPr>
        <w:pStyle w:val="Heading5"/>
        <w:rPr>
          <w:rFonts w:ascii="Arial" w:hAnsi="Arial"/>
          <w:sz w:val="24"/>
          <w:u w:val="none"/>
        </w:rPr>
      </w:pPr>
      <w:r w:rsidRPr="00F454D2">
        <w:rPr>
          <w:rFonts w:ascii="Arial" w:hAnsi="Arial"/>
          <w:sz w:val="24"/>
          <w:u w:val="none"/>
        </w:rPr>
        <w:t>List of Background Papers</w:t>
      </w:r>
    </w:p>
    <w:p w14:paraId="4D377D38" w14:textId="77777777" w:rsidR="00160203" w:rsidRPr="007C0AFF" w:rsidRDefault="00160203" w:rsidP="00CB5AF9">
      <w:pPr>
        <w:rPr>
          <w:highlight w:val="yellow"/>
        </w:rPr>
      </w:pPr>
    </w:p>
    <w:tbl>
      <w:tblPr>
        <w:tblW w:w="0" w:type="auto"/>
        <w:tblInd w:w="-108" w:type="dxa"/>
        <w:tblLayout w:type="fixed"/>
        <w:tblLook w:val="0000" w:firstRow="0" w:lastRow="0" w:firstColumn="0" w:lastColumn="0" w:noHBand="0" w:noVBand="0"/>
      </w:tblPr>
      <w:tblGrid>
        <w:gridCol w:w="3227"/>
        <w:gridCol w:w="2775"/>
        <w:gridCol w:w="3178"/>
      </w:tblGrid>
      <w:tr w:rsidR="00CB5AF9" w:rsidRPr="007C0AFF" w14:paraId="4D2582E7" w14:textId="77777777" w:rsidTr="005D4154">
        <w:trPr>
          <w:trHeight w:val="113"/>
        </w:trPr>
        <w:tc>
          <w:tcPr>
            <w:tcW w:w="3227" w:type="dxa"/>
          </w:tcPr>
          <w:p w14:paraId="6EA3F40A" w14:textId="77777777" w:rsidR="00CB5AF9" w:rsidRPr="004F5D98" w:rsidRDefault="00CB5AF9" w:rsidP="00F45F31">
            <w:pPr>
              <w:pStyle w:val="Heading7"/>
              <w:rPr>
                <w:rFonts w:ascii="Arial" w:hAnsi="Arial"/>
                <w:sz w:val="24"/>
                <w:u w:val="none"/>
              </w:rPr>
            </w:pPr>
            <w:r w:rsidRPr="004F5D98">
              <w:rPr>
                <w:rFonts w:ascii="Arial" w:hAnsi="Arial"/>
                <w:sz w:val="24"/>
                <w:u w:val="none"/>
              </w:rPr>
              <w:t>Paper</w:t>
            </w:r>
          </w:p>
        </w:tc>
        <w:tc>
          <w:tcPr>
            <w:tcW w:w="2775" w:type="dxa"/>
          </w:tcPr>
          <w:p w14:paraId="22D61154" w14:textId="77777777" w:rsidR="00CB5AF9" w:rsidRPr="004F5D98" w:rsidRDefault="00CB5AF9" w:rsidP="00F45F31">
            <w:pPr>
              <w:pStyle w:val="Heading7"/>
              <w:rPr>
                <w:rFonts w:ascii="Arial" w:hAnsi="Arial"/>
                <w:sz w:val="24"/>
                <w:u w:val="none"/>
              </w:rPr>
            </w:pPr>
            <w:r w:rsidRPr="004F5D98">
              <w:rPr>
                <w:rFonts w:ascii="Arial" w:hAnsi="Arial"/>
                <w:sz w:val="24"/>
                <w:u w:val="none"/>
              </w:rPr>
              <w:t>Date</w:t>
            </w:r>
          </w:p>
        </w:tc>
        <w:tc>
          <w:tcPr>
            <w:tcW w:w="3178" w:type="dxa"/>
          </w:tcPr>
          <w:p w14:paraId="09639A5C" w14:textId="77777777" w:rsidR="00CB5AF9" w:rsidRPr="004F5D98" w:rsidRDefault="00CB5AF9" w:rsidP="00F45F31">
            <w:pPr>
              <w:pStyle w:val="Heading7"/>
              <w:rPr>
                <w:rFonts w:ascii="Arial" w:hAnsi="Arial"/>
                <w:sz w:val="24"/>
                <w:u w:val="none"/>
              </w:rPr>
            </w:pPr>
            <w:r w:rsidRPr="004F5D98">
              <w:rPr>
                <w:rFonts w:ascii="Arial" w:hAnsi="Arial"/>
                <w:sz w:val="24"/>
                <w:u w:val="none"/>
              </w:rPr>
              <w:t>Contact/Directorate/Ext</w:t>
            </w:r>
          </w:p>
        </w:tc>
      </w:tr>
      <w:tr w:rsidR="00CB5AF9" w:rsidRPr="007C0AFF" w14:paraId="4D977A9D" w14:textId="77777777" w:rsidTr="005D4154">
        <w:trPr>
          <w:trHeight w:val="7105"/>
        </w:trPr>
        <w:tc>
          <w:tcPr>
            <w:tcW w:w="3227" w:type="dxa"/>
          </w:tcPr>
          <w:p w14:paraId="521E12DA" w14:textId="77777777" w:rsidR="00B96E80" w:rsidRDefault="00B96E80" w:rsidP="001B19D5"/>
          <w:p w14:paraId="0EBAE16C" w14:textId="77777777" w:rsidR="004F5D98" w:rsidRDefault="004F5D98" w:rsidP="001B19D5">
            <w:r>
              <w:t>Money Matters 2018/19 Position – Quarter 3</w:t>
            </w:r>
          </w:p>
          <w:p w14:paraId="3266B36B" w14:textId="77777777" w:rsidR="004F5D98" w:rsidRDefault="004F5D98" w:rsidP="001B19D5"/>
          <w:p w14:paraId="28FDD8C7" w14:textId="77777777" w:rsidR="004F5D98" w:rsidRDefault="004F5D98" w:rsidP="001B19D5"/>
          <w:p w14:paraId="086A34E5" w14:textId="45BF181D" w:rsidR="004F5D98" w:rsidRDefault="004F5D98" w:rsidP="004F5D98">
            <w:r>
              <w:t>Money Matters 2018/19 Position – Quarter 2</w:t>
            </w:r>
          </w:p>
          <w:p w14:paraId="308E4BDE" w14:textId="77777777" w:rsidR="004F5D98" w:rsidRDefault="004F5D98" w:rsidP="001B19D5"/>
          <w:p w14:paraId="5E0140CA" w14:textId="77777777" w:rsidR="005D4154" w:rsidRDefault="005D4154" w:rsidP="001B19D5"/>
          <w:p w14:paraId="1AA3B7F8" w14:textId="77777777" w:rsidR="007F2AB6" w:rsidRDefault="007F2AB6" w:rsidP="001B19D5"/>
          <w:p w14:paraId="15D56516" w14:textId="0471F632" w:rsidR="007F2AB6" w:rsidRDefault="007F2AB6" w:rsidP="001B19D5">
            <w:r>
              <w:t>Reason for inclusion in Part II, if appropriate</w:t>
            </w:r>
          </w:p>
          <w:p w14:paraId="711F679C" w14:textId="77777777" w:rsidR="005D4154" w:rsidRDefault="005D4154" w:rsidP="001B19D5"/>
          <w:p w14:paraId="5CD6D0E5" w14:textId="050B93A3" w:rsidR="005D4154" w:rsidRDefault="007F2AB6" w:rsidP="001B19D5">
            <w:r>
              <w:t>N/A</w:t>
            </w:r>
          </w:p>
          <w:p w14:paraId="3818B988" w14:textId="77777777" w:rsidR="005D4154" w:rsidRDefault="005D4154" w:rsidP="001B19D5"/>
          <w:p w14:paraId="4A22DE44" w14:textId="2775B2AD" w:rsidR="005D4154" w:rsidRPr="004F5D98" w:rsidRDefault="005D4154" w:rsidP="001B19D5"/>
        </w:tc>
        <w:tc>
          <w:tcPr>
            <w:tcW w:w="2775" w:type="dxa"/>
          </w:tcPr>
          <w:p w14:paraId="2CDDB735" w14:textId="77777777" w:rsidR="00B96E80" w:rsidRDefault="00B96E80" w:rsidP="001B19D5"/>
          <w:p w14:paraId="4F0CDACA" w14:textId="77777777" w:rsidR="004F5D98" w:rsidRDefault="004F5D98" w:rsidP="001B19D5">
            <w:r>
              <w:t>7</w:t>
            </w:r>
            <w:r w:rsidRPr="004F5D98">
              <w:rPr>
                <w:vertAlign w:val="superscript"/>
              </w:rPr>
              <w:t>th</w:t>
            </w:r>
            <w:r>
              <w:t xml:space="preserve"> February 2019</w:t>
            </w:r>
          </w:p>
          <w:p w14:paraId="3B325172" w14:textId="77777777" w:rsidR="004F5D98" w:rsidRDefault="004F5D98" w:rsidP="001B19D5"/>
          <w:p w14:paraId="146B68FE" w14:textId="77777777" w:rsidR="004F5D98" w:rsidRDefault="004F5D98" w:rsidP="001B19D5"/>
          <w:p w14:paraId="77A7A54C" w14:textId="77777777" w:rsidR="004F5D98" w:rsidRDefault="004F5D98" w:rsidP="001B19D5"/>
          <w:p w14:paraId="750301FD" w14:textId="53DFD109" w:rsidR="004F5D98" w:rsidRPr="004F5D98" w:rsidRDefault="004F5D98" w:rsidP="001B19D5">
            <w:r>
              <w:t>3</w:t>
            </w:r>
            <w:r w:rsidRPr="004F5D98">
              <w:rPr>
                <w:vertAlign w:val="superscript"/>
              </w:rPr>
              <w:t>rd</w:t>
            </w:r>
            <w:r>
              <w:t xml:space="preserve"> December 2018</w:t>
            </w:r>
          </w:p>
        </w:tc>
        <w:tc>
          <w:tcPr>
            <w:tcW w:w="3178" w:type="dxa"/>
          </w:tcPr>
          <w:p w14:paraId="2552C344" w14:textId="77777777" w:rsidR="00B96E80" w:rsidRDefault="00B96E80" w:rsidP="00327A44"/>
          <w:p w14:paraId="4CF6BB37" w14:textId="77777777" w:rsidR="004F5D98" w:rsidRDefault="004F5D98" w:rsidP="00327A44">
            <w:r>
              <w:t>Angie Ridgwell/Chief Executive and Director of Resources/x36260</w:t>
            </w:r>
          </w:p>
          <w:p w14:paraId="4ED4FE67" w14:textId="77777777" w:rsidR="004F5D98" w:rsidRDefault="004F5D98" w:rsidP="004F5D98"/>
          <w:p w14:paraId="62B82605" w14:textId="2EF8A1BF" w:rsidR="004F5D98" w:rsidRPr="004F5D98" w:rsidRDefault="004F5D98" w:rsidP="00327A44">
            <w:r>
              <w:t>Angie Ridgwell/Chief Executive and Director of Resources/x36260</w:t>
            </w:r>
          </w:p>
        </w:tc>
      </w:tr>
    </w:tbl>
    <w:p w14:paraId="7B5B42AE" w14:textId="77777777" w:rsidR="00160203" w:rsidRPr="007C0AFF" w:rsidRDefault="00160203" w:rsidP="00B96E80">
      <w:pPr>
        <w:rPr>
          <w:highlight w:val="yellow"/>
        </w:rPr>
      </w:pPr>
    </w:p>
    <w:p w14:paraId="709C510B" w14:textId="77777777" w:rsidR="00160203" w:rsidRDefault="00160203" w:rsidP="00B96E80">
      <w:pPr>
        <w:rPr>
          <w:highlight w:val="yellow"/>
        </w:rPr>
      </w:pPr>
    </w:p>
    <w:p w14:paraId="695452F0" w14:textId="77777777" w:rsidR="005D4154" w:rsidRDefault="005D4154" w:rsidP="00B96E80">
      <w:pPr>
        <w:rPr>
          <w:highlight w:val="yellow"/>
        </w:rPr>
      </w:pPr>
    </w:p>
    <w:p w14:paraId="62FEB4F3" w14:textId="77777777" w:rsidR="005D4154" w:rsidRDefault="005D4154" w:rsidP="00B96E80">
      <w:pPr>
        <w:rPr>
          <w:highlight w:val="yellow"/>
        </w:rPr>
      </w:pPr>
    </w:p>
    <w:p w14:paraId="6070C077" w14:textId="77777777" w:rsidR="005D4154" w:rsidRDefault="005D4154" w:rsidP="00B96E80">
      <w:pPr>
        <w:rPr>
          <w:highlight w:val="yellow"/>
        </w:rPr>
      </w:pPr>
    </w:p>
    <w:p w14:paraId="60948E8A" w14:textId="77777777" w:rsidR="005D4154" w:rsidRDefault="005D4154" w:rsidP="00B96E80">
      <w:pPr>
        <w:rPr>
          <w:highlight w:val="yellow"/>
        </w:rPr>
      </w:pPr>
    </w:p>
    <w:p w14:paraId="3E2D20E5" w14:textId="77777777" w:rsidR="005D4154" w:rsidRDefault="005D4154" w:rsidP="00B96E80">
      <w:pPr>
        <w:rPr>
          <w:highlight w:val="yellow"/>
        </w:rPr>
      </w:pPr>
    </w:p>
    <w:p w14:paraId="6453C615" w14:textId="77777777" w:rsidR="005D4154" w:rsidRDefault="005D4154" w:rsidP="00B96E80">
      <w:pPr>
        <w:rPr>
          <w:highlight w:val="yellow"/>
        </w:rPr>
      </w:pPr>
    </w:p>
    <w:p w14:paraId="7CE30C1C" w14:textId="77777777" w:rsidR="005D4154" w:rsidRDefault="005D4154" w:rsidP="00B96E80">
      <w:pPr>
        <w:rPr>
          <w:highlight w:val="yellow"/>
        </w:rPr>
      </w:pPr>
    </w:p>
    <w:p w14:paraId="2D54915F" w14:textId="77777777" w:rsidR="005D4154" w:rsidRDefault="005D4154" w:rsidP="00B96E80">
      <w:pPr>
        <w:rPr>
          <w:highlight w:val="yellow"/>
        </w:rPr>
      </w:pPr>
    </w:p>
    <w:p w14:paraId="2059C573" w14:textId="77777777" w:rsidR="005D4154" w:rsidRPr="007C0AFF" w:rsidRDefault="005D4154" w:rsidP="00B96E80">
      <w:pPr>
        <w:rPr>
          <w:highlight w:val="yellow"/>
        </w:rPr>
      </w:pPr>
    </w:p>
    <w:p w14:paraId="37DDF4A1" w14:textId="77777777" w:rsidR="00160203" w:rsidRPr="007C0AFF" w:rsidRDefault="00160203" w:rsidP="00B96E80">
      <w:pPr>
        <w:rPr>
          <w:highlight w:val="yellow"/>
        </w:rPr>
      </w:pPr>
    </w:p>
    <w:p w14:paraId="58FE920A" w14:textId="77777777" w:rsidR="00160203" w:rsidRDefault="00160203" w:rsidP="00B96E80">
      <w:pPr>
        <w:rPr>
          <w:highlight w:val="yellow"/>
        </w:rPr>
      </w:pPr>
    </w:p>
    <w:p w14:paraId="5EAE0D2D" w14:textId="563C4FD6" w:rsidR="00E24804" w:rsidRDefault="00CB5AF9" w:rsidP="00B96E80">
      <w:pPr>
        <w:rPr>
          <w:b/>
          <w:u w:val="single"/>
        </w:rPr>
      </w:pPr>
      <w:r w:rsidRPr="0059077C">
        <w:rPr>
          <w:b/>
          <w:u w:val="single"/>
        </w:rPr>
        <w:t>Report of the Cabinet</w:t>
      </w:r>
    </w:p>
    <w:p w14:paraId="2D7A3EDB" w14:textId="77777777" w:rsidR="0059077C" w:rsidRDefault="0059077C" w:rsidP="00B96E80">
      <w:pPr>
        <w:rPr>
          <w:b/>
          <w:u w:val="single"/>
        </w:rPr>
      </w:pPr>
    </w:p>
    <w:p w14:paraId="45CA35D1" w14:textId="0B43D9A0" w:rsidR="0059077C" w:rsidRPr="00CF4514" w:rsidRDefault="00CF4514" w:rsidP="00CF4514">
      <w:pPr>
        <w:spacing w:line="276" w:lineRule="auto"/>
        <w:jc w:val="both"/>
      </w:pPr>
      <w:r>
        <w:t>This report for full c</w:t>
      </w:r>
      <w:r w:rsidR="0059077C" w:rsidRPr="00CF4514">
        <w:t>ouncil has been published in advance of the meeting of the</w:t>
      </w:r>
      <w:r>
        <w:t xml:space="preserve"> cabinet on 7</w:t>
      </w:r>
      <w:r w:rsidR="00BC7C82">
        <w:t>th</w:t>
      </w:r>
      <w:r>
        <w:t xml:space="preserve"> February, therefore full c</w:t>
      </w:r>
      <w:r w:rsidR="0059077C" w:rsidRPr="00CF4514">
        <w:t xml:space="preserve">ouncil will be advised of </w:t>
      </w:r>
      <w:r>
        <w:t>any changes to c</w:t>
      </w:r>
      <w:r w:rsidR="0059077C" w:rsidRPr="00CF4514">
        <w:t>abinet's</w:t>
      </w:r>
      <w:r>
        <w:t xml:space="preserve"> recommendations at the meeting that are shown below. </w:t>
      </w:r>
    </w:p>
    <w:p w14:paraId="3500C52F" w14:textId="77777777" w:rsidR="00CB5AF9" w:rsidRPr="004F5D98" w:rsidRDefault="00CB5AF9" w:rsidP="00CC6DCE">
      <w:pPr>
        <w:spacing w:line="276" w:lineRule="auto"/>
        <w:jc w:val="both"/>
      </w:pPr>
    </w:p>
    <w:p w14:paraId="79995F35" w14:textId="45816DDE" w:rsidR="00B52198" w:rsidRPr="004F5D98" w:rsidRDefault="00CA71AC" w:rsidP="00CC6DCE">
      <w:pPr>
        <w:spacing w:line="276" w:lineRule="auto"/>
        <w:jc w:val="both"/>
      </w:pPr>
      <w:r>
        <w:t>The c</w:t>
      </w:r>
      <w:r w:rsidR="006652A9" w:rsidRPr="004F5D98">
        <w:t xml:space="preserve">abinet </w:t>
      </w:r>
      <w:r w:rsidR="006652A9" w:rsidRPr="004F5D98">
        <w:rPr>
          <w:b/>
        </w:rPr>
        <w:t>recommends</w:t>
      </w:r>
      <w:r w:rsidR="006652A9" w:rsidRPr="004F5D98">
        <w:t xml:space="preserve"> the adoption of the prop</w:t>
      </w:r>
      <w:r w:rsidR="004026B6" w:rsidRPr="004F5D98">
        <w:t>osals set out below for the</w:t>
      </w:r>
      <w:r w:rsidR="00B52198" w:rsidRPr="004F5D98">
        <w:t>:</w:t>
      </w:r>
    </w:p>
    <w:p w14:paraId="6801EA6B" w14:textId="77777777" w:rsidR="00CC6DCE" w:rsidRPr="004F5D98" w:rsidRDefault="00CC6DCE" w:rsidP="00CC6DCE">
      <w:pPr>
        <w:spacing w:line="276" w:lineRule="auto"/>
        <w:jc w:val="both"/>
      </w:pPr>
    </w:p>
    <w:p w14:paraId="4E177E22" w14:textId="59362A3C" w:rsidR="00CC6DCE" w:rsidRPr="004F5D98" w:rsidRDefault="00BC7C82" w:rsidP="00CC6DCE">
      <w:pPr>
        <w:pStyle w:val="ListParagraph"/>
        <w:numPr>
          <w:ilvl w:val="0"/>
          <w:numId w:val="34"/>
        </w:numPr>
        <w:spacing w:line="276" w:lineRule="auto"/>
        <w:ind w:left="284" w:hanging="284"/>
        <w:jc w:val="both"/>
        <w:rPr>
          <w:rFonts w:cs="Arial"/>
          <w:szCs w:val="24"/>
        </w:rPr>
      </w:pPr>
      <w:r>
        <w:rPr>
          <w:rFonts w:cs="Arial"/>
          <w:szCs w:val="24"/>
        </w:rPr>
        <w:t>The revenue b</w:t>
      </w:r>
      <w:r w:rsidR="00CC6DCE" w:rsidRPr="004F5D98">
        <w:rPr>
          <w:rFonts w:cs="Arial"/>
          <w:szCs w:val="24"/>
        </w:rPr>
        <w:t>udget 20</w:t>
      </w:r>
      <w:r w:rsidR="004F5D98" w:rsidRPr="004F5D98">
        <w:rPr>
          <w:rFonts w:cs="Arial"/>
          <w:szCs w:val="24"/>
        </w:rPr>
        <w:t>19/20</w:t>
      </w:r>
      <w:r>
        <w:rPr>
          <w:rFonts w:cs="Arial"/>
          <w:szCs w:val="24"/>
        </w:rPr>
        <w:t xml:space="preserve"> and financial s</w:t>
      </w:r>
      <w:r w:rsidR="00CC6DCE" w:rsidRPr="004F5D98">
        <w:rPr>
          <w:rFonts w:cs="Arial"/>
          <w:szCs w:val="24"/>
        </w:rPr>
        <w:t>trategy 201</w:t>
      </w:r>
      <w:r w:rsidR="004F5D98" w:rsidRPr="004F5D98">
        <w:rPr>
          <w:rFonts w:cs="Arial"/>
          <w:szCs w:val="24"/>
        </w:rPr>
        <w:t xml:space="preserve">9/20 </w:t>
      </w:r>
      <w:r w:rsidR="00CC6DCE" w:rsidRPr="004F5D98">
        <w:rPr>
          <w:rFonts w:cs="Arial"/>
          <w:szCs w:val="24"/>
        </w:rPr>
        <w:t xml:space="preserve">to </w:t>
      </w:r>
      <w:r w:rsidR="00042AE8" w:rsidRPr="004F5D98">
        <w:rPr>
          <w:rFonts w:cs="Arial"/>
          <w:szCs w:val="24"/>
        </w:rPr>
        <w:t>202</w:t>
      </w:r>
      <w:r w:rsidR="004F5D98" w:rsidRPr="004F5D98">
        <w:rPr>
          <w:rFonts w:cs="Arial"/>
          <w:szCs w:val="24"/>
        </w:rPr>
        <w:t>2</w:t>
      </w:r>
      <w:r w:rsidR="00042AE8" w:rsidRPr="004F5D98">
        <w:rPr>
          <w:rFonts w:cs="Arial"/>
          <w:szCs w:val="24"/>
        </w:rPr>
        <w:t>/2</w:t>
      </w:r>
      <w:r w:rsidR="004F5D98" w:rsidRPr="004F5D98">
        <w:rPr>
          <w:rFonts w:cs="Arial"/>
          <w:szCs w:val="24"/>
        </w:rPr>
        <w:t>3</w:t>
      </w:r>
      <w:r w:rsidR="00CC6DCE" w:rsidRPr="004F5D98">
        <w:rPr>
          <w:rFonts w:cs="Arial"/>
          <w:szCs w:val="24"/>
        </w:rPr>
        <w:t>: section 1 of this report and Appendix A;</w:t>
      </w:r>
    </w:p>
    <w:p w14:paraId="764EAEF9" w14:textId="77777777" w:rsidR="00CC6DCE" w:rsidRPr="004F5D98" w:rsidRDefault="00CC6DCE" w:rsidP="00CC6DCE">
      <w:pPr>
        <w:spacing w:line="276" w:lineRule="auto"/>
        <w:ind w:left="284" w:hanging="284"/>
        <w:jc w:val="both"/>
        <w:rPr>
          <w:rFonts w:cs="Arial"/>
          <w:szCs w:val="24"/>
        </w:rPr>
      </w:pPr>
    </w:p>
    <w:p w14:paraId="439B7161" w14:textId="27C4C3AC" w:rsidR="00CC6DCE" w:rsidRPr="004F5D98" w:rsidRDefault="00CC6DCE" w:rsidP="00CC6DCE">
      <w:pPr>
        <w:pStyle w:val="ListParagraph"/>
        <w:numPr>
          <w:ilvl w:val="0"/>
          <w:numId w:val="34"/>
        </w:numPr>
        <w:spacing w:line="276" w:lineRule="auto"/>
        <w:ind w:left="284" w:hanging="284"/>
        <w:jc w:val="both"/>
        <w:rPr>
          <w:rFonts w:cs="Arial"/>
          <w:szCs w:val="24"/>
        </w:rPr>
      </w:pPr>
      <w:r w:rsidRPr="004F5D98">
        <w:rPr>
          <w:rFonts w:cs="Arial"/>
          <w:szCs w:val="24"/>
        </w:rPr>
        <w:t xml:space="preserve">The </w:t>
      </w:r>
      <w:r w:rsidR="00BC7C82">
        <w:rPr>
          <w:rFonts w:cs="Arial"/>
          <w:szCs w:val="24"/>
        </w:rPr>
        <w:t>capital delivery programme</w:t>
      </w:r>
      <w:r w:rsidR="00945F7B" w:rsidRPr="004F5D98">
        <w:rPr>
          <w:rFonts w:cs="Arial"/>
          <w:szCs w:val="24"/>
        </w:rPr>
        <w:t xml:space="preserve"> </w:t>
      </w:r>
      <w:r w:rsidR="00042AE8" w:rsidRPr="004F5D98">
        <w:rPr>
          <w:rFonts w:cs="Arial"/>
          <w:szCs w:val="24"/>
        </w:rPr>
        <w:t>201</w:t>
      </w:r>
      <w:r w:rsidR="004F5D98" w:rsidRPr="004F5D98">
        <w:rPr>
          <w:rFonts w:cs="Arial"/>
          <w:szCs w:val="24"/>
        </w:rPr>
        <w:t>9/20</w:t>
      </w:r>
      <w:r w:rsidRPr="004F5D98">
        <w:rPr>
          <w:rFonts w:cs="Arial"/>
          <w:szCs w:val="24"/>
        </w:rPr>
        <w:t>: section 2 of this report and Appendix A; and</w:t>
      </w:r>
    </w:p>
    <w:p w14:paraId="3D5977DF" w14:textId="77777777" w:rsidR="00CC6DCE" w:rsidRPr="004F5D98" w:rsidRDefault="00CC6DCE" w:rsidP="00CC6DCE">
      <w:pPr>
        <w:spacing w:line="276" w:lineRule="auto"/>
        <w:ind w:left="284" w:hanging="284"/>
        <w:jc w:val="both"/>
        <w:rPr>
          <w:rFonts w:cs="Arial"/>
          <w:szCs w:val="24"/>
        </w:rPr>
      </w:pPr>
    </w:p>
    <w:p w14:paraId="2C58737D" w14:textId="3FD6F0CA" w:rsidR="00CC6DCE" w:rsidRPr="004F5D98" w:rsidRDefault="00CC6DCE" w:rsidP="00CC6DCE">
      <w:pPr>
        <w:pStyle w:val="ListParagraph"/>
        <w:numPr>
          <w:ilvl w:val="0"/>
          <w:numId w:val="34"/>
        </w:numPr>
        <w:spacing w:line="276" w:lineRule="auto"/>
        <w:ind w:left="284" w:hanging="284"/>
        <w:jc w:val="both"/>
        <w:rPr>
          <w:rFonts w:cs="Arial"/>
          <w:szCs w:val="24"/>
        </w:rPr>
      </w:pPr>
      <w:r w:rsidRPr="004F5D98">
        <w:rPr>
          <w:rFonts w:cs="Arial"/>
          <w:szCs w:val="24"/>
        </w:rPr>
        <w:t xml:space="preserve">The Council Tax and Precept </w:t>
      </w:r>
      <w:r w:rsidR="004F5D98" w:rsidRPr="004F5D98">
        <w:rPr>
          <w:rFonts w:cs="Arial"/>
          <w:szCs w:val="24"/>
        </w:rPr>
        <w:t>2019/20</w:t>
      </w:r>
      <w:r w:rsidRPr="004F5D98">
        <w:rPr>
          <w:rFonts w:cs="Arial"/>
          <w:szCs w:val="24"/>
        </w:rPr>
        <w:t>: section 3 of this report.</w:t>
      </w:r>
    </w:p>
    <w:p w14:paraId="58535534" w14:textId="77777777" w:rsidR="00CC6DCE" w:rsidRPr="004F5D98" w:rsidRDefault="00CC6DCE" w:rsidP="00CC6DCE">
      <w:pPr>
        <w:spacing w:line="276" w:lineRule="auto"/>
        <w:ind w:left="284" w:hanging="284"/>
        <w:jc w:val="both"/>
        <w:rPr>
          <w:rFonts w:cs="Arial"/>
          <w:szCs w:val="24"/>
        </w:rPr>
      </w:pPr>
    </w:p>
    <w:p w14:paraId="67D1E427" w14:textId="48B2A48A" w:rsidR="00042AE8" w:rsidRPr="004F5D98" w:rsidRDefault="00CB5AF9" w:rsidP="00042AE8">
      <w:pPr>
        <w:numPr>
          <w:ilvl w:val="0"/>
          <w:numId w:val="2"/>
        </w:numPr>
        <w:tabs>
          <w:tab w:val="clear" w:pos="720"/>
          <w:tab w:val="num" w:pos="284"/>
        </w:tabs>
        <w:spacing w:line="276" w:lineRule="auto"/>
        <w:ind w:left="284" w:hanging="284"/>
        <w:jc w:val="both"/>
        <w:rPr>
          <w:b/>
        </w:rPr>
      </w:pPr>
      <w:r w:rsidRPr="004F5D98">
        <w:rPr>
          <w:b/>
        </w:rPr>
        <w:t xml:space="preserve">Revenue Budget </w:t>
      </w:r>
      <w:r w:rsidR="00042AE8" w:rsidRPr="004F5D98">
        <w:rPr>
          <w:b/>
        </w:rPr>
        <w:t>201</w:t>
      </w:r>
      <w:r w:rsidR="00CF4514">
        <w:rPr>
          <w:b/>
        </w:rPr>
        <w:t>9/20</w:t>
      </w:r>
    </w:p>
    <w:p w14:paraId="5C862000" w14:textId="77777777" w:rsidR="00CB5AF9" w:rsidRPr="004F5D98" w:rsidRDefault="00CB5AF9" w:rsidP="00CC6DCE">
      <w:pPr>
        <w:spacing w:line="276" w:lineRule="auto"/>
        <w:jc w:val="both"/>
      </w:pPr>
    </w:p>
    <w:p w14:paraId="208680CF" w14:textId="5A3BBC35" w:rsidR="00BA3ED6" w:rsidRPr="004F5D98" w:rsidRDefault="00BA3ED6" w:rsidP="00CC6DCE">
      <w:pPr>
        <w:spacing w:line="276" w:lineRule="auto"/>
        <w:jc w:val="both"/>
        <w:rPr>
          <w:rFonts w:cs="Arial"/>
          <w:szCs w:val="24"/>
        </w:rPr>
      </w:pPr>
      <w:r w:rsidRPr="004F5D98">
        <w:rPr>
          <w:rFonts w:cs="Arial"/>
          <w:szCs w:val="24"/>
        </w:rPr>
        <w:t xml:space="preserve">The Cabinet </w:t>
      </w:r>
      <w:r w:rsidRPr="004F5D98">
        <w:rPr>
          <w:rFonts w:cs="Arial"/>
          <w:b/>
          <w:bCs/>
          <w:szCs w:val="24"/>
        </w:rPr>
        <w:t>recommend</w:t>
      </w:r>
      <w:r w:rsidR="00202A46" w:rsidRPr="004F5D98">
        <w:rPr>
          <w:rFonts w:cs="Arial"/>
          <w:b/>
          <w:bCs/>
          <w:szCs w:val="24"/>
        </w:rPr>
        <w:t>s</w:t>
      </w:r>
      <w:r w:rsidRPr="004F5D98">
        <w:rPr>
          <w:rFonts w:cs="Arial"/>
          <w:szCs w:val="24"/>
        </w:rPr>
        <w:t xml:space="preserve"> the adoption of the</w:t>
      </w:r>
      <w:r w:rsidR="006652A9" w:rsidRPr="004F5D98">
        <w:rPr>
          <w:rFonts w:cs="Arial"/>
          <w:szCs w:val="24"/>
        </w:rPr>
        <w:t xml:space="preserve"> revenue budget</w:t>
      </w:r>
      <w:r w:rsidRPr="004F5D98">
        <w:rPr>
          <w:rFonts w:cs="Arial"/>
          <w:szCs w:val="24"/>
        </w:rPr>
        <w:t xml:space="preserve"> </w:t>
      </w:r>
      <w:r w:rsidR="006652A9" w:rsidRPr="004F5D98">
        <w:rPr>
          <w:rFonts w:cs="Arial"/>
          <w:szCs w:val="24"/>
        </w:rPr>
        <w:t xml:space="preserve">as </w:t>
      </w:r>
      <w:r w:rsidRPr="004F5D98">
        <w:rPr>
          <w:rFonts w:cs="Arial"/>
          <w:szCs w:val="24"/>
        </w:rPr>
        <w:t xml:space="preserve">set out in </w:t>
      </w:r>
      <w:r w:rsidR="004026B6" w:rsidRPr="004F5D98">
        <w:rPr>
          <w:rFonts w:cs="Arial"/>
          <w:szCs w:val="24"/>
        </w:rPr>
        <w:t xml:space="preserve">Appendix A and in </w:t>
      </w:r>
      <w:r w:rsidR="006652A9" w:rsidRPr="004F5D98">
        <w:rPr>
          <w:rFonts w:cs="Arial"/>
          <w:szCs w:val="24"/>
        </w:rPr>
        <w:t>the table</w:t>
      </w:r>
      <w:r w:rsidR="0045344A" w:rsidRPr="004F5D98">
        <w:rPr>
          <w:rFonts w:cs="Arial"/>
          <w:szCs w:val="24"/>
        </w:rPr>
        <w:t>s</w:t>
      </w:r>
      <w:r w:rsidR="006652A9" w:rsidRPr="004F5D98">
        <w:rPr>
          <w:rFonts w:cs="Arial"/>
          <w:szCs w:val="24"/>
        </w:rPr>
        <w:t xml:space="preserve"> </w:t>
      </w:r>
      <w:r w:rsidRPr="004F5D98">
        <w:rPr>
          <w:rFonts w:cs="Arial"/>
          <w:szCs w:val="24"/>
        </w:rPr>
        <w:t>below</w:t>
      </w:r>
      <w:r w:rsidR="006652A9" w:rsidRPr="004F5D98">
        <w:rPr>
          <w:rFonts w:cs="Arial"/>
          <w:szCs w:val="24"/>
        </w:rPr>
        <w:t>, which sets out the</w:t>
      </w:r>
      <w:r w:rsidRPr="004F5D98">
        <w:rPr>
          <w:rFonts w:cs="Arial"/>
          <w:szCs w:val="24"/>
        </w:rPr>
        <w:t xml:space="preserve"> proposed </w:t>
      </w:r>
      <w:r w:rsidR="00E8773F" w:rsidRPr="004F5D98">
        <w:rPr>
          <w:rFonts w:cs="Arial"/>
          <w:szCs w:val="24"/>
        </w:rPr>
        <w:t>b</w:t>
      </w:r>
      <w:r w:rsidRPr="004F5D98">
        <w:rPr>
          <w:rFonts w:cs="Arial"/>
          <w:szCs w:val="24"/>
        </w:rPr>
        <w:t xml:space="preserve">udget </w:t>
      </w:r>
      <w:r w:rsidR="00E8773F" w:rsidRPr="004F5D98">
        <w:rPr>
          <w:rFonts w:cs="Arial"/>
          <w:szCs w:val="24"/>
        </w:rPr>
        <w:t>a</w:t>
      </w:r>
      <w:r w:rsidRPr="004F5D98">
        <w:rPr>
          <w:rFonts w:cs="Arial"/>
          <w:szCs w:val="24"/>
        </w:rPr>
        <w:t xml:space="preserve">llocations to </w:t>
      </w:r>
      <w:r w:rsidR="0045344A" w:rsidRPr="004F5D98">
        <w:rPr>
          <w:rFonts w:cs="Arial"/>
          <w:szCs w:val="24"/>
        </w:rPr>
        <w:t>services and other budget areas</w:t>
      </w:r>
      <w:r w:rsidR="006652A9" w:rsidRPr="004F5D98">
        <w:rPr>
          <w:rFonts w:cs="Arial"/>
          <w:szCs w:val="24"/>
        </w:rPr>
        <w:t>.</w:t>
      </w:r>
      <w:r w:rsidR="004F5D98" w:rsidRPr="004F5D98">
        <w:t xml:space="preserve"> </w:t>
      </w:r>
      <w:r w:rsidR="004F5D98" w:rsidRPr="004F5D98">
        <w:rPr>
          <w:rFonts w:cs="Arial"/>
          <w:szCs w:val="24"/>
        </w:rPr>
        <w:t>In reports throughout the financial year to cabinet, it is clear that the council is committed to the delivery of a signif</w:t>
      </w:r>
      <w:r w:rsidR="004F5D98">
        <w:rPr>
          <w:rFonts w:cs="Arial"/>
          <w:szCs w:val="24"/>
        </w:rPr>
        <w:t xml:space="preserve">icant </w:t>
      </w:r>
      <w:r w:rsidR="00E24804">
        <w:rPr>
          <w:rFonts w:cs="Arial"/>
          <w:szCs w:val="24"/>
        </w:rPr>
        <w:t>savings programme (c£120</w:t>
      </w:r>
      <w:r w:rsidR="004F5D98">
        <w:rPr>
          <w:rFonts w:cs="Arial"/>
          <w:szCs w:val="24"/>
        </w:rPr>
        <w:t>m</w:t>
      </w:r>
      <w:r w:rsidR="00BC7C82">
        <w:rPr>
          <w:rFonts w:cs="Arial"/>
          <w:szCs w:val="24"/>
        </w:rPr>
        <w:t xml:space="preserve"> over the period 2019/20 to 2022/23</w:t>
      </w:r>
      <w:r w:rsidR="004F5D98" w:rsidRPr="004F5D98">
        <w:rPr>
          <w:rFonts w:cs="Arial"/>
          <w:szCs w:val="24"/>
        </w:rPr>
        <w:t>) including £77m of new savings proposals agreed by cabinet during 2018/19. There are inherent risks with saving plans of this scale and scope and any significant under-delivery of agreed savings will further increase the funding gap.  This has been identified as one of the highest level risks in the council's risk and opportunity register and there are comprehensive arrangements in place to track delivery of financial savings and take corrective actions as required.</w:t>
      </w:r>
      <w:r w:rsidR="00117F9C" w:rsidRPr="004F5D98">
        <w:rPr>
          <w:rFonts w:cs="Arial"/>
          <w:szCs w:val="24"/>
        </w:rPr>
        <w:t xml:space="preserve"> </w:t>
      </w:r>
      <w:r w:rsidR="004111CB" w:rsidRPr="004F5D98">
        <w:rPr>
          <w:rFonts w:cs="Arial"/>
          <w:szCs w:val="24"/>
        </w:rPr>
        <w:t>However,</w:t>
      </w:r>
      <w:r w:rsidR="00847963" w:rsidRPr="004F5D98">
        <w:rPr>
          <w:rFonts w:cs="Arial"/>
          <w:szCs w:val="24"/>
        </w:rPr>
        <w:t xml:space="preserve"> despite the additional savings,</w:t>
      </w:r>
      <w:r w:rsidR="00BC7C82">
        <w:rPr>
          <w:rFonts w:cs="Arial"/>
          <w:szCs w:val="24"/>
        </w:rPr>
        <w:t xml:space="preserve"> the county c</w:t>
      </w:r>
      <w:r w:rsidR="004111CB" w:rsidRPr="004F5D98">
        <w:rPr>
          <w:rFonts w:cs="Arial"/>
          <w:szCs w:val="24"/>
        </w:rPr>
        <w:t>ou</w:t>
      </w:r>
      <w:r w:rsidR="004F5D98" w:rsidRPr="004F5D98">
        <w:rPr>
          <w:rFonts w:cs="Arial"/>
          <w:szCs w:val="24"/>
        </w:rPr>
        <w:t xml:space="preserve">ncil </w:t>
      </w:r>
      <w:r w:rsidR="00E24804">
        <w:rPr>
          <w:rFonts w:cs="Arial"/>
          <w:szCs w:val="24"/>
        </w:rPr>
        <w:t>faces a financial gap of £10.245</w:t>
      </w:r>
      <w:r w:rsidR="004F5D98" w:rsidRPr="004F5D98">
        <w:rPr>
          <w:rFonts w:cs="Arial"/>
          <w:szCs w:val="24"/>
        </w:rPr>
        <w:t>m in 2019/20</w:t>
      </w:r>
      <w:r w:rsidR="004111CB" w:rsidRPr="004F5D98">
        <w:rPr>
          <w:rFonts w:cs="Arial"/>
          <w:szCs w:val="24"/>
        </w:rPr>
        <w:t xml:space="preserve"> and it is proposed that the transitional reserve is used to support this shortfall. </w:t>
      </w:r>
    </w:p>
    <w:p w14:paraId="3497566D" w14:textId="77777777" w:rsidR="008210C8" w:rsidRPr="007C0AFF" w:rsidRDefault="008210C8" w:rsidP="00CC6DCE">
      <w:pPr>
        <w:spacing w:line="276" w:lineRule="auto"/>
        <w:jc w:val="both"/>
        <w:rPr>
          <w:rFonts w:cs="Arial"/>
          <w:szCs w:val="24"/>
          <w:highlight w:val="yellow"/>
        </w:rPr>
      </w:pPr>
    </w:p>
    <w:p w14:paraId="2B370B71" w14:textId="77777777" w:rsidR="00C11669" w:rsidRPr="007C0AFF" w:rsidRDefault="00C11669" w:rsidP="00CC6DCE">
      <w:pPr>
        <w:spacing w:line="276" w:lineRule="auto"/>
        <w:jc w:val="both"/>
        <w:rPr>
          <w:rFonts w:cs="Arial"/>
          <w:szCs w:val="24"/>
          <w:highlight w:val="yellow"/>
        </w:rPr>
      </w:pPr>
    </w:p>
    <w:p w14:paraId="79BEBD66" w14:textId="77777777" w:rsidR="00C11669" w:rsidRPr="007C0AFF" w:rsidRDefault="00C11669" w:rsidP="00CC6DCE">
      <w:pPr>
        <w:spacing w:line="276" w:lineRule="auto"/>
        <w:jc w:val="both"/>
        <w:rPr>
          <w:rFonts w:cs="Arial"/>
          <w:szCs w:val="24"/>
          <w:highlight w:val="yellow"/>
        </w:rPr>
      </w:pPr>
    </w:p>
    <w:p w14:paraId="2574D99C" w14:textId="77777777" w:rsidR="00C11669" w:rsidRPr="007C0AFF" w:rsidRDefault="00C11669" w:rsidP="00CC6DCE">
      <w:pPr>
        <w:spacing w:line="276" w:lineRule="auto"/>
        <w:jc w:val="both"/>
        <w:rPr>
          <w:rFonts w:cs="Arial"/>
          <w:szCs w:val="24"/>
          <w:highlight w:val="yellow"/>
        </w:rPr>
      </w:pPr>
    </w:p>
    <w:p w14:paraId="0ECCEA5A" w14:textId="77777777" w:rsidR="00C11669" w:rsidRPr="007C0AFF" w:rsidRDefault="00C11669" w:rsidP="00CC6DCE">
      <w:pPr>
        <w:spacing w:line="276" w:lineRule="auto"/>
        <w:jc w:val="both"/>
        <w:rPr>
          <w:rFonts w:cs="Arial"/>
          <w:szCs w:val="24"/>
          <w:highlight w:val="yellow"/>
        </w:rPr>
      </w:pPr>
    </w:p>
    <w:p w14:paraId="66472668" w14:textId="77777777" w:rsidR="00C11669" w:rsidRPr="007C0AFF" w:rsidRDefault="00C11669" w:rsidP="00CC6DCE">
      <w:pPr>
        <w:spacing w:line="276" w:lineRule="auto"/>
        <w:jc w:val="both"/>
        <w:rPr>
          <w:rFonts w:cs="Arial"/>
          <w:szCs w:val="24"/>
          <w:highlight w:val="yellow"/>
        </w:rPr>
      </w:pPr>
    </w:p>
    <w:p w14:paraId="529947F6" w14:textId="77777777" w:rsidR="00C11669" w:rsidRPr="007C0AFF" w:rsidRDefault="00C11669" w:rsidP="00CC6DCE">
      <w:pPr>
        <w:spacing w:line="276" w:lineRule="auto"/>
        <w:jc w:val="both"/>
        <w:rPr>
          <w:rFonts w:cs="Arial"/>
          <w:szCs w:val="24"/>
          <w:highlight w:val="yellow"/>
        </w:rPr>
      </w:pPr>
    </w:p>
    <w:p w14:paraId="5D6A7C96" w14:textId="77777777" w:rsidR="00C11669" w:rsidRPr="007C0AFF" w:rsidRDefault="00C11669" w:rsidP="00CC6DCE">
      <w:pPr>
        <w:spacing w:line="276" w:lineRule="auto"/>
        <w:jc w:val="both"/>
        <w:rPr>
          <w:rFonts w:cs="Arial"/>
          <w:szCs w:val="24"/>
          <w:highlight w:val="yellow"/>
        </w:rPr>
      </w:pPr>
    </w:p>
    <w:p w14:paraId="593A66A0" w14:textId="77777777" w:rsidR="00C11669" w:rsidRPr="007C0AFF" w:rsidRDefault="00C11669" w:rsidP="00CC6DCE">
      <w:pPr>
        <w:spacing w:line="276" w:lineRule="auto"/>
        <w:jc w:val="both"/>
        <w:rPr>
          <w:rFonts w:cs="Arial"/>
          <w:szCs w:val="24"/>
          <w:highlight w:val="yellow"/>
        </w:rPr>
      </w:pPr>
    </w:p>
    <w:p w14:paraId="141178E7" w14:textId="77777777" w:rsidR="00C11669" w:rsidRDefault="00C11669" w:rsidP="00CC6DCE">
      <w:pPr>
        <w:spacing w:line="276" w:lineRule="auto"/>
        <w:jc w:val="both"/>
        <w:rPr>
          <w:rFonts w:cs="Arial"/>
          <w:szCs w:val="24"/>
          <w:highlight w:val="yellow"/>
        </w:rPr>
      </w:pPr>
    </w:p>
    <w:p w14:paraId="40B01F8F" w14:textId="77777777" w:rsidR="00BC7C82" w:rsidRDefault="00BC7C82" w:rsidP="00CC6DCE">
      <w:pPr>
        <w:spacing w:line="276" w:lineRule="auto"/>
        <w:jc w:val="both"/>
        <w:rPr>
          <w:rFonts w:cs="Arial"/>
          <w:szCs w:val="24"/>
          <w:highlight w:val="yellow"/>
        </w:rPr>
      </w:pPr>
    </w:p>
    <w:p w14:paraId="3FB796C7" w14:textId="77777777" w:rsidR="00BC7C82" w:rsidRDefault="00BC7C82" w:rsidP="00CC6DCE">
      <w:pPr>
        <w:spacing w:line="276" w:lineRule="auto"/>
        <w:jc w:val="both"/>
        <w:rPr>
          <w:rFonts w:cs="Arial"/>
          <w:szCs w:val="24"/>
          <w:highlight w:val="yellow"/>
        </w:rPr>
      </w:pPr>
    </w:p>
    <w:p w14:paraId="2DE04356" w14:textId="77777777" w:rsidR="00CF4514" w:rsidRPr="007C0AFF" w:rsidRDefault="00CF4514" w:rsidP="00CC6DCE">
      <w:pPr>
        <w:spacing w:line="276" w:lineRule="auto"/>
        <w:jc w:val="both"/>
        <w:rPr>
          <w:rFonts w:cs="Arial"/>
          <w:szCs w:val="24"/>
          <w:highlight w:val="yellow"/>
        </w:rPr>
      </w:pPr>
    </w:p>
    <w:p w14:paraId="61454F37" w14:textId="77777777" w:rsidR="00C11669" w:rsidRPr="007C0AFF" w:rsidRDefault="00C11669" w:rsidP="00CC6DCE">
      <w:pPr>
        <w:spacing w:line="276" w:lineRule="auto"/>
        <w:jc w:val="both"/>
        <w:rPr>
          <w:rFonts w:cs="Arial"/>
          <w:szCs w:val="24"/>
          <w:highlight w:val="yellow"/>
        </w:rPr>
      </w:pPr>
    </w:p>
    <w:p w14:paraId="153A0ECD" w14:textId="77777777" w:rsidR="007D158A" w:rsidRPr="007C0AFF" w:rsidRDefault="007D158A" w:rsidP="00CC6DCE">
      <w:pPr>
        <w:spacing w:line="276" w:lineRule="auto"/>
        <w:jc w:val="both"/>
        <w:rPr>
          <w:rFonts w:cs="Arial"/>
          <w:szCs w:val="24"/>
          <w:highlight w:val="yellow"/>
        </w:rPr>
      </w:pPr>
    </w:p>
    <w:tbl>
      <w:tblPr>
        <w:tblW w:w="7868" w:type="dxa"/>
        <w:jc w:val="center"/>
        <w:tblLayout w:type="fixed"/>
        <w:tblLook w:val="04A0" w:firstRow="1" w:lastRow="0" w:firstColumn="1" w:lastColumn="0" w:noHBand="0" w:noVBand="1"/>
      </w:tblPr>
      <w:tblGrid>
        <w:gridCol w:w="5089"/>
        <w:gridCol w:w="2779"/>
      </w:tblGrid>
      <w:tr w:rsidR="00CF4514" w:rsidRPr="00CF4514" w14:paraId="3D1E0385" w14:textId="77777777" w:rsidTr="001D41C1">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14:paraId="7A48312B" w14:textId="77777777" w:rsidR="00CF4514" w:rsidRPr="00CF4514" w:rsidRDefault="00CF4514" w:rsidP="00CF4514">
            <w:pPr>
              <w:spacing w:after="200" w:line="276" w:lineRule="auto"/>
              <w:jc w:val="center"/>
              <w:rPr>
                <w:rFonts w:cs="Arial"/>
                <w:b/>
                <w:bCs/>
                <w:color w:val="000000"/>
                <w:sz w:val="22"/>
                <w:szCs w:val="22"/>
                <w:lang w:eastAsia="en-US"/>
              </w:rPr>
            </w:pPr>
            <w:r w:rsidRPr="00CF4514">
              <w:rPr>
                <w:rFonts w:cs="Arial"/>
                <w:b/>
                <w:bCs/>
                <w:color w:val="000000"/>
                <w:sz w:val="22"/>
                <w:szCs w:val="22"/>
                <w:lang w:eastAsia="en-US"/>
              </w:rPr>
              <w:t>Revenue Budget 2019/20</w:t>
            </w:r>
          </w:p>
        </w:tc>
        <w:tc>
          <w:tcPr>
            <w:tcW w:w="2779" w:type="dxa"/>
            <w:tcBorders>
              <w:top w:val="single" w:sz="4" w:space="0" w:color="auto"/>
              <w:left w:val="single" w:sz="4" w:space="0" w:color="auto"/>
              <w:right w:val="single" w:sz="4" w:space="0" w:color="auto"/>
            </w:tcBorders>
            <w:shd w:val="clear" w:color="auto" w:fill="auto"/>
            <w:noWrap/>
            <w:vAlign w:val="center"/>
            <w:hideMark/>
          </w:tcPr>
          <w:p w14:paraId="3E9340EC" w14:textId="77777777" w:rsidR="00CF4514" w:rsidRPr="00CF4514" w:rsidRDefault="00CF4514" w:rsidP="00CF4514">
            <w:pPr>
              <w:spacing w:line="276" w:lineRule="auto"/>
              <w:jc w:val="center"/>
              <w:rPr>
                <w:rFonts w:cs="Arial"/>
                <w:b/>
                <w:bCs/>
                <w:color w:val="000000"/>
                <w:sz w:val="22"/>
                <w:szCs w:val="22"/>
                <w:lang w:eastAsia="en-US"/>
              </w:rPr>
            </w:pPr>
            <w:r w:rsidRPr="00CF4514">
              <w:rPr>
                <w:rFonts w:cs="Arial"/>
                <w:b/>
                <w:bCs/>
                <w:color w:val="000000"/>
                <w:sz w:val="22"/>
                <w:szCs w:val="22"/>
                <w:lang w:eastAsia="en-US"/>
              </w:rPr>
              <w:t>Net Budget</w:t>
            </w:r>
          </w:p>
          <w:p w14:paraId="322E812A" w14:textId="77777777" w:rsidR="00CF4514" w:rsidRPr="00CF4514" w:rsidRDefault="00CF4514" w:rsidP="00CF4514">
            <w:pPr>
              <w:spacing w:line="276" w:lineRule="auto"/>
              <w:jc w:val="center"/>
              <w:rPr>
                <w:rFonts w:cs="Arial"/>
                <w:b/>
                <w:bCs/>
                <w:color w:val="000000"/>
                <w:sz w:val="22"/>
                <w:szCs w:val="22"/>
                <w:lang w:eastAsia="en-US"/>
              </w:rPr>
            </w:pPr>
            <w:r w:rsidRPr="00CF4514">
              <w:rPr>
                <w:rFonts w:cs="Arial"/>
                <w:b/>
                <w:bCs/>
                <w:color w:val="000000"/>
                <w:sz w:val="22"/>
                <w:szCs w:val="22"/>
                <w:lang w:eastAsia="en-US"/>
              </w:rPr>
              <w:t>£m</w:t>
            </w:r>
          </w:p>
        </w:tc>
      </w:tr>
      <w:tr w:rsidR="00CF4514" w:rsidRPr="00CF4514" w14:paraId="1EABC1F1"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9E84C" w14:textId="77777777" w:rsidR="00CF4514" w:rsidRPr="00CF4514" w:rsidRDefault="00CF4514" w:rsidP="00CF4514">
            <w:pPr>
              <w:spacing w:after="200" w:line="276" w:lineRule="auto"/>
              <w:rPr>
                <w:rFonts w:cs="Arial"/>
                <w:b/>
                <w:bCs/>
                <w:color w:val="000000"/>
                <w:sz w:val="22"/>
                <w:szCs w:val="22"/>
                <w:lang w:eastAsia="en-US"/>
              </w:rPr>
            </w:pPr>
            <w:r w:rsidRPr="00CF4514">
              <w:rPr>
                <w:rFonts w:cs="Arial"/>
                <w:color w:val="000000"/>
                <w:sz w:val="22"/>
                <w:szCs w:val="22"/>
                <w:lang w:eastAsia="en-US"/>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1836D" w14:textId="77777777" w:rsidR="00CF4514" w:rsidRPr="00CF4514" w:rsidRDefault="00CF4514" w:rsidP="00CF4514">
            <w:pPr>
              <w:spacing w:after="200" w:line="276" w:lineRule="auto"/>
              <w:jc w:val="right"/>
              <w:rPr>
                <w:rFonts w:cs="Arial"/>
                <w:bCs/>
                <w:color w:val="000000"/>
                <w:sz w:val="22"/>
                <w:szCs w:val="22"/>
                <w:lang w:eastAsia="en-US"/>
              </w:rPr>
            </w:pPr>
            <w:r w:rsidRPr="00CF4514">
              <w:rPr>
                <w:rFonts w:cs="Arial"/>
                <w:bCs/>
                <w:color w:val="000000"/>
                <w:sz w:val="22"/>
                <w:szCs w:val="22"/>
                <w:lang w:eastAsia="en-US"/>
              </w:rPr>
              <w:t>343.054</w:t>
            </w:r>
          </w:p>
        </w:tc>
      </w:tr>
      <w:tr w:rsidR="00CF4514" w:rsidRPr="00CF4514" w14:paraId="2AFCCFA0"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E3C101F"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Chief Executive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33960" w14:textId="77777777" w:rsidR="00CF4514" w:rsidRPr="00CF4514" w:rsidRDefault="00CF4514" w:rsidP="00CF4514">
            <w:pPr>
              <w:spacing w:after="200" w:line="276" w:lineRule="auto"/>
              <w:jc w:val="right"/>
              <w:rPr>
                <w:rFonts w:cs="Arial"/>
                <w:bCs/>
                <w:color w:val="000000"/>
                <w:sz w:val="22"/>
                <w:szCs w:val="22"/>
                <w:lang w:eastAsia="en-US"/>
              </w:rPr>
            </w:pPr>
            <w:r w:rsidRPr="00CF4514">
              <w:rPr>
                <w:rFonts w:cs="Arial"/>
                <w:bCs/>
                <w:color w:val="000000"/>
                <w:sz w:val="22"/>
                <w:szCs w:val="22"/>
                <w:lang w:eastAsia="en-US"/>
              </w:rPr>
              <w:t>28.990</w:t>
            </w:r>
          </w:p>
        </w:tc>
      </w:tr>
      <w:tr w:rsidR="00CF4514" w:rsidRPr="00CF4514" w14:paraId="3B275FEB"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FB5E5FF"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Children's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53C4E"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143.820</w:t>
            </w:r>
          </w:p>
        </w:tc>
      </w:tr>
      <w:tr w:rsidR="00CF4514" w:rsidRPr="00CF4514" w14:paraId="091CCCEB"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0977D34"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34FD"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18.954</w:t>
            </w:r>
          </w:p>
        </w:tc>
      </w:tr>
      <w:tr w:rsidR="00CF4514" w:rsidRPr="00CF4514" w14:paraId="7C2C50CF"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0EE025A"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Education and Skills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0C44"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27.879</w:t>
            </w:r>
          </w:p>
        </w:tc>
      </w:tr>
      <w:tr w:rsidR="00CF4514" w:rsidRPr="00CF4514" w14:paraId="3F45F983"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4B2519AC"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BAB7"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38.073</w:t>
            </w:r>
          </w:p>
        </w:tc>
      </w:tr>
      <w:tr w:rsidR="00CF4514" w:rsidRPr="00CF4514" w14:paraId="7C2F4F06"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A81FA2B"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Growth, Environment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2CD1"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3.940</w:t>
            </w:r>
          </w:p>
        </w:tc>
      </w:tr>
      <w:tr w:rsidR="00CF4514" w:rsidRPr="00CF4514" w14:paraId="50F00C6B"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DF7981C"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Waste Management</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3389F" w14:textId="77777777" w:rsidR="00CF4514" w:rsidRPr="00CF4514" w:rsidRDefault="00CF4514" w:rsidP="00CF4514">
            <w:pPr>
              <w:spacing w:after="200" w:line="276" w:lineRule="auto"/>
              <w:ind w:left="-222"/>
              <w:jc w:val="right"/>
              <w:rPr>
                <w:rFonts w:cs="Arial"/>
                <w:color w:val="000000"/>
                <w:sz w:val="22"/>
                <w:szCs w:val="22"/>
                <w:lang w:eastAsia="en-US"/>
              </w:rPr>
            </w:pPr>
            <w:r w:rsidRPr="00CF4514">
              <w:rPr>
                <w:rFonts w:cs="Arial"/>
                <w:color w:val="000000"/>
                <w:sz w:val="22"/>
                <w:szCs w:val="22"/>
                <w:lang w:eastAsia="en-US"/>
              </w:rPr>
              <w:t>65.995</w:t>
            </w:r>
          </w:p>
        </w:tc>
      </w:tr>
      <w:tr w:rsidR="00CF4514" w:rsidRPr="00CF4514" w14:paraId="714C2A0F"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4194ADA"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Highways and Transport</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948D6" w14:textId="6560E1FD" w:rsidR="00CF4514" w:rsidRPr="00CF4514" w:rsidRDefault="00BC7C82" w:rsidP="00CF4514">
            <w:pPr>
              <w:spacing w:after="200" w:line="276" w:lineRule="auto"/>
              <w:ind w:left="-222"/>
              <w:jc w:val="right"/>
              <w:rPr>
                <w:rFonts w:cs="Arial"/>
                <w:color w:val="000000"/>
                <w:sz w:val="22"/>
                <w:szCs w:val="22"/>
                <w:lang w:eastAsia="en-US"/>
              </w:rPr>
            </w:pPr>
            <w:r>
              <w:rPr>
                <w:rFonts w:cs="Arial"/>
                <w:color w:val="000000"/>
                <w:sz w:val="22"/>
                <w:szCs w:val="22"/>
                <w:lang w:eastAsia="en-US"/>
              </w:rPr>
              <w:t>57.998</w:t>
            </w:r>
          </w:p>
        </w:tc>
      </w:tr>
      <w:tr w:rsidR="00CF4514" w:rsidRPr="00CF4514" w14:paraId="677C4C19"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1F66615"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Public Health and Wellbeing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6E502" w14:textId="77777777" w:rsidR="00CF4514" w:rsidRPr="00CF4514" w:rsidRDefault="00CF4514" w:rsidP="00CF4514">
            <w:pPr>
              <w:spacing w:after="200" w:line="276" w:lineRule="auto"/>
              <w:ind w:left="-222"/>
              <w:jc w:val="right"/>
              <w:rPr>
                <w:rFonts w:cs="Arial"/>
                <w:color w:val="000000"/>
                <w:sz w:val="22"/>
                <w:szCs w:val="22"/>
                <w:lang w:eastAsia="en-US"/>
              </w:rPr>
            </w:pPr>
            <w:r w:rsidRPr="00CF4514">
              <w:rPr>
                <w:rFonts w:cs="Arial"/>
                <w:color w:val="000000"/>
                <w:sz w:val="22"/>
                <w:szCs w:val="22"/>
                <w:lang w:eastAsia="en-US"/>
              </w:rPr>
              <w:t>23.440</w:t>
            </w:r>
          </w:p>
        </w:tc>
      </w:tr>
      <w:tr w:rsidR="00CF4514" w:rsidRPr="00CF4514" w14:paraId="7FEB4A68"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6805B23"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Strategy and Performance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51174" w14:textId="77777777" w:rsidR="00CF4514" w:rsidRPr="00CF4514" w:rsidRDefault="00CF4514" w:rsidP="00CF4514">
            <w:pPr>
              <w:spacing w:after="200" w:line="276" w:lineRule="auto"/>
              <w:ind w:left="-222"/>
              <w:jc w:val="right"/>
              <w:rPr>
                <w:rFonts w:cs="Arial"/>
                <w:color w:val="000000"/>
                <w:sz w:val="22"/>
                <w:szCs w:val="22"/>
                <w:lang w:eastAsia="en-US"/>
              </w:rPr>
            </w:pPr>
            <w:r w:rsidRPr="00CF4514">
              <w:rPr>
                <w:rFonts w:cs="Arial"/>
                <w:color w:val="000000"/>
                <w:sz w:val="22"/>
                <w:szCs w:val="22"/>
                <w:lang w:eastAsia="en-US"/>
              </w:rPr>
              <w:t>33.615</w:t>
            </w:r>
          </w:p>
        </w:tc>
      </w:tr>
      <w:tr w:rsidR="00CF4514" w:rsidRPr="00CF4514" w14:paraId="49114D84"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926BA0" w14:textId="77777777" w:rsidR="00CF4514" w:rsidRPr="00CF4514" w:rsidRDefault="00CF4514" w:rsidP="00CF4514">
            <w:pPr>
              <w:spacing w:after="200" w:line="276" w:lineRule="auto"/>
              <w:rPr>
                <w:rFonts w:cs="Arial"/>
                <w:color w:val="000000"/>
                <w:sz w:val="22"/>
                <w:szCs w:val="22"/>
                <w:lang w:eastAsia="en-US"/>
              </w:rPr>
            </w:pPr>
            <w:r w:rsidRPr="00CF4514">
              <w:rPr>
                <w:rFonts w:cs="Arial"/>
                <w:b/>
                <w:bCs/>
                <w:color w:val="000000"/>
                <w:sz w:val="22"/>
                <w:szCs w:val="22"/>
                <w:lang w:eastAsia="en-US"/>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3785B6" w14:textId="77777777" w:rsidR="00CF4514" w:rsidRPr="00CF4514" w:rsidRDefault="00CF4514" w:rsidP="00CF4514">
            <w:pPr>
              <w:spacing w:after="200" w:line="276" w:lineRule="auto"/>
              <w:jc w:val="right"/>
              <w:rPr>
                <w:rFonts w:cs="Arial"/>
                <w:b/>
                <w:color w:val="000000"/>
                <w:sz w:val="22"/>
                <w:szCs w:val="22"/>
                <w:lang w:eastAsia="en-US"/>
              </w:rPr>
            </w:pPr>
            <w:r w:rsidRPr="00CF4514">
              <w:rPr>
                <w:rFonts w:cs="Arial"/>
                <w:b/>
                <w:color w:val="000000"/>
                <w:sz w:val="22"/>
                <w:szCs w:val="22"/>
                <w:lang w:eastAsia="en-US"/>
              </w:rPr>
              <w:t>785.758</w:t>
            </w:r>
          </w:p>
        </w:tc>
      </w:tr>
      <w:tr w:rsidR="00CF4514" w:rsidRPr="00CF4514" w14:paraId="00EC96A2"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A159" w14:textId="77777777" w:rsidR="00CF4514" w:rsidRPr="00CF4514" w:rsidRDefault="00CF4514" w:rsidP="00CF4514">
            <w:pPr>
              <w:spacing w:after="200" w:line="276" w:lineRule="auto"/>
              <w:rPr>
                <w:rFonts w:cs="Arial"/>
                <w:bCs/>
                <w:color w:val="000000"/>
                <w:sz w:val="22"/>
                <w:szCs w:val="22"/>
                <w:lang w:eastAsia="en-US"/>
              </w:rPr>
            </w:pPr>
            <w:r w:rsidRPr="00CF4514">
              <w:rPr>
                <w:rFonts w:cs="Arial"/>
                <w:color w:val="000000"/>
                <w:sz w:val="22"/>
                <w:szCs w:val="22"/>
                <w:lang w:eastAsia="en-US"/>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5B423" w14:textId="77777777" w:rsidR="00CF4514" w:rsidRPr="00CF4514" w:rsidRDefault="00CF4514" w:rsidP="00CF4514">
            <w:pPr>
              <w:spacing w:after="200" w:line="276" w:lineRule="auto"/>
              <w:jc w:val="right"/>
              <w:rPr>
                <w:rFonts w:cs="Arial"/>
                <w:bCs/>
                <w:color w:val="000000"/>
                <w:sz w:val="22"/>
                <w:szCs w:val="22"/>
                <w:lang w:eastAsia="en-US"/>
              </w:rPr>
            </w:pPr>
            <w:r w:rsidRPr="00CF4514">
              <w:rPr>
                <w:rFonts w:cs="Arial"/>
                <w:color w:val="000000"/>
                <w:sz w:val="22"/>
                <w:szCs w:val="22"/>
                <w:lang w:eastAsia="en-US"/>
              </w:rPr>
              <w:t>26.762</w:t>
            </w:r>
          </w:p>
        </w:tc>
      </w:tr>
      <w:tr w:rsidR="00CF4514" w:rsidRPr="00CF4514" w14:paraId="68E1AC70"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B7841" w14:textId="77777777" w:rsidR="00CF4514" w:rsidRPr="00CF4514" w:rsidRDefault="00CF4514" w:rsidP="00CF4514">
            <w:pPr>
              <w:spacing w:after="200" w:line="276" w:lineRule="auto"/>
              <w:rPr>
                <w:rFonts w:cs="Arial"/>
                <w:color w:val="000000"/>
                <w:sz w:val="22"/>
                <w:szCs w:val="22"/>
                <w:lang w:eastAsia="en-US"/>
              </w:rPr>
            </w:pPr>
            <w:r w:rsidRPr="00CF4514">
              <w:rPr>
                <w:rFonts w:cs="Arial"/>
                <w:color w:val="000000"/>
                <w:sz w:val="22"/>
                <w:szCs w:val="22"/>
                <w:lang w:eastAsia="en-US"/>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12051" w14:textId="77777777" w:rsidR="00CF4514" w:rsidRPr="00CF4514" w:rsidRDefault="00CF4514" w:rsidP="00CF4514">
            <w:pPr>
              <w:spacing w:after="200" w:line="276" w:lineRule="auto"/>
              <w:jc w:val="right"/>
              <w:rPr>
                <w:rFonts w:cs="Arial"/>
                <w:color w:val="000000"/>
                <w:sz w:val="22"/>
                <w:szCs w:val="22"/>
                <w:lang w:eastAsia="en-US"/>
              </w:rPr>
            </w:pPr>
            <w:r w:rsidRPr="00CF4514">
              <w:rPr>
                <w:rFonts w:cs="Arial"/>
                <w:color w:val="000000"/>
                <w:sz w:val="22"/>
                <w:szCs w:val="22"/>
                <w:lang w:eastAsia="en-US"/>
              </w:rPr>
              <w:t>-10.245</w:t>
            </w:r>
          </w:p>
        </w:tc>
      </w:tr>
      <w:tr w:rsidR="00CF4514" w:rsidRPr="00CF4514" w14:paraId="1938AA0C" w14:textId="77777777" w:rsidTr="001D41C1">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A12126" w14:textId="77777777" w:rsidR="00CF4514" w:rsidRPr="00CF4514" w:rsidRDefault="00CF4514" w:rsidP="00CF4514">
            <w:pPr>
              <w:spacing w:after="200" w:line="276" w:lineRule="auto"/>
              <w:rPr>
                <w:rFonts w:cs="Arial"/>
                <w:color w:val="000000"/>
                <w:sz w:val="23"/>
                <w:szCs w:val="23"/>
                <w:lang w:eastAsia="en-US"/>
              </w:rPr>
            </w:pPr>
            <w:r w:rsidRPr="00CF4514">
              <w:rPr>
                <w:rFonts w:cs="Arial"/>
                <w:b/>
                <w:bCs/>
                <w:color w:val="000000"/>
                <w:sz w:val="23"/>
                <w:szCs w:val="23"/>
                <w:lang w:eastAsia="en-US"/>
              </w:rPr>
              <w:t>Revenue budget 2019/20</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818E31" w14:textId="77777777" w:rsidR="00CF4514" w:rsidRPr="00CF4514" w:rsidRDefault="00CF4514" w:rsidP="00CF4514">
            <w:pPr>
              <w:spacing w:after="200" w:line="276" w:lineRule="auto"/>
              <w:jc w:val="right"/>
              <w:rPr>
                <w:rFonts w:cs="Arial"/>
                <w:b/>
                <w:color w:val="000000"/>
                <w:sz w:val="23"/>
                <w:szCs w:val="23"/>
                <w:lang w:eastAsia="en-US"/>
              </w:rPr>
            </w:pPr>
            <w:r w:rsidRPr="00CF4514">
              <w:rPr>
                <w:rFonts w:cs="Arial"/>
                <w:b/>
                <w:color w:val="000000"/>
                <w:sz w:val="23"/>
                <w:szCs w:val="23"/>
                <w:lang w:eastAsia="en-US"/>
              </w:rPr>
              <w:t>802.275</w:t>
            </w:r>
          </w:p>
        </w:tc>
      </w:tr>
    </w:tbl>
    <w:p w14:paraId="3AFCE74B" w14:textId="77777777" w:rsidR="00C11669" w:rsidRPr="007C0AFF" w:rsidRDefault="00C11669" w:rsidP="00CC6DCE">
      <w:pPr>
        <w:spacing w:line="276" w:lineRule="auto"/>
        <w:jc w:val="both"/>
        <w:rPr>
          <w:rFonts w:cs="Arial"/>
          <w:szCs w:val="24"/>
          <w:highlight w:val="yellow"/>
        </w:rPr>
      </w:pPr>
    </w:p>
    <w:p w14:paraId="66EAD21D" w14:textId="29793D72" w:rsidR="0080180C" w:rsidRPr="004F5D98" w:rsidRDefault="0080180C" w:rsidP="00CC6DCE">
      <w:pPr>
        <w:spacing w:line="276" w:lineRule="auto"/>
        <w:jc w:val="both"/>
      </w:pPr>
    </w:p>
    <w:p w14:paraId="07BFBAE1" w14:textId="6D8317F4" w:rsidR="00004ACB" w:rsidRPr="004F5D98" w:rsidRDefault="00004ACB" w:rsidP="00620840">
      <w:pPr>
        <w:numPr>
          <w:ilvl w:val="0"/>
          <w:numId w:val="2"/>
        </w:numPr>
        <w:spacing w:line="276" w:lineRule="auto"/>
        <w:jc w:val="both"/>
        <w:rPr>
          <w:rFonts w:cs="Arial"/>
          <w:b/>
          <w:szCs w:val="24"/>
        </w:rPr>
      </w:pPr>
      <w:r w:rsidRPr="00FC7C0F">
        <w:rPr>
          <w:rFonts w:cs="Arial"/>
          <w:b/>
          <w:szCs w:val="24"/>
        </w:rPr>
        <w:t xml:space="preserve">Capital </w:t>
      </w:r>
      <w:r w:rsidR="00BC7C82">
        <w:rPr>
          <w:rFonts w:cs="Arial"/>
          <w:b/>
          <w:szCs w:val="24"/>
        </w:rPr>
        <w:t>Programme Delivery</w:t>
      </w:r>
      <w:r w:rsidRPr="00FC7C0F">
        <w:rPr>
          <w:rFonts w:cs="Arial"/>
          <w:b/>
          <w:szCs w:val="24"/>
        </w:rPr>
        <w:t xml:space="preserve"> </w:t>
      </w:r>
      <w:r w:rsidR="00042AE8" w:rsidRPr="00FC7C0F">
        <w:rPr>
          <w:rFonts w:cs="Arial"/>
          <w:b/>
          <w:szCs w:val="24"/>
        </w:rPr>
        <w:t>201</w:t>
      </w:r>
      <w:r w:rsidR="00FC7C0F" w:rsidRPr="00FC7C0F">
        <w:rPr>
          <w:rFonts w:cs="Arial"/>
          <w:b/>
          <w:szCs w:val="24"/>
        </w:rPr>
        <w:t>9/20</w:t>
      </w:r>
      <w:r w:rsidR="00620840" w:rsidRPr="00FC7C0F">
        <w:rPr>
          <w:rFonts w:cs="Arial"/>
          <w:b/>
          <w:szCs w:val="24"/>
        </w:rPr>
        <w:t xml:space="preserve"> </w:t>
      </w:r>
    </w:p>
    <w:p w14:paraId="6170FECA" w14:textId="77777777" w:rsidR="00004ACB" w:rsidRPr="004F5D98" w:rsidRDefault="00004ACB" w:rsidP="00620840">
      <w:pPr>
        <w:pStyle w:val="BodyText"/>
        <w:spacing w:line="276" w:lineRule="auto"/>
        <w:jc w:val="both"/>
        <w:rPr>
          <w:rFonts w:cs="Arial"/>
          <w:szCs w:val="24"/>
        </w:rPr>
      </w:pPr>
    </w:p>
    <w:p w14:paraId="46EB6CEE" w14:textId="423BBCD2" w:rsidR="00004ACB" w:rsidRPr="004F5D98" w:rsidRDefault="00BC7C82" w:rsidP="00620840">
      <w:pPr>
        <w:pStyle w:val="BodyText"/>
        <w:spacing w:line="276" w:lineRule="auto"/>
        <w:jc w:val="both"/>
        <w:rPr>
          <w:rFonts w:cs="Arial"/>
          <w:szCs w:val="24"/>
        </w:rPr>
      </w:pPr>
      <w:r>
        <w:rPr>
          <w:rFonts w:cs="Arial"/>
          <w:szCs w:val="24"/>
        </w:rPr>
        <w:t>The c</w:t>
      </w:r>
      <w:r w:rsidR="00004ACB" w:rsidRPr="004F5D98">
        <w:rPr>
          <w:rFonts w:cs="Arial"/>
          <w:szCs w:val="24"/>
        </w:rPr>
        <w:t xml:space="preserve">abinet </w:t>
      </w:r>
      <w:r w:rsidR="00004ACB" w:rsidRPr="004F5D98">
        <w:rPr>
          <w:rFonts w:cs="Arial"/>
          <w:b/>
          <w:szCs w:val="24"/>
        </w:rPr>
        <w:t>recommends</w:t>
      </w:r>
      <w:r w:rsidR="00004ACB" w:rsidRPr="004F5D98">
        <w:rPr>
          <w:rFonts w:cs="Arial"/>
          <w:szCs w:val="24"/>
        </w:rPr>
        <w:t xml:space="preserve"> the adoption of the proposals for the </w:t>
      </w:r>
      <w:r>
        <w:rPr>
          <w:rFonts w:cs="Arial"/>
          <w:szCs w:val="24"/>
        </w:rPr>
        <w:t>capital programme delivery</w:t>
      </w:r>
      <w:r w:rsidR="00004ACB" w:rsidRPr="004F5D98">
        <w:rPr>
          <w:rFonts w:cs="Arial"/>
          <w:szCs w:val="24"/>
        </w:rPr>
        <w:t xml:space="preserve"> 201</w:t>
      </w:r>
      <w:r w:rsidR="004F5D98">
        <w:rPr>
          <w:rFonts w:cs="Arial"/>
          <w:szCs w:val="24"/>
        </w:rPr>
        <w:t>9/20</w:t>
      </w:r>
      <w:r w:rsidR="00004ACB" w:rsidRPr="004F5D98">
        <w:rPr>
          <w:rFonts w:cs="Arial"/>
          <w:szCs w:val="24"/>
        </w:rPr>
        <w:t xml:space="preserve"> as set out at Appendix A.</w:t>
      </w:r>
    </w:p>
    <w:p w14:paraId="02AB7BF9" w14:textId="77777777" w:rsidR="00004ACB" w:rsidRPr="004F5D98" w:rsidRDefault="00004ACB" w:rsidP="00620840">
      <w:pPr>
        <w:spacing w:line="276" w:lineRule="auto"/>
        <w:jc w:val="both"/>
        <w:rPr>
          <w:rFonts w:cs="Arial"/>
          <w:b/>
          <w:szCs w:val="24"/>
        </w:rPr>
      </w:pPr>
    </w:p>
    <w:p w14:paraId="3A400F1D" w14:textId="22E4A349" w:rsidR="00CB5AF9" w:rsidRPr="004F5D98" w:rsidRDefault="00CB5AF9" w:rsidP="00620840">
      <w:pPr>
        <w:pStyle w:val="ListParagraph"/>
        <w:numPr>
          <w:ilvl w:val="0"/>
          <w:numId w:val="2"/>
        </w:numPr>
        <w:spacing w:line="276" w:lineRule="auto"/>
        <w:jc w:val="both"/>
        <w:rPr>
          <w:rFonts w:cs="Arial"/>
          <w:b/>
          <w:szCs w:val="24"/>
        </w:rPr>
      </w:pPr>
      <w:r w:rsidRPr="004F5D98">
        <w:rPr>
          <w:rFonts w:cs="Arial"/>
          <w:b/>
          <w:szCs w:val="24"/>
        </w:rPr>
        <w:t xml:space="preserve">Council Tax and </w:t>
      </w:r>
      <w:r w:rsidRPr="00FC7C0F">
        <w:rPr>
          <w:rFonts w:cs="Arial"/>
          <w:b/>
          <w:szCs w:val="24"/>
        </w:rPr>
        <w:t xml:space="preserve">Precept </w:t>
      </w:r>
      <w:r w:rsidR="00042AE8" w:rsidRPr="00FC7C0F">
        <w:rPr>
          <w:rFonts w:cs="Arial"/>
          <w:b/>
          <w:szCs w:val="24"/>
        </w:rPr>
        <w:t>201</w:t>
      </w:r>
      <w:r w:rsidR="00FC7C0F" w:rsidRPr="00FC7C0F">
        <w:rPr>
          <w:rFonts w:cs="Arial"/>
          <w:b/>
          <w:szCs w:val="24"/>
        </w:rPr>
        <w:t>9/20</w:t>
      </w:r>
    </w:p>
    <w:p w14:paraId="46909E1B" w14:textId="77777777" w:rsidR="00CB5AF9" w:rsidRPr="004F5D98" w:rsidRDefault="00CB5AF9" w:rsidP="00620840">
      <w:pPr>
        <w:spacing w:line="276" w:lineRule="auto"/>
        <w:jc w:val="both"/>
        <w:rPr>
          <w:rFonts w:cs="Arial"/>
          <w:szCs w:val="24"/>
        </w:rPr>
      </w:pPr>
    </w:p>
    <w:p w14:paraId="350E5218" w14:textId="51DB8CAC" w:rsidR="00CB5AF9" w:rsidRPr="004F5D98" w:rsidRDefault="00BC7C82" w:rsidP="00620840">
      <w:pPr>
        <w:spacing w:line="276" w:lineRule="auto"/>
        <w:jc w:val="both"/>
        <w:rPr>
          <w:rFonts w:cs="Arial"/>
          <w:szCs w:val="24"/>
        </w:rPr>
      </w:pPr>
      <w:r>
        <w:rPr>
          <w:rFonts w:cs="Arial"/>
          <w:szCs w:val="24"/>
        </w:rPr>
        <w:t>The c</w:t>
      </w:r>
      <w:r w:rsidR="00CB5AF9" w:rsidRPr="004F5D98">
        <w:rPr>
          <w:rFonts w:cs="Arial"/>
          <w:szCs w:val="24"/>
        </w:rPr>
        <w:t xml:space="preserve">abinet </w:t>
      </w:r>
      <w:r w:rsidR="00CB5AF9" w:rsidRPr="004F5D98">
        <w:rPr>
          <w:rFonts w:cs="Arial"/>
          <w:b/>
          <w:szCs w:val="24"/>
        </w:rPr>
        <w:t>recommend</w:t>
      </w:r>
      <w:r w:rsidR="00202A46" w:rsidRPr="004F5D98">
        <w:rPr>
          <w:rFonts w:cs="Arial"/>
          <w:b/>
          <w:szCs w:val="24"/>
        </w:rPr>
        <w:t>s</w:t>
      </w:r>
      <w:r w:rsidR="00CB5AF9" w:rsidRPr="004F5D98">
        <w:rPr>
          <w:rFonts w:cs="Arial"/>
          <w:szCs w:val="24"/>
        </w:rPr>
        <w:t xml:space="preserve"> the </w:t>
      </w:r>
      <w:r>
        <w:rPr>
          <w:rFonts w:cs="Arial"/>
          <w:szCs w:val="24"/>
        </w:rPr>
        <w:t>f</w:t>
      </w:r>
      <w:r w:rsidR="00FE1A63" w:rsidRPr="004F5D98">
        <w:rPr>
          <w:rFonts w:cs="Arial"/>
          <w:szCs w:val="24"/>
        </w:rPr>
        <w:t>ull</w:t>
      </w:r>
      <w:r w:rsidR="00CB5AF9" w:rsidRPr="004F5D98">
        <w:rPr>
          <w:rFonts w:cs="Arial"/>
          <w:szCs w:val="24"/>
        </w:rPr>
        <w:t xml:space="preserve"> </w:t>
      </w:r>
      <w:r>
        <w:rPr>
          <w:rFonts w:cs="Arial"/>
          <w:szCs w:val="24"/>
        </w:rPr>
        <w:t>c</w:t>
      </w:r>
      <w:r w:rsidR="00CB5AF9" w:rsidRPr="004F5D98">
        <w:rPr>
          <w:rFonts w:cs="Arial"/>
          <w:szCs w:val="24"/>
        </w:rPr>
        <w:t>ouncil to authorise, in pursuance of the provisions of the Local Government Finance Act 1992, and in order to me</w:t>
      </w:r>
      <w:r>
        <w:rPr>
          <w:rFonts w:cs="Arial"/>
          <w:szCs w:val="24"/>
        </w:rPr>
        <w:t>et the general expenses of the county c</w:t>
      </w:r>
      <w:r w:rsidR="00CB5AF9" w:rsidRPr="004F5D98">
        <w:rPr>
          <w:rFonts w:cs="Arial"/>
          <w:szCs w:val="24"/>
        </w:rPr>
        <w:t xml:space="preserve">ouncil for the financial year </w:t>
      </w:r>
      <w:r w:rsidR="001E6295" w:rsidRPr="004F5D98">
        <w:rPr>
          <w:rFonts w:cs="Arial"/>
          <w:szCs w:val="24"/>
        </w:rPr>
        <w:t>201</w:t>
      </w:r>
      <w:r w:rsidR="004F5D98" w:rsidRPr="004F5D98">
        <w:rPr>
          <w:rFonts w:cs="Arial"/>
          <w:szCs w:val="24"/>
        </w:rPr>
        <w:t>9/20</w:t>
      </w:r>
      <w:r w:rsidR="00703FA0" w:rsidRPr="004F5D98">
        <w:rPr>
          <w:rFonts w:cs="Arial"/>
          <w:szCs w:val="24"/>
        </w:rPr>
        <w:t>.</w:t>
      </w:r>
    </w:p>
    <w:p w14:paraId="017025DC" w14:textId="77777777" w:rsidR="00421E0F" w:rsidRPr="004F5D98" w:rsidRDefault="00421E0F" w:rsidP="00620840">
      <w:pPr>
        <w:spacing w:line="276" w:lineRule="auto"/>
        <w:jc w:val="both"/>
        <w:rPr>
          <w:rFonts w:cs="Arial"/>
          <w:szCs w:val="24"/>
        </w:rPr>
      </w:pPr>
    </w:p>
    <w:p w14:paraId="466912CF" w14:textId="0E669FA6" w:rsidR="00CB5AF9" w:rsidRPr="004F5D98" w:rsidRDefault="00CB5AF9" w:rsidP="00BB44AF">
      <w:pPr>
        <w:pStyle w:val="ListParagraph"/>
        <w:numPr>
          <w:ilvl w:val="0"/>
          <w:numId w:val="37"/>
        </w:numPr>
        <w:spacing w:line="276" w:lineRule="auto"/>
        <w:ind w:left="360"/>
        <w:jc w:val="both"/>
        <w:rPr>
          <w:rFonts w:cs="Arial"/>
          <w:szCs w:val="24"/>
        </w:rPr>
      </w:pPr>
      <w:r w:rsidRPr="004F5D98">
        <w:rPr>
          <w:rFonts w:cs="Arial"/>
          <w:szCs w:val="24"/>
        </w:rPr>
        <w:t>Budget</w:t>
      </w:r>
      <w:r w:rsidR="00FE1A63" w:rsidRPr="004F5D98">
        <w:rPr>
          <w:rFonts w:cs="Arial"/>
          <w:szCs w:val="24"/>
        </w:rPr>
        <w:t xml:space="preserve">, Council Tax </w:t>
      </w:r>
      <w:r w:rsidRPr="004F5D98">
        <w:rPr>
          <w:rFonts w:cs="Arial"/>
          <w:szCs w:val="24"/>
        </w:rPr>
        <w:t xml:space="preserve">Requirement and Precept for </w:t>
      </w:r>
      <w:r w:rsidR="001E6295" w:rsidRPr="004F5D98">
        <w:rPr>
          <w:rFonts w:cs="Arial"/>
          <w:szCs w:val="24"/>
        </w:rPr>
        <w:t>2018/19</w:t>
      </w:r>
      <w:r w:rsidRPr="004F5D98">
        <w:rPr>
          <w:rFonts w:cs="Arial"/>
          <w:szCs w:val="24"/>
        </w:rPr>
        <w:t>:</w:t>
      </w:r>
    </w:p>
    <w:p w14:paraId="4966FCB5" w14:textId="77777777" w:rsidR="00620840" w:rsidRPr="004F5D98" w:rsidRDefault="00F25140" w:rsidP="00620840">
      <w:pPr>
        <w:spacing w:line="276" w:lineRule="auto"/>
        <w:jc w:val="both"/>
        <w:rPr>
          <w:rFonts w:cs="Arial"/>
          <w:szCs w:val="24"/>
        </w:rPr>
      </w:pPr>
      <w:r w:rsidRPr="004F5D98">
        <w:rPr>
          <w:rFonts w:cs="Arial"/>
          <w:szCs w:val="24"/>
        </w:rPr>
        <w:t xml:space="preserve"> </w:t>
      </w:r>
    </w:p>
    <w:p w14:paraId="4F51C89C" w14:textId="0770B49E" w:rsidR="007870AE" w:rsidRPr="004F5D98" w:rsidRDefault="00F25140" w:rsidP="00BB44AF">
      <w:pPr>
        <w:spacing w:line="276" w:lineRule="auto"/>
        <w:ind w:firstLine="360"/>
        <w:jc w:val="both"/>
        <w:rPr>
          <w:rFonts w:cs="Arial"/>
          <w:szCs w:val="24"/>
        </w:rPr>
      </w:pPr>
      <w:r w:rsidRPr="004F5D98">
        <w:rPr>
          <w:rFonts w:cs="Arial"/>
          <w:szCs w:val="24"/>
        </w:rPr>
        <w:t>That the</w:t>
      </w:r>
      <w:r w:rsidR="007870AE" w:rsidRPr="004F5D98">
        <w:rPr>
          <w:rFonts w:cs="Arial"/>
          <w:szCs w:val="24"/>
        </w:rPr>
        <w:t xml:space="preserve"> band D</w:t>
      </w:r>
      <w:r w:rsidR="00BC7C82">
        <w:rPr>
          <w:rFonts w:cs="Arial"/>
          <w:szCs w:val="24"/>
        </w:rPr>
        <w:t xml:space="preserve"> c</w:t>
      </w:r>
      <w:r w:rsidRPr="004F5D98">
        <w:rPr>
          <w:rFonts w:cs="Arial"/>
          <w:szCs w:val="24"/>
        </w:rPr>
        <w:t xml:space="preserve">ouncil </w:t>
      </w:r>
      <w:r w:rsidR="00BC7C82">
        <w:rPr>
          <w:rFonts w:cs="Arial"/>
          <w:szCs w:val="24"/>
        </w:rPr>
        <w:t>t</w:t>
      </w:r>
      <w:r w:rsidRPr="004F5D98">
        <w:rPr>
          <w:rFonts w:cs="Arial"/>
          <w:szCs w:val="24"/>
        </w:rPr>
        <w:t xml:space="preserve">ax for </w:t>
      </w:r>
      <w:r w:rsidR="001E6295" w:rsidRPr="004F5D98">
        <w:rPr>
          <w:rFonts w:cs="Arial"/>
          <w:szCs w:val="24"/>
        </w:rPr>
        <w:t>201</w:t>
      </w:r>
      <w:r w:rsidR="004F5D98" w:rsidRPr="004F5D98">
        <w:rPr>
          <w:rFonts w:cs="Arial"/>
          <w:szCs w:val="24"/>
        </w:rPr>
        <w:t>9/20</w:t>
      </w:r>
      <w:r w:rsidRPr="004F5D98">
        <w:rPr>
          <w:rFonts w:cs="Arial"/>
          <w:szCs w:val="24"/>
        </w:rPr>
        <w:t xml:space="preserve"> is increased</w:t>
      </w:r>
      <w:r w:rsidR="007870AE" w:rsidRPr="004F5D98">
        <w:rPr>
          <w:rFonts w:cs="Arial"/>
          <w:szCs w:val="24"/>
        </w:rPr>
        <w:t xml:space="preserve"> by:</w:t>
      </w:r>
    </w:p>
    <w:p w14:paraId="374DB291" w14:textId="77777777" w:rsidR="007870AE" w:rsidRPr="004F5D98" w:rsidRDefault="007870AE" w:rsidP="00620840">
      <w:pPr>
        <w:spacing w:line="276" w:lineRule="auto"/>
        <w:jc w:val="both"/>
        <w:rPr>
          <w:rFonts w:cs="Arial"/>
          <w:szCs w:val="24"/>
        </w:rPr>
      </w:pPr>
    </w:p>
    <w:p w14:paraId="4E90A6F1" w14:textId="0D38E398" w:rsidR="00620840" w:rsidRPr="004F5D98" w:rsidRDefault="004F5D98" w:rsidP="00BB44AF">
      <w:pPr>
        <w:pStyle w:val="ListParagraph"/>
        <w:numPr>
          <w:ilvl w:val="0"/>
          <w:numId w:val="36"/>
        </w:numPr>
        <w:spacing w:line="276" w:lineRule="auto"/>
        <w:ind w:left="360"/>
        <w:jc w:val="both"/>
        <w:rPr>
          <w:rFonts w:cs="Arial"/>
          <w:szCs w:val="24"/>
        </w:rPr>
      </w:pPr>
      <w:r w:rsidRPr="004F5D98">
        <w:rPr>
          <w:rFonts w:cs="Arial"/>
          <w:szCs w:val="24"/>
        </w:rPr>
        <w:t>1</w:t>
      </w:r>
      <w:r w:rsidR="00FD4C0E" w:rsidRPr="004F5D98">
        <w:rPr>
          <w:rFonts w:cs="Arial"/>
          <w:szCs w:val="24"/>
        </w:rPr>
        <w:t xml:space="preserve">% for the </w:t>
      </w:r>
      <w:r w:rsidR="00BC7C82">
        <w:rPr>
          <w:rFonts w:cs="Arial"/>
          <w:szCs w:val="24"/>
        </w:rPr>
        <w:t>adult social care p</w:t>
      </w:r>
      <w:r w:rsidR="003F1626" w:rsidRPr="004F5D98">
        <w:rPr>
          <w:rFonts w:cs="Arial"/>
          <w:szCs w:val="24"/>
        </w:rPr>
        <w:t xml:space="preserve">recept </w:t>
      </w:r>
      <w:r w:rsidR="007870AE" w:rsidRPr="004F5D98">
        <w:rPr>
          <w:rFonts w:cs="Arial"/>
          <w:szCs w:val="24"/>
        </w:rPr>
        <w:t xml:space="preserve">being an </w:t>
      </w:r>
      <w:r w:rsidR="00FD4C0E" w:rsidRPr="004F5D98">
        <w:rPr>
          <w:rFonts w:cs="Arial"/>
          <w:szCs w:val="24"/>
        </w:rPr>
        <w:t xml:space="preserve">annual </w:t>
      </w:r>
      <w:r w:rsidR="007870AE" w:rsidRPr="00A1735C">
        <w:rPr>
          <w:rFonts w:cs="Arial"/>
          <w:szCs w:val="24"/>
        </w:rPr>
        <w:t>increase of £</w:t>
      </w:r>
      <w:r w:rsidR="00A1735C" w:rsidRPr="00A1735C">
        <w:rPr>
          <w:rFonts w:cs="Arial"/>
          <w:szCs w:val="24"/>
        </w:rPr>
        <w:t>12.95</w:t>
      </w:r>
      <w:r w:rsidR="00BC7C82">
        <w:rPr>
          <w:rFonts w:cs="Arial"/>
          <w:szCs w:val="24"/>
        </w:rPr>
        <w:t xml:space="preserve"> for b</w:t>
      </w:r>
      <w:r w:rsidR="00FD4C0E" w:rsidRPr="00A1735C">
        <w:rPr>
          <w:rFonts w:cs="Arial"/>
          <w:szCs w:val="24"/>
        </w:rPr>
        <w:t>and D council taxpayers.</w:t>
      </w:r>
    </w:p>
    <w:p w14:paraId="7C36D98F" w14:textId="298A328D" w:rsidR="00F25140" w:rsidRPr="007C0AFF" w:rsidRDefault="00F25140" w:rsidP="00BB44AF">
      <w:pPr>
        <w:spacing w:line="276" w:lineRule="auto"/>
        <w:ind w:firstLine="60"/>
        <w:jc w:val="both"/>
        <w:rPr>
          <w:rFonts w:cs="Arial"/>
          <w:szCs w:val="24"/>
          <w:highlight w:val="yellow"/>
        </w:rPr>
      </w:pPr>
    </w:p>
    <w:p w14:paraId="0A1DA661" w14:textId="0713FF01" w:rsidR="007870AE" w:rsidRPr="004F5D98" w:rsidRDefault="00FD4C0E" w:rsidP="00BB44AF">
      <w:pPr>
        <w:pStyle w:val="ListParagraph"/>
        <w:numPr>
          <w:ilvl w:val="0"/>
          <w:numId w:val="36"/>
        </w:numPr>
        <w:spacing w:line="276" w:lineRule="auto"/>
        <w:ind w:left="360"/>
        <w:jc w:val="both"/>
        <w:rPr>
          <w:rFonts w:cs="Arial"/>
          <w:szCs w:val="24"/>
        </w:rPr>
      </w:pPr>
      <w:r w:rsidRPr="004F5D98">
        <w:rPr>
          <w:rFonts w:cs="Arial"/>
          <w:szCs w:val="24"/>
        </w:rPr>
        <w:t xml:space="preserve">2.99% for </w:t>
      </w:r>
      <w:r w:rsidR="00BC7C82">
        <w:rPr>
          <w:rFonts w:cs="Arial"/>
          <w:szCs w:val="24"/>
        </w:rPr>
        <w:t>g</w:t>
      </w:r>
      <w:r w:rsidR="00215D93" w:rsidRPr="004F5D98">
        <w:rPr>
          <w:rFonts w:cs="Arial"/>
          <w:szCs w:val="24"/>
        </w:rPr>
        <w:t xml:space="preserve">eneral </w:t>
      </w:r>
      <w:r w:rsidR="00BC7C82">
        <w:rPr>
          <w:rFonts w:cs="Arial"/>
          <w:szCs w:val="24"/>
        </w:rPr>
        <w:t>c</w:t>
      </w:r>
      <w:r w:rsidR="00215D93" w:rsidRPr="004F5D98">
        <w:rPr>
          <w:rFonts w:cs="Arial"/>
          <w:szCs w:val="24"/>
        </w:rPr>
        <w:t xml:space="preserve">ouncil </w:t>
      </w:r>
      <w:r w:rsidR="00BC7C82">
        <w:rPr>
          <w:rFonts w:cs="Arial"/>
          <w:szCs w:val="24"/>
        </w:rPr>
        <w:t>t</w:t>
      </w:r>
      <w:r w:rsidR="00215D93" w:rsidRPr="004F5D98">
        <w:rPr>
          <w:rFonts w:cs="Arial"/>
          <w:szCs w:val="24"/>
        </w:rPr>
        <w:t xml:space="preserve">ax </w:t>
      </w:r>
      <w:r w:rsidR="007870AE" w:rsidRPr="004F5D98">
        <w:rPr>
          <w:rFonts w:cs="Arial"/>
          <w:szCs w:val="24"/>
        </w:rPr>
        <w:t xml:space="preserve">being an </w:t>
      </w:r>
      <w:r w:rsidRPr="004F5D98">
        <w:rPr>
          <w:rFonts w:cs="Arial"/>
          <w:szCs w:val="24"/>
        </w:rPr>
        <w:t xml:space="preserve">annual </w:t>
      </w:r>
      <w:r w:rsidR="007870AE" w:rsidRPr="00A1735C">
        <w:rPr>
          <w:rFonts w:cs="Arial"/>
          <w:szCs w:val="24"/>
        </w:rPr>
        <w:t>increase of £</w:t>
      </w:r>
      <w:r w:rsidR="00A1735C" w:rsidRPr="00A1735C">
        <w:rPr>
          <w:rFonts w:cs="Arial"/>
          <w:szCs w:val="24"/>
        </w:rPr>
        <w:t>38.72</w:t>
      </w:r>
      <w:r w:rsidR="00BC7C82">
        <w:rPr>
          <w:rFonts w:cs="Arial"/>
          <w:szCs w:val="24"/>
        </w:rPr>
        <w:t xml:space="preserve"> for b</w:t>
      </w:r>
      <w:r w:rsidRPr="00A1735C">
        <w:rPr>
          <w:rFonts w:cs="Arial"/>
          <w:szCs w:val="24"/>
        </w:rPr>
        <w:t>and</w:t>
      </w:r>
      <w:r w:rsidRPr="004F5D98">
        <w:rPr>
          <w:rFonts w:cs="Arial"/>
          <w:szCs w:val="24"/>
        </w:rPr>
        <w:t xml:space="preserve"> D council taxpayers.</w:t>
      </w:r>
    </w:p>
    <w:p w14:paraId="48035748" w14:textId="77777777" w:rsidR="00FE1A63" w:rsidRPr="007C0AFF" w:rsidRDefault="00FE1A63" w:rsidP="00620840">
      <w:pPr>
        <w:spacing w:line="276" w:lineRule="auto"/>
        <w:ind w:left="720"/>
        <w:jc w:val="both"/>
        <w:rPr>
          <w:rFonts w:cs="Arial"/>
          <w:szCs w:val="24"/>
          <w:highlight w:val="yellow"/>
        </w:rPr>
      </w:pPr>
    </w:p>
    <w:p w14:paraId="0EA686B3" w14:textId="52A98512" w:rsidR="007870AE" w:rsidRPr="004F5D98" w:rsidRDefault="007870AE" w:rsidP="00620840">
      <w:pPr>
        <w:spacing w:line="276" w:lineRule="auto"/>
        <w:jc w:val="both"/>
        <w:rPr>
          <w:rFonts w:cs="Arial"/>
          <w:szCs w:val="24"/>
        </w:rPr>
      </w:pPr>
      <w:r w:rsidRPr="004F5D98">
        <w:rPr>
          <w:rFonts w:cs="Arial"/>
          <w:szCs w:val="24"/>
        </w:rPr>
        <w:t>This gives an over</w:t>
      </w:r>
      <w:r w:rsidR="00620840" w:rsidRPr="004F5D98">
        <w:rPr>
          <w:rFonts w:cs="Arial"/>
          <w:szCs w:val="24"/>
        </w:rPr>
        <w:t>all position of:</w:t>
      </w:r>
    </w:p>
    <w:p w14:paraId="21E94FC9" w14:textId="77777777" w:rsidR="007870AE" w:rsidRPr="007C0AFF" w:rsidRDefault="007870AE" w:rsidP="00620840">
      <w:pPr>
        <w:spacing w:line="276" w:lineRule="auto"/>
        <w:ind w:left="720"/>
        <w:jc w:val="both"/>
        <w:rPr>
          <w:rFonts w:cs="Arial"/>
          <w:szCs w:val="24"/>
          <w:highlight w:val="yellow"/>
        </w:rPr>
      </w:pPr>
    </w:p>
    <w:tbl>
      <w:tblPr>
        <w:tblStyle w:val="TableGrid513"/>
        <w:tblW w:w="0" w:type="auto"/>
        <w:jc w:val="center"/>
        <w:tblLook w:val="04A0" w:firstRow="1" w:lastRow="0" w:firstColumn="1" w:lastColumn="0" w:noHBand="0" w:noVBand="1"/>
      </w:tblPr>
      <w:tblGrid>
        <w:gridCol w:w="5681"/>
        <w:gridCol w:w="2505"/>
      </w:tblGrid>
      <w:tr w:rsidR="00CF4514" w:rsidRPr="00CF4514" w14:paraId="502A9948" w14:textId="77777777" w:rsidTr="001D41C1">
        <w:trPr>
          <w:trHeight w:val="377"/>
          <w:jc w:val="center"/>
        </w:trPr>
        <w:tc>
          <w:tcPr>
            <w:tcW w:w="5681" w:type="dxa"/>
            <w:shd w:val="clear" w:color="auto" w:fill="BFBFBF" w:themeFill="background1" w:themeFillShade="BF"/>
            <w:vAlign w:val="center"/>
          </w:tcPr>
          <w:p w14:paraId="682AA494" w14:textId="77777777" w:rsidR="00CF4514" w:rsidRPr="00CF4514" w:rsidRDefault="00CF4514" w:rsidP="00CF4514">
            <w:pPr>
              <w:autoSpaceDE w:val="0"/>
              <w:autoSpaceDN w:val="0"/>
              <w:adjustRightInd w:val="0"/>
              <w:spacing w:line="276" w:lineRule="auto"/>
              <w:jc w:val="both"/>
              <w:rPr>
                <w:rFonts w:cs="Arial"/>
                <w:b/>
                <w:szCs w:val="24"/>
              </w:rPr>
            </w:pPr>
          </w:p>
        </w:tc>
        <w:tc>
          <w:tcPr>
            <w:tcW w:w="2505" w:type="dxa"/>
            <w:shd w:val="clear" w:color="auto" w:fill="BFBFBF" w:themeFill="background1" w:themeFillShade="BF"/>
            <w:vAlign w:val="center"/>
          </w:tcPr>
          <w:p w14:paraId="46F8C1AB" w14:textId="77777777" w:rsidR="00CF4514" w:rsidRPr="00CF4514" w:rsidRDefault="00CF4514" w:rsidP="00CF4514">
            <w:pPr>
              <w:autoSpaceDE w:val="0"/>
              <w:autoSpaceDN w:val="0"/>
              <w:adjustRightInd w:val="0"/>
              <w:spacing w:line="276" w:lineRule="auto"/>
              <w:jc w:val="center"/>
              <w:rPr>
                <w:rFonts w:cs="Arial"/>
                <w:b/>
                <w:szCs w:val="24"/>
              </w:rPr>
            </w:pPr>
            <w:r w:rsidRPr="00CF4514">
              <w:rPr>
                <w:rFonts w:cs="Arial"/>
                <w:b/>
                <w:szCs w:val="24"/>
              </w:rPr>
              <w:t>£m</w:t>
            </w:r>
          </w:p>
        </w:tc>
      </w:tr>
      <w:tr w:rsidR="00CF4514" w:rsidRPr="00CF4514" w14:paraId="07F214B2" w14:textId="77777777" w:rsidTr="001D41C1">
        <w:trPr>
          <w:trHeight w:val="377"/>
          <w:jc w:val="center"/>
        </w:trPr>
        <w:tc>
          <w:tcPr>
            <w:tcW w:w="5681" w:type="dxa"/>
            <w:shd w:val="clear" w:color="auto" w:fill="BFBFBF" w:themeFill="background1" w:themeFillShade="BF"/>
            <w:vAlign w:val="center"/>
          </w:tcPr>
          <w:p w14:paraId="0D474909" w14:textId="77777777" w:rsidR="00CF4514" w:rsidRPr="00CF4514" w:rsidRDefault="00CF4514" w:rsidP="00CF4514">
            <w:pPr>
              <w:autoSpaceDE w:val="0"/>
              <w:autoSpaceDN w:val="0"/>
              <w:adjustRightInd w:val="0"/>
              <w:spacing w:line="276" w:lineRule="auto"/>
              <w:jc w:val="both"/>
              <w:rPr>
                <w:rFonts w:cs="Arial"/>
                <w:b/>
                <w:szCs w:val="24"/>
              </w:rPr>
            </w:pPr>
            <w:r w:rsidRPr="00CF4514">
              <w:rPr>
                <w:rFonts w:cs="Arial"/>
                <w:b/>
                <w:szCs w:val="24"/>
              </w:rPr>
              <w:t>Budget Requirement</w:t>
            </w:r>
          </w:p>
        </w:tc>
        <w:tc>
          <w:tcPr>
            <w:tcW w:w="2505" w:type="dxa"/>
            <w:shd w:val="clear" w:color="auto" w:fill="BFBFBF" w:themeFill="background1" w:themeFillShade="BF"/>
            <w:vAlign w:val="center"/>
          </w:tcPr>
          <w:p w14:paraId="02C984A3" w14:textId="77777777" w:rsidR="00CF4514" w:rsidRPr="00CF4514" w:rsidRDefault="00CF4514" w:rsidP="00CF4514">
            <w:pPr>
              <w:autoSpaceDE w:val="0"/>
              <w:autoSpaceDN w:val="0"/>
              <w:adjustRightInd w:val="0"/>
              <w:spacing w:line="276" w:lineRule="auto"/>
              <w:jc w:val="center"/>
              <w:rPr>
                <w:rFonts w:cs="Arial"/>
                <w:b/>
                <w:szCs w:val="24"/>
              </w:rPr>
            </w:pPr>
            <w:r w:rsidRPr="00CF4514">
              <w:rPr>
                <w:rFonts w:cs="Arial"/>
                <w:b/>
                <w:szCs w:val="24"/>
              </w:rPr>
              <w:t>802.275</w:t>
            </w:r>
          </w:p>
        </w:tc>
      </w:tr>
      <w:tr w:rsidR="00CF4514" w:rsidRPr="00CF4514" w14:paraId="7B67077D" w14:textId="77777777" w:rsidTr="001D41C1">
        <w:trPr>
          <w:trHeight w:val="400"/>
          <w:jc w:val="center"/>
        </w:trPr>
        <w:tc>
          <w:tcPr>
            <w:tcW w:w="5681" w:type="dxa"/>
            <w:vAlign w:val="center"/>
          </w:tcPr>
          <w:p w14:paraId="6D109BF9"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color w:val="000000"/>
                <w:szCs w:val="24"/>
              </w:rPr>
              <w:t>Less Business Rates</w:t>
            </w:r>
          </w:p>
        </w:tc>
        <w:tc>
          <w:tcPr>
            <w:tcW w:w="2505" w:type="dxa"/>
            <w:vAlign w:val="center"/>
          </w:tcPr>
          <w:p w14:paraId="313C8FD7"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color w:val="000000"/>
                <w:szCs w:val="24"/>
              </w:rPr>
              <w:t>230.657</w:t>
            </w:r>
          </w:p>
        </w:tc>
      </w:tr>
      <w:tr w:rsidR="00CF4514" w:rsidRPr="00CF4514" w14:paraId="16A60B39" w14:textId="77777777" w:rsidTr="001D41C1">
        <w:trPr>
          <w:trHeight w:val="400"/>
          <w:jc w:val="center"/>
        </w:trPr>
        <w:tc>
          <w:tcPr>
            <w:tcW w:w="5681" w:type="dxa"/>
            <w:vAlign w:val="center"/>
          </w:tcPr>
          <w:p w14:paraId="3A974531"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color w:val="000000"/>
                <w:szCs w:val="24"/>
              </w:rPr>
              <w:t>Less Business Rates – Additional Levy</w:t>
            </w:r>
          </w:p>
        </w:tc>
        <w:tc>
          <w:tcPr>
            <w:tcW w:w="2505" w:type="dxa"/>
            <w:vAlign w:val="center"/>
          </w:tcPr>
          <w:p w14:paraId="5846292A"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color w:val="000000"/>
                <w:szCs w:val="24"/>
              </w:rPr>
              <w:t>2.860</w:t>
            </w:r>
          </w:p>
        </w:tc>
      </w:tr>
      <w:tr w:rsidR="00CF4514" w:rsidRPr="00CF4514" w14:paraId="2F62A922" w14:textId="77777777" w:rsidTr="001D41C1">
        <w:trPr>
          <w:trHeight w:val="400"/>
          <w:jc w:val="center"/>
        </w:trPr>
        <w:tc>
          <w:tcPr>
            <w:tcW w:w="5681" w:type="dxa"/>
            <w:vAlign w:val="center"/>
          </w:tcPr>
          <w:p w14:paraId="7B0950D0"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color w:val="000000"/>
                <w:szCs w:val="24"/>
              </w:rPr>
              <w:t>Less Business Rates – Pilot growth</w:t>
            </w:r>
          </w:p>
        </w:tc>
        <w:tc>
          <w:tcPr>
            <w:tcW w:w="2505" w:type="dxa"/>
            <w:vAlign w:val="center"/>
          </w:tcPr>
          <w:p w14:paraId="2F6E23DD"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color w:val="000000"/>
                <w:szCs w:val="24"/>
              </w:rPr>
              <w:t>2.886</w:t>
            </w:r>
          </w:p>
        </w:tc>
      </w:tr>
      <w:tr w:rsidR="00CF4514" w:rsidRPr="00CF4514" w14:paraId="2B729715" w14:textId="77777777" w:rsidTr="001D41C1">
        <w:trPr>
          <w:trHeight w:val="400"/>
          <w:jc w:val="center"/>
        </w:trPr>
        <w:tc>
          <w:tcPr>
            <w:tcW w:w="5681" w:type="dxa"/>
            <w:vAlign w:val="center"/>
          </w:tcPr>
          <w:p w14:paraId="76FF3AA4" w14:textId="77777777" w:rsidR="00CF4514" w:rsidRPr="00CF4514" w:rsidRDefault="00CF4514" w:rsidP="00CF4514">
            <w:pPr>
              <w:autoSpaceDE w:val="0"/>
              <w:autoSpaceDN w:val="0"/>
              <w:adjustRightInd w:val="0"/>
              <w:jc w:val="both"/>
              <w:rPr>
                <w:rFonts w:cs="Arial"/>
                <w:szCs w:val="24"/>
              </w:rPr>
            </w:pPr>
            <w:r w:rsidRPr="00CF4514">
              <w:rPr>
                <w:rFonts w:cs="Arial"/>
                <w:color w:val="000000"/>
                <w:szCs w:val="24"/>
              </w:rPr>
              <w:t>Less New Homes Bonus</w:t>
            </w:r>
          </w:p>
        </w:tc>
        <w:tc>
          <w:tcPr>
            <w:tcW w:w="2505" w:type="dxa"/>
            <w:vAlign w:val="center"/>
          </w:tcPr>
          <w:p w14:paraId="387995BF" w14:textId="77777777" w:rsidR="00CF4514" w:rsidRPr="00CF4514" w:rsidRDefault="00CF4514" w:rsidP="00CF4514">
            <w:pPr>
              <w:autoSpaceDE w:val="0"/>
              <w:autoSpaceDN w:val="0"/>
              <w:adjustRightInd w:val="0"/>
              <w:jc w:val="center"/>
              <w:rPr>
                <w:rFonts w:cs="Arial"/>
                <w:szCs w:val="24"/>
              </w:rPr>
            </w:pPr>
            <w:r w:rsidRPr="00CF4514">
              <w:rPr>
                <w:rFonts w:cs="Arial"/>
                <w:color w:val="000000"/>
                <w:szCs w:val="24"/>
              </w:rPr>
              <w:t>3.579</w:t>
            </w:r>
          </w:p>
        </w:tc>
      </w:tr>
      <w:tr w:rsidR="00CF4514" w:rsidRPr="00CF4514" w14:paraId="03306639" w14:textId="77777777" w:rsidTr="001D41C1">
        <w:trPr>
          <w:trHeight w:val="400"/>
          <w:jc w:val="center"/>
        </w:trPr>
        <w:tc>
          <w:tcPr>
            <w:tcW w:w="5681" w:type="dxa"/>
            <w:vAlign w:val="center"/>
          </w:tcPr>
          <w:p w14:paraId="661ABA2C" w14:textId="77777777" w:rsidR="00CF4514" w:rsidRPr="00CF4514" w:rsidRDefault="00CF4514" w:rsidP="00CF4514">
            <w:pPr>
              <w:autoSpaceDE w:val="0"/>
              <w:autoSpaceDN w:val="0"/>
              <w:adjustRightInd w:val="0"/>
              <w:jc w:val="both"/>
              <w:rPr>
                <w:rFonts w:cs="Arial"/>
                <w:szCs w:val="24"/>
              </w:rPr>
            </w:pPr>
            <w:r w:rsidRPr="00CF4514">
              <w:rPr>
                <w:rFonts w:cs="Arial"/>
                <w:color w:val="000000"/>
                <w:szCs w:val="24"/>
              </w:rPr>
              <w:t>Less Improved Better Care Fund</w:t>
            </w:r>
          </w:p>
        </w:tc>
        <w:tc>
          <w:tcPr>
            <w:tcW w:w="2505" w:type="dxa"/>
            <w:vAlign w:val="center"/>
          </w:tcPr>
          <w:p w14:paraId="2A651702" w14:textId="77777777" w:rsidR="00CF4514" w:rsidRPr="00CF4514" w:rsidRDefault="00CF4514" w:rsidP="00CF4514">
            <w:pPr>
              <w:autoSpaceDE w:val="0"/>
              <w:autoSpaceDN w:val="0"/>
              <w:adjustRightInd w:val="0"/>
              <w:jc w:val="center"/>
              <w:rPr>
                <w:rFonts w:cs="Arial"/>
                <w:szCs w:val="24"/>
              </w:rPr>
            </w:pPr>
            <w:r w:rsidRPr="00CF4514">
              <w:rPr>
                <w:rFonts w:cs="Arial"/>
                <w:szCs w:val="24"/>
              </w:rPr>
              <w:t>45.532</w:t>
            </w:r>
          </w:p>
        </w:tc>
      </w:tr>
      <w:tr w:rsidR="00CF4514" w:rsidRPr="00CF4514" w14:paraId="2E0DC880" w14:textId="77777777" w:rsidTr="001D41C1">
        <w:trPr>
          <w:trHeight w:val="400"/>
          <w:jc w:val="center"/>
        </w:trPr>
        <w:tc>
          <w:tcPr>
            <w:tcW w:w="5681" w:type="dxa"/>
            <w:vAlign w:val="center"/>
          </w:tcPr>
          <w:p w14:paraId="72CE388C" w14:textId="77777777" w:rsidR="00CF4514" w:rsidRPr="00CF4514" w:rsidRDefault="00CF4514" w:rsidP="00CF4514">
            <w:pPr>
              <w:autoSpaceDE w:val="0"/>
              <w:autoSpaceDN w:val="0"/>
              <w:adjustRightInd w:val="0"/>
              <w:jc w:val="both"/>
              <w:rPr>
                <w:rFonts w:cs="Arial"/>
                <w:szCs w:val="24"/>
              </w:rPr>
            </w:pPr>
            <w:r w:rsidRPr="00CF4514">
              <w:rPr>
                <w:rFonts w:cs="Arial"/>
                <w:color w:val="000000"/>
                <w:szCs w:val="24"/>
              </w:rPr>
              <w:t>Less Capital receipts</w:t>
            </w:r>
          </w:p>
        </w:tc>
        <w:tc>
          <w:tcPr>
            <w:tcW w:w="2505" w:type="dxa"/>
            <w:vAlign w:val="center"/>
          </w:tcPr>
          <w:p w14:paraId="6C5C5AA1" w14:textId="77777777" w:rsidR="00CF4514" w:rsidRPr="00CF4514" w:rsidRDefault="00CF4514" w:rsidP="00CF4514">
            <w:pPr>
              <w:autoSpaceDE w:val="0"/>
              <w:autoSpaceDN w:val="0"/>
              <w:adjustRightInd w:val="0"/>
              <w:jc w:val="center"/>
              <w:rPr>
                <w:rFonts w:cs="Arial"/>
                <w:szCs w:val="24"/>
              </w:rPr>
            </w:pPr>
            <w:r w:rsidRPr="00CF4514">
              <w:rPr>
                <w:rFonts w:cs="Arial"/>
                <w:color w:val="000000"/>
                <w:szCs w:val="24"/>
              </w:rPr>
              <w:t>8.000</w:t>
            </w:r>
          </w:p>
        </w:tc>
      </w:tr>
      <w:tr w:rsidR="00CF4514" w:rsidRPr="00CF4514" w14:paraId="2AAB6F60" w14:textId="77777777" w:rsidTr="001D41C1">
        <w:trPr>
          <w:trHeight w:val="400"/>
          <w:jc w:val="center"/>
        </w:trPr>
        <w:tc>
          <w:tcPr>
            <w:tcW w:w="5681" w:type="dxa"/>
            <w:vAlign w:val="center"/>
          </w:tcPr>
          <w:p w14:paraId="61D1B3A2" w14:textId="77777777" w:rsidR="00CF4514" w:rsidRPr="00CF4514" w:rsidRDefault="00CF4514" w:rsidP="00CF4514">
            <w:pPr>
              <w:autoSpaceDE w:val="0"/>
              <w:autoSpaceDN w:val="0"/>
              <w:adjustRightInd w:val="0"/>
              <w:jc w:val="both"/>
              <w:rPr>
                <w:rFonts w:cs="Arial"/>
                <w:szCs w:val="24"/>
              </w:rPr>
            </w:pPr>
            <w:r w:rsidRPr="00CF4514">
              <w:rPr>
                <w:rFonts w:cs="Arial"/>
                <w:color w:val="000000"/>
                <w:szCs w:val="24"/>
              </w:rPr>
              <w:t>Less Social Care Grant</w:t>
            </w:r>
          </w:p>
        </w:tc>
        <w:tc>
          <w:tcPr>
            <w:tcW w:w="2505" w:type="dxa"/>
            <w:vAlign w:val="center"/>
          </w:tcPr>
          <w:p w14:paraId="44E54596" w14:textId="77777777" w:rsidR="00CF4514" w:rsidRPr="00CF4514" w:rsidRDefault="00CF4514" w:rsidP="00CF4514">
            <w:pPr>
              <w:autoSpaceDE w:val="0"/>
              <w:autoSpaceDN w:val="0"/>
              <w:adjustRightInd w:val="0"/>
              <w:jc w:val="center"/>
              <w:rPr>
                <w:rFonts w:cs="Arial"/>
                <w:szCs w:val="24"/>
              </w:rPr>
            </w:pPr>
            <w:r w:rsidRPr="00CF4514">
              <w:rPr>
                <w:rFonts w:cs="Arial"/>
                <w:color w:val="000000"/>
                <w:szCs w:val="24"/>
              </w:rPr>
              <w:t>9.427</w:t>
            </w:r>
          </w:p>
        </w:tc>
      </w:tr>
      <w:tr w:rsidR="00CF4514" w:rsidRPr="00CF4514" w14:paraId="4DB1996E" w14:textId="77777777" w:rsidTr="001D41C1">
        <w:trPr>
          <w:trHeight w:val="400"/>
          <w:jc w:val="center"/>
        </w:trPr>
        <w:tc>
          <w:tcPr>
            <w:tcW w:w="5681" w:type="dxa"/>
            <w:vAlign w:val="center"/>
          </w:tcPr>
          <w:p w14:paraId="0DDC6E39" w14:textId="77777777" w:rsidR="00CF4514" w:rsidRPr="00CF4514" w:rsidRDefault="00CF4514" w:rsidP="00CF4514">
            <w:pPr>
              <w:autoSpaceDE w:val="0"/>
              <w:autoSpaceDN w:val="0"/>
              <w:adjustRightInd w:val="0"/>
              <w:jc w:val="both"/>
              <w:rPr>
                <w:rFonts w:cs="Arial"/>
                <w:szCs w:val="24"/>
              </w:rPr>
            </w:pPr>
            <w:r w:rsidRPr="00CF4514">
              <w:rPr>
                <w:rFonts w:cs="Arial"/>
                <w:color w:val="000000"/>
                <w:szCs w:val="24"/>
              </w:rPr>
              <w:t>Less Collection Fund Surplus</w:t>
            </w:r>
          </w:p>
        </w:tc>
        <w:tc>
          <w:tcPr>
            <w:tcW w:w="2505" w:type="dxa"/>
            <w:vAlign w:val="center"/>
          </w:tcPr>
          <w:p w14:paraId="5C7D4AF6" w14:textId="77777777" w:rsidR="00CF4514" w:rsidRPr="00CF4514" w:rsidRDefault="00CF4514" w:rsidP="00CF4514">
            <w:pPr>
              <w:autoSpaceDE w:val="0"/>
              <w:autoSpaceDN w:val="0"/>
              <w:adjustRightInd w:val="0"/>
              <w:jc w:val="center"/>
              <w:rPr>
                <w:rFonts w:cs="Arial"/>
                <w:szCs w:val="24"/>
              </w:rPr>
            </w:pPr>
            <w:r w:rsidRPr="00CF4514">
              <w:rPr>
                <w:rFonts w:cs="Arial"/>
                <w:color w:val="000000"/>
                <w:szCs w:val="24"/>
              </w:rPr>
              <w:t>5.436</w:t>
            </w:r>
          </w:p>
        </w:tc>
      </w:tr>
      <w:tr w:rsidR="00CF4514" w:rsidRPr="00CF4514" w14:paraId="66EA923E" w14:textId="77777777" w:rsidTr="001D41C1">
        <w:trPr>
          <w:trHeight w:val="400"/>
          <w:jc w:val="center"/>
        </w:trPr>
        <w:tc>
          <w:tcPr>
            <w:tcW w:w="5681" w:type="dxa"/>
            <w:vAlign w:val="center"/>
          </w:tcPr>
          <w:p w14:paraId="3157F78A" w14:textId="77777777" w:rsidR="00CF4514" w:rsidRPr="00CF4514" w:rsidRDefault="00CF4514" w:rsidP="00CF4514">
            <w:pPr>
              <w:autoSpaceDE w:val="0"/>
              <w:autoSpaceDN w:val="0"/>
              <w:adjustRightInd w:val="0"/>
              <w:spacing w:line="276" w:lineRule="auto"/>
              <w:jc w:val="both"/>
              <w:rPr>
                <w:rFonts w:cs="Arial"/>
                <w:b/>
                <w:szCs w:val="24"/>
              </w:rPr>
            </w:pPr>
            <w:r w:rsidRPr="00CF4514">
              <w:rPr>
                <w:rFonts w:cs="Arial"/>
                <w:b/>
                <w:szCs w:val="24"/>
              </w:rPr>
              <w:t>Equals council tax cash</w:t>
            </w:r>
          </w:p>
        </w:tc>
        <w:tc>
          <w:tcPr>
            <w:tcW w:w="2505" w:type="dxa"/>
            <w:vAlign w:val="center"/>
          </w:tcPr>
          <w:p w14:paraId="16C03629" w14:textId="77777777" w:rsidR="00CF4514" w:rsidRPr="00CF4514" w:rsidRDefault="00CF4514" w:rsidP="00CF4514">
            <w:pPr>
              <w:autoSpaceDE w:val="0"/>
              <w:autoSpaceDN w:val="0"/>
              <w:adjustRightInd w:val="0"/>
              <w:spacing w:line="276" w:lineRule="auto"/>
              <w:jc w:val="center"/>
              <w:rPr>
                <w:rFonts w:cs="Arial"/>
                <w:b/>
                <w:szCs w:val="24"/>
              </w:rPr>
            </w:pPr>
            <w:r w:rsidRPr="00CF4514">
              <w:rPr>
                <w:rFonts w:cs="Arial"/>
                <w:b/>
                <w:szCs w:val="24"/>
              </w:rPr>
              <w:t>493.898</w:t>
            </w:r>
          </w:p>
        </w:tc>
      </w:tr>
      <w:tr w:rsidR="00CF4514" w:rsidRPr="00CF4514" w14:paraId="546D4EE2" w14:textId="77777777" w:rsidTr="001D41C1">
        <w:trPr>
          <w:trHeight w:val="400"/>
          <w:jc w:val="center"/>
        </w:trPr>
        <w:tc>
          <w:tcPr>
            <w:tcW w:w="5681" w:type="dxa"/>
            <w:shd w:val="clear" w:color="auto" w:fill="BFBFBF" w:themeFill="background1" w:themeFillShade="BF"/>
            <w:vAlign w:val="center"/>
          </w:tcPr>
          <w:p w14:paraId="4FF93C13" w14:textId="77777777" w:rsidR="00CF4514" w:rsidRPr="00CF4514" w:rsidRDefault="00CF4514" w:rsidP="00CF4514">
            <w:pPr>
              <w:autoSpaceDE w:val="0"/>
              <w:autoSpaceDN w:val="0"/>
              <w:adjustRightInd w:val="0"/>
              <w:jc w:val="both"/>
              <w:rPr>
                <w:rFonts w:cs="Arial"/>
                <w:szCs w:val="24"/>
              </w:rPr>
            </w:pPr>
          </w:p>
        </w:tc>
        <w:tc>
          <w:tcPr>
            <w:tcW w:w="2505" w:type="dxa"/>
            <w:shd w:val="clear" w:color="auto" w:fill="BFBFBF" w:themeFill="background1" w:themeFillShade="BF"/>
            <w:vAlign w:val="center"/>
          </w:tcPr>
          <w:p w14:paraId="27827FCB" w14:textId="77777777" w:rsidR="00CF4514" w:rsidRPr="00CF4514" w:rsidRDefault="00CF4514" w:rsidP="00CF4514">
            <w:pPr>
              <w:autoSpaceDE w:val="0"/>
              <w:autoSpaceDN w:val="0"/>
              <w:adjustRightInd w:val="0"/>
              <w:jc w:val="center"/>
              <w:rPr>
                <w:rFonts w:cs="Arial"/>
                <w:szCs w:val="24"/>
              </w:rPr>
            </w:pPr>
          </w:p>
        </w:tc>
      </w:tr>
      <w:tr w:rsidR="00CF4514" w:rsidRPr="00CF4514" w14:paraId="466800FB" w14:textId="77777777" w:rsidTr="001D41C1">
        <w:trPr>
          <w:trHeight w:val="400"/>
          <w:jc w:val="center"/>
        </w:trPr>
        <w:tc>
          <w:tcPr>
            <w:tcW w:w="5681" w:type="dxa"/>
            <w:vAlign w:val="center"/>
          </w:tcPr>
          <w:p w14:paraId="00782087"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szCs w:val="24"/>
              </w:rPr>
              <w:t>Divided by tax base</w:t>
            </w:r>
          </w:p>
        </w:tc>
        <w:tc>
          <w:tcPr>
            <w:tcW w:w="2505" w:type="dxa"/>
            <w:vAlign w:val="center"/>
          </w:tcPr>
          <w:p w14:paraId="1B848827"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szCs w:val="24"/>
              </w:rPr>
              <w:t>366,777.14</w:t>
            </w:r>
          </w:p>
        </w:tc>
      </w:tr>
      <w:tr w:rsidR="00CF4514" w:rsidRPr="00CF4514" w14:paraId="63D3B832" w14:textId="77777777" w:rsidTr="001D41C1">
        <w:trPr>
          <w:trHeight w:val="400"/>
          <w:jc w:val="center"/>
        </w:trPr>
        <w:tc>
          <w:tcPr>
            <w:tcW w:w="5681" w:type="dxa"/>
            <w:vAlign w:val="center"/>
          </w:tcPr>
          <w:p w14:paraId="1EFA8719"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szCs w:val="24"/>
              </w:rPr>
              <w:t>Gives Band D council tax for 2019/20</w:t>
            </w:r>
          </w:p>
        </w:tc>
        <w:tc>
          <w:tcPr>
            <w:tcW w:w="2505" w:type="dxa"/>
            <w:vAlign w:val="center"/>
          </w:tcPr>
          <w:p w14:paraId="0C1D8714"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szCs w:val="24"/>
              </w:rPr>
              <w:t>1,346.59</w:t>
            </w:r>
          </w:p>
        </w:tc>
      </w:tr>
      <w:tr w:rsidR="00CF4514" w:rsidRPr="00CF4514" w14:paraId="0D17314F" w14:textId="77777777" w:rsidTr="001D41C1">
        <w:trPr>
          <w:trHeight w:val="400"/>
          <w:jc w:val="center"/>
        </w:trPr>
        <w:tc>
          <w:tcPr>
            <w:tcW w:w="5681" w:type="dxa"/>
            <w:vAlign w:val="center"/>
          </w:tcPr>
          <w:p w14:paraId="4C4E3D44" w14:textId="77777777" w:rsidR="00CF4514" w:rsidRPr="00CF4514" w:rsidRDefault="00CF4514" w:rsidP="00CF4514">
            <w:pPr>
              <w:autoSpaceDE w:val="0"/>
              <w:autoSpaceDN w:val="0"/>
              <w:adjustRightInd w:val="0"/>
              <w:spacing w:line="276" w:lineRule="auto"/>
              <w:jc w:val="both"/>
              <w:rPr>
                <w:rFonts w:cs="Arial"/>
                <w:szCs w:val="24"/>
              </w:rPr>
            </w:pPr>
            <w:r w:rsidRPr="00CF4514">
              <w:rPr>
                <w:rFonts w:cs="Arial"/>
                <w:szCs w:val="24"/>
              </w:rPr>
              <w:t>2018/19 council tax</w:t>
            </w:r>
          </w:p>
        </w:tc>
        <w:tc>
          <w:tcPr>
            <w:tcW w:w="2505" w:type="dxa"/>
            <w:vAlign w:val="center"/>
          </w:tcPr>
          <w:p w14:paraId="70913124" w14:textId="77777777" w:rsidR="00CF4514" w:rsidRPr="00CF4514" w:rsidRDefault="00CF4514" w:rsidP="00CF4514">
            <w:pPr>
              <w:autoSpaceDE w:val="0"/>
              <w:autoSpaceDN w:val="0"/>
              <w:adjustRightInd w:val="0"/>
              <w:spacing w:line="276" w:lineRule="auto"/>
              <w:jc w:val="center"/>
              <w:rPr>
                <w:rFonts w:cs="Arial"/>
                <w:szCs w:val="24"/>
              </w:rPr>
            </w:pPr>
            <w:r w:rsidRPr="00CF4514">
              <w:rPr>
                <w:rFonts w:cs="Arial"/>
                <w:szCs w:val="24"/>
              </w:rPr>
              <w:t>1,294.92</w:t>
            </w:r>
          </w:p>
        </w:tc>
      </w:tr>
      <w:tr w:rsidR="00CF4514" w:rsidRPr="00CF4514" w14:paraId="39EE3827" w14:textId="77777777" w:rsidTr="001D41C1">
        <w:trPr>
          <w:trHeight w:val="400"/>
          <w:jc w:val="center"/>
        </w:trPr>
        <w:tc>
          <w:tcPr>
            <w:tcW w:w="5681" w:type="dxa"/>
            <w:vAlign w:val="center"/>
          </w:tcPr>
          <w:p w14:paraId="4DCB67A9" w14:textId="77777777" w:rsidR="00CF4514" w:rsidRPr="00CF4514" w:rsidRDefault="00CF4514" w:rsidP="00CF4514">
            <w:pPr>
              <w:autoSpaceDE w:val="0"/>
              <w:autoSpaceDN w:val="0"/>
              <w:adjustRightInd w:val="0"/>
              <w:spacing w:line="276" w:lineRule="auto"/>
              <w:jc w:val="both"/>
              <w:rPr>
                <w:rFonts w:cs="Arial"/>
                <w:b/>
                <w:szCs w:val="24"/>
              </w:rPr>
            </w:pPr>
            <w:r w:rsidRPr="00CF4514">
              <w:rPr>
                <w:rFonts w:cs="Arial"/>
                <w:b/>
                <w:szCs w:val="24"/>
              </w:rPr>
              <w:t>Percentage increase</w:t>
            </w:r>
          </w:p>
        </w:tc>
        <w:tc>
          <w:tcPr>
            <w:tcW w:w="2505" w:type="dxa"/>
            <w:vAlign w:val="center"/>
          </w:tcPr>
          <w:p w14:paraId="0F548E92" w14:textId="77777777" w:rsidR="00CF4514" w:rsidRPr="00CF4514" w:rsidRDefault="00CF4514" w:rsidP="00CF4514">
            <w:pPr>
              <w:autoSpaceDE w:val="0"/>
              <w:autoSpaceDN w:val="0"/>
              <w:adjustRightInd w:val="0"/>
              <w:spacing w:line="276" w:lineRule="auto"/>
              <w:jc w:val="center"/>
              <w:rPr>
                <w:rFonts w:cs="Arial"/>
                <w:b/>
                <w:szCs w:val="24"/>
              </w:rPr>
            </w:pPr>
            <w:r w:rsidRPr="00CF4514">
              <w:rPr>
                <w:rFonts w:cs="Arial"/>
                <w:b/>
                <w:szCs w:val="24"/>
              </w:rPr>
              <w:t>3.99%</w:t>
            </w:r>
          </w:p>
        </w:tc>
      </w:tr>
    </w:tbl>
    <w:p w14:paraId="6A8493B6" w14:textId="6091DC74" w:rsidR="00620840" w:rsidRPr="007C0AFF" w:rsidRDefault="00620840" w:rsidP="00620840">
      <w:pPr>
        <w:spacing w:line="276" w:lineRule="auto"/>
        <w:ind w:left="720"/>
        <w:jc w:val="both"/>
        <w:rPr>
          <w:rFonts w:cs="Arial"/>
          <w:szCs w:val="24"/>
          <w:highlight w:val="yellow"/>
        </w:rPr>
      </w:pPr>
    </w:p>
    <w:p w14:paraId="6CCFBE78" w14:textId="59C2AA9D" w:rsidR="00832FC8" w:rsidRPr="00E24804" w:rsidRDefault="00314E5B" w:rsidP="00832FC8">
      <w:pPr>
        <w:rPr>
          <w:rFonts w:cs="Arial"/>
          <w:szCs w:val="24"/>
        </w:rPr>
      </w:pPr>
      <w:r w:rsidRPr="00FC7C0F">
        <w:rPr>
          <w:rFonts w:cs="Arial"/>
          <w:szCs w:val="24"/>
        </w:rPr>
        <w:br w:type="page"/>
      </w:r>
      <w:r w:rsidR="00832FC8" w:rsidRPr="00FC7C0F">
        <w:rPr>
          <w:rFonts w:cs="Arial"/>
          <w:szCs w:val="24"/>
        </w:rPr>
        <w:t xml:space="preserve">b) </w:t>
      </w:r>
      <w:r w:rsidR="00832FC8" w:rsidRPr="00FC7C0F">
        <w:rPr>
          <w:rFonts w:cs="Arial"/>
          <w:szCs w:val="24"/>
        </w:rPr>
        <w:tab/>
      </w:r>
      <w:r w:rsidR="00CB5AF9" w:rsidRPr="00FC7C0F">
        <w:rPr>
          <w:rFonts w:cs="Arial"/>
          <w:szCs w:val="24"/>
        </w:rPr>
        <w:t xml:space="preserve">Council </w:t>
      </w:r>
      <w:r w:rsidR="00622FF6" w:rsidRPr="00FC7C0F">
        <w:rPr>
          <w:rFonts w:cs="Arial"/>
          <w:szCs w:val="24"/>
        </w:rPr>
        <w:t>Tax</w:t>
      </w:r>
      <w:r w:rsidR="00CB5AF9" w:rsidRPr="00FC7C0F">
        <w:rPr>
          <w:rFonts w:cs="Arial"/>
          <w:szCs w:val="24"/>
        </w:rPr>
        <w:t xml:space="preserve"> (on the ba</w:t>
      </w:r>
      <w:r w:rsidR="00E24804">
        <w:rPr>
          <w:rFonts w:cs="Arial"/>
          <w:szCs w:val="24"/>
        </w:rPr>
        <w:t xml:space="preserve">sis of a budget </w:t>
      </w:r>
      <w:r w:rsidR="00CF4514">
        <w:rPr>
          <w:rFonts w:cs="Arial"/>
          <w:szCs w:val="24"/>
        </w:rPr>
        <w:t>requirement of £802.275</w:t>
      </w:r>
      <w:r w:rsidR="00CB5AF9" w:rsidRPr="00E24804">
        <w:rPr>
          <w:rFonts w:cs="Arial"/>
          <w:szCs w:val="24"/>
        </w:rPr>
        <w:t xml:space="preserve">m and the </w:t>
      </w:r>
      <w:r w:rsidR="00622FF6" w:rsidRPr="00E24804">
        <w:rPr>
          <w:rFonts w:cs="Arial"/>
          <w:szCs w:val="24"/>
        </w:rPr>
        <w:t>Co</w:t>
      </w:r>
      <w:r w:rsidR="00CB5AF9" w:rsidRPr="00E24804">
        <w:rPr>
          <w:rFonts w:cs="Arial"/>
          <w:szCs w:val="24"/>
        </w:rPr>
        <w:t>un</w:t>
      </w:r>
      <w:r w:rsidR="00E625C1" w:rsidRPr="00E24804">
        <w:rPr>
          <w:rFonts w:cs="Arial"/>
          <w:szCs w:val="24"/>
        </w:rPr>
        <w:t>cil</w:t>
      </w:r>
      <w:r w:rsidR="00CB5AF9" w:rsidRPr="00E24804">
        <w:rPr>
          <w:rFonts w:cs="Arial"/>
          <w:szCs w:val="24"/>
        </w:rPr>
        <w:t xml:space="preserve"> </w:t>
      </w:r>
    </w:p>
    <w:p w14:paraId="5E434455" w14:textId="0061ABBA" w:rsidR="00FC7C0F" w:rsidRPr="00FC7C0F" w:rsidRDefault="00622FF6" w:rsidP="00FC7C0F">
      <w:pPr>
        <w:ind w:left="709"/>
        <w:rPr>
          <w:rFonts w:cs="Arial"/>
          <w:szCs w:val="24"/>
        </w:rPr>
      </w:pPr>
      <w:r w:rsidRPr="00E24804">
        <w:rPr>
          <w:rFonts w:cs="Arial"/>
          <w:szCs w:val="24"/>
        </w:rPr>
        <w:t>T</w:t>
      </w:r>
      <w:r w:rsidR="00CB5AF9" w:rsidRPr="00E24804">
        <w:rPr>
          <w:rFonts w:cs="Arial"/>
          <w:szCs w:val="24"/>
        </w:rPr>
        <w:t xml:space="preserve">ax </w:t>
      </w:r>
      <w:r w:rsidR="00E625C1" w:rsidRPr="00E24804">
        <w:rPr>
          <w:rFonts w:cs="Arial"/>
          <w:szCs w:val="24"/>
        </w:rPr>
        <w:t>b</w:t>
      </w:r>
      <w:r w:rsidR="009A51EB" w:rsidRPr="00E24804">
        <w:rPr>
          <w:rFonts w:cs="Arial"/>
          <w:szCs w:val="24"/>
        </w:rPr>
        <w:t xml:space="preserve">ase </w:t>
      </w:r>
      <w:r w:rsidR="00CB5AF9" w:rsidRPr="00E24804">
        <w:rPr>
          <w:rFonts w:cs="Arial"/>
          <w:szCs w:val="24"/>
        </w:rPr>
        <w:t>for each property valuation band:</w:t>
      </w:r>
    </w:p>
    <w:p w14:paraId="181277A9" w14:textId="77777777" w:rsidR="00620840" w:rsidRPr="00FC7C0F" w:rsidRDefault="00620840" w:rsidP="00620840">
      <w:pPr>
        <w:pStyle w:val="BodyTextIndent"/>
        <w:spacing w:line="276" w:lineRule="auto"/>
        <w:jc w:val="both"/>
        <w:rPr>
          <w:rFonts w:cs="Arial"/>
          <w:b w:val="0"/>
          <w:szCs w:val="24"/>
        </w:rPr>
      </w:pPr>
    </w:p>
    <w:tbl>
      <w:tblPr>
        <w:tblW w:w="0" w:type="auto"/>
        <w:tblInd w:w="1728" w:type="dxa"/>
        <w:tblLayout w:type="fixed"/>
        <w:tblLook w:val="0000" w:firstRow="0" w:lastRow="0" w:firstColumn="0" w:lastColumn="0" w:noHBand="0" w:noVBand="0"/>
      </w:tblPr>
      <w:tblGrid>
        <w:gridCol w:w="4805"/>
        <w:gridCol w:w="2184"/>
      </w:tblGrid>
      <w:tr w:rsidR="00CB5AF9" w:rsidRPr="00FC7C0F" w14:paraId="260BDF3C" w14:textId="77777777" w:rsidTr="00A030CD">
        <w:trPr>
          <w:trHeight w:val="60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7A30A" w14:textId="537358E1" w:rsidR="00CB5AF9" w:rsidRPr="00FC7C0F" w:rsidRDefault="00620840" w:rsidP="00A030CD">
            <w:pPr>
              <w:jc w:val="both"/>
              <w:rPr>
                <w:rFonts w:cs="Arial"/>
                <w:b/>
                <w:sz w:val="22"/>
                <w:szCs w:val="22"/>
              </w:rPr>
            </w:pPr>
            <w:r w:rsidRPr="00FC7C0F">
              <w:rPr>
                <w:rFonts w:cs="Arial"/>
                <w:b/>
                <w:sz w:val="22"/>
                <w:szCs w:val="22"/>
              </w:rPr>
              <w:t>Council Tax Band</w:t>
            </w:r>
          </w:p>
        </w:tc>
        <w:tc>
          <w:tcPr>
            <w:tcW w:w="2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6A599" w14:textId="2A6DDB35" w:rsidR="00CB5AF9" w:rsidRPr="00FC7C0F" w:rsidRDefault="00CB5AF9" w:rsidP="00A030CD">
            <w:pPr>
              <w:jc w:val="center"/>
              <w:rPr>
                <w:rFonts w:cs="Arial"/>
                <w:b/>
                <w:sz w:val="22"/>
                <w:szCs w:val="22"/>
              </w:rPr>
            </w:pPr>
            <w:r w:rsidRPr="00FC7C0F">
              <w:rPr>
                <w:rFonts w:cs="Arial"/>
                <w:b/>
                <w:sz w:val="22"/>
                <w:szCs w:val="22"/>
              </w:rPr>
              <w:t>£</w:t>
            </w:r>
          </w:p>
        </w:tc>
      </w:tr>
      <w:tr w:rsidR="00FC7C0F" w:rsidRPr="00FC7C0F" w14:paraId="6830E8A2"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07FD5FE" w14:textId="77777777" w:rsidR="00FC7C0F" w:rsidRPr="00FC7C0F" w:rsidRDefault="00FC7C0F" w:rsidP="00FC7C0F">
            <w:pPr>
              <w:spacing w:line="276" w:lineRule="auto"/>
              <w:jc w:val="both"/>
              <w:rPr>
                <w:rFonts w:cs="Arial"/>
                <w:sz w:val="22"/>
                <w:szCs w:val="22"/>
              </w:rPr>
            </w:pPr>
            <w:bookmarkStart w:id="0" w:name="OLE_LINK1"/>
            <w:r w:rsidRPr="00FC7C0F">
              <w:rPr>
                <w:rFonts w:cs="Arial"/>
                <w:sz w:val="22"/>
                <w:szCs w:val="22"/>
              </w:rPr>
              <w:t>Band A</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34138E8" w14:textId="7F323F82" w:rsidR="00FC7C0F" w:rsidRPr="00FC7C0F" w:rsidRDefault="00FC7C0F" w:rsidP="005E1344">
            <w:pPr>
              <w:spacing w:line="276" w:lineRule="auto"/>
              <w:jc w:val="right"/>
              <w:rPr>
                <w:rFonts w:cs="Arial"/>
                <w:snapToGrid w:val="0"/>
                <w:color w:val="000000"/>
                <w:sz w:val="22"/>
                <w:szCs w:val="22"/>
              </w:rPr>
            </w:pPr>
            <w:r w:rsidRPr="00FC7C0F">
              <w:t xml:space="preserve"> 897.7</w:t>
            </w:r>
            <w:r w:rsidR="005E1344">
              <w:t>3</w:t>
            </w:r>
            <w:r w:rsidRPr="00FC7C0F">
              <w:t xml:space="preserve"> </w:t>
            </w:r>
          </w:p>
        </w:tc>
      </w:tr>
      <w:tr w:rsidR="00FC7C0F" w:rsidRPr="00FC7C0F" w14:paraId="1D4EDDB6"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7596C37" w14:textId="77777777" w:rsidR="00FC7C0F" w:rsidRPr="00FC7C0F" w:rsidRDefault="00FC7C0F" w:rsidP="00FC7C0F">
            <w:pPr>
              <w:spacing w:line="276" w:lineRule="auto"/>
              <w:jc w:val="both"/>
              <w:rPr>
                <w:rFonts w:cs="Arial"/>
                <w:sz w:val="22"/>
                <w:szCs w:val="22"/>
              </w:rPr>
            </w:pPr>
            <w:r w:rsidRPr="00FC7C0F">
              <w:rPr>
                <w:rFonts w:cs="Arial"/>
                <w:sz w:val="22"/>
                <w:szCs w:val="22"/>
              </w:rPr>
              <w:t>Band B</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7C9939E4" w14:textId="3EEEE179" w:rsidR="00FC7C0F" w:rsidRPr="00FC7C0F" w:rsidRDefault="00FC7C0F" w:rsidP="005E1344">
            <w:pPr>
              <w:spacing w:line="276" w:lineRule="auto"/>
              <w:jc w:val="right"/>
              <w:rPr>
                <w:rFonts w:cs="Arial"/>
                <w:snapToGrid w:val="0"/>
                <w:color w:val="000000"/>
                <w:sz w:val="22"/>
                <w:szCs w:val="22"/>
              </w:rPr>
            </w:pPr>
            <w:r w:rsidRPr="00FC7C0F">
              <w:t xml:space="preserve"> 1,047.3</w:t>
            </w:r>
            <w:r w:rsidR="005E1344">
              <w:t>5</w:t>
            </w:r>
            <w:r w:rsidRPr="00FC7C0F">
              <w:t xml:space="preserve"> </w:t>
            </w:r>
          </w:p>
        </w:tc>
      </w:tr>
      <w:tr w:rsidR="00FC7C0F" w:rsidRPr="00FC7C0F" w14:paraId="2818259F"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759C4896" w14:textId="77777777" w:rsidR="00FC7C0F" w:rsidRPr="00FC7C0F" w:rsidRDefault="00FC7C0F" w:rsidP="00FC7C0F">
            <w:pPr>
              <w:spacing w:line="276" w:lineRule="auto"/>
              <w:jc w:val="both"/>
              <w:rPr>
                <w:rFonts w:cs="Arial"/>
                <w:sz w:val="22"/>
                <w:szCs w:val="22"/>
              </w:rPr>
            </w:pPr>
            <w:r w:rsidRPr="00FC7C0F">
              <w:rPr>
                <w:rFonts w:cs="Arial"/>
                <w:sz w:val="22"/>
                <w:szCs w:val="22"/>
              </w:rPr>
              <w:t>Band C</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0799888C" w14:textId="06F84779" w:rsidR="00FC7C0F" w:rsidRPr="00FC7C0F" w:rsidRDefault="00FC7C0F" w:rsidP="00FC7C0F">
            <w:pPr>
              <w:spacing w:line="276" w:lineRule="auto"/>
              <w:jc w:val="right"/>
              <w:rPr>
                <w:rFonts w:cs="Arial"/>
                <w:snapToGrid w:val="0"/>
                <w:color w:val="000000"/>
                <w:sz w:val="22"/>
                <w:szCs w:val="22"/>
              </w:rPr>
            </w:pPr>
            <w:r w:rsidRPr="00FC7C0F">
              <w:t xml:space="preserve"> 1,196.97 </w:t>
            </w:r>
          </w:p>
        </w:tc>
      </w:tr>
      <w:tr w:rsidR="00FC7C0F" w:rsidRPr="00FC7C0F" w14:paraId="01CAC4A6"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41681888" w14:textId="77777777" w:rsidR="00FC7C0F" w:rsidRPr="00FC7C0F" w:rsidRDefault="00FC7C0F" w:rsidP="00FC7C0F">
            <w:pPr>
              <w:spacing w:line="276" w:lineRule="auto"/>
              <w:jc w:val="both"/>
              <w:rPr>
                <w:rFonts w:cs="Arial"/>
                <w:b/>
                <w:sz w:val="22"/>
                <w:szCs w:val="22"/>
              </w:rPr>
            </w:pPr>
            <w:r w:rsidRPr="00FC7C0F">
              <w:rPr>
                <w:rFonts w:cs="Arial"/>
                <w:b/>
                <w:sz w:val="22"/>
                <w:szCs w:val="22"/>
              </w:rPr>
              <w:t>Band D (basic)</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5181F618" w14:textId="480FEB13" w:rsidR="00FC7C0F" w:rsidRPr="00FC7C0F" w:rsidRDefault="00FC7C0F" w:rsidP="00FC7C0F">
            <w:pPr>
              <w:spacing w:line="276" w:lineRule="auto"/>
              <w:jc w:val="right"/>
              <w:rPr>
                <w:rFonts w:cs="Arial"/>
                <w:b/>
                <w:snapToGrid w:val="0"/>
                <w:color w:val="000000"/>
                <w:sz w:val="22"/>
                <w:szCs w:val="22"/>
              </w:rPr>
            </w:pPr>
            <w:r w:rsidRPr="00FC7C0F">
              <w:t xml:space="preserve"> 1,346.59 </w:t>
            </w:r>
          </w:p>
        </w:tc>
      </w:tr>
      <w:tr w:rsidR="00FC7C0F" w:rsidRPr="00FC7C0F" w14:paraId="5F8A4D28"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AE6C42F" w14:textId="77777777" w:rsidR="00FC7C0F" w:rsidRPr="00FC7C0F" w:rsidRDefault="00FC7C0F" w:rsidP="00FC7C0F">
            <w:pPr>
              <w:spacing w:line="276" w:lineRule="auto"/>
              <w:jc w:val="both"/>
              <w:rPr>
                <w:rFonts w:cs="Arial"/>
                <w:sz w:val="22"/>
                <w:szCs w:val="22"/>
              </w:rPr>
            </w:pPr>
            <w:r w:rsidRPr="00FC7C0F">
              <w:rPr>
                <w:rFonts w:cs="Arial"/>
                <w:sz w:val="22"/>
                <w:szCs w:val="22"/>
              </w:rPr>
              <w:t>Band E</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62011B89" w14:textId="6BDA93A1" w:rsidR="00FC7C0F" w:rsidRPr="00FC7C0F" w:rsidRDefault="00FC7C0F" w:rsidP="00FC7C0F">
            <w:pPr>
              <w:spacing w:line="276" w:lineRule="auto"/>
              <w:jc w:val="right"/>
              <w:rPr>
                <w:rFonts w:cs="Arial"/>
                <w:snapToGrid w:val="0"/>
                <w:color w:val="000000"/>
                <w:sz w:val="22"/>
                <w:szCs w:val="22"/>
              </w:rPr>
            </w:pPr>
            <w:r w:rsidRPr="00FC7C0F">
              <w:t xml:space="preserve"> 1,645.83 </w:t>
            </w:r>
          </w:p>
        </w:tc>
      </w:tr>
      <w:tr w:rsidR="00FC7C0F" w:rsidRPr="00FC7C0F" w14:paraId="73016BE6"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7BED112" w14:textId="77777777" w:rsidR="00FC7C0F" w:rsidRPr="00FC7C0F" w:rsidRDefault="00FC7C0F" w:rsidP="00FC7C0F">
            <w:pPr>
              <w:spacing w:line="276" w:lineRule="auto"/>
              <w:jc w:val="both"/>
              <w:rPr>
                <w:rFonts w:cs="Arial"/>
                <w:sz w:val="22"/>
                <w:szCs w:val="22"/>
              </w:rPr>
            </w:pPr>
            <w:r w:rsidRPr="00FC7C0F">
              <w:rPr>
                <w:rFonts w:cs="Arial"/>
                <w:sz w:val="22"/>
                <w:szCs w:val="22"/>
              </w:rPr>
              <w:t>Band F</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E677BB3" w14:textId="2FE25897" w:rsidR="00FC7C0F" w:rsidRPr="00FC7C0F" w:rsidRDefault="00FC7C0F" w:rsidP="00FC7C0F">
            <w:pPr>
              <w:spacing w:line="276" w:lineRule="auto"/>
              <w:jc w:val="right"/>
              <w:rPr>
                <w:rFonts w:cs="Arial"/>
                <w:snapToGrid w:val="0"/>
                <w:color w:val="000000"/>
                <w:sz w:val="22"/>
                <w:szCs w:val="22"/>
              </w:rPr>
            </w:pPr>
            <w:r w:rsidRPr="00FC7C0F">
              <w:t xml:space="preserve"> 1,945.07 </w:t>
            </w:r>
          </w:p>
        </w:tc>
      </w:tr>
      <w:tr w:rsidR="00FC7C0F" w:rsidRPr="00E24804" w14:paraId="06BE8255"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189549A6" w14:textId="77777777" w:rsidR="00FC7C0F" w:rsidRPr="00E24804" w:rsidRDefault="00FC7C0F" w:rsidP="00FC7C0F">
            <w:pPr>
              <w:spacing w:line="276" w:lineRule="auto"/>
              <w:jc w:val="both"/>
              <w:rPr>
                <w:rFonts w:cs="Arial"/>
                <w:sz w:val="22"/>
                <w:szCs w:val="22"/>
              </w:rPr>
            </w:pPr>
            <w:r w:rsidRPr="00E24804">
              <w:rPr>
                <w:rFonts w:cs="Arial"/>
                <w:sz w:val="22"/>
                <w:szCs w:val="22"/>
              </w:rPr>
              <w:t>Band G</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323718C8" w14:textId="30607E0E" w:rsidR="00FC7C0F" w:rsidRPr="00E24804" w:rsidRDefault="00FC7C0F" w:rsidP="005E1344">
            <w:pPr>
              <w:spacing w:line="276" w:lineRule="auto"/>
              <w:jc w:val="right"/>
              <w:rPr>
                <w:rFonts w:cs="Arial"/>
                <w:snapToGrid w:val="0"/>
                <w:color w:val="000000"/>
                <w:sz w:val="22"/>
                <w:szCs w:val="22"/>
              </w:rPr>
            </w:pPr>
            <w:r w:rsidRPr="00E24804">
              <w:t xml:space="preserve"> 2,244.3</w:t>
            </w:r>
            <w:r w:rsidR="005E1344">
              <w:t>2</w:t>
            </w:r>
            <w:r w:rsidRPr="00E24804">
              <w:t xml:space="preserve"> </w:t>
            </w:r>
          </w:p>
        </w:tc>
      </w:tr>
      <w:tr w:rsidR="00FC7C0F" w:rsidRPr="00E24804" w14:paraId="074801FC" w14:textId="77777777" w:rsidTr="00957DB3">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59AA9E7" w14:textId="77777777" w:rsidR="00FC7C0F" w:rsidRPr="00E24804" w:rsidRDefault="00FC7C0F" w:rsidP="00FC7C0F">
            <w:pPr>
              <w:spacing w:line="276" w:lineRule="auto"/>
              <w:jc w:val="both"/>
              <w:rPr>
                <w:sz w:val="22"/>
                <w:szCs w:val="22"/>
              </w:rPr>
            </w:pPr>
            <w:r w:rsidRPr="00E24804">
              <w:rPr>
                <w:sz w:val="22"/>
                <w:szCs w:val="22"/>
              </w:rPr>
              <w:t>Band H</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974F782" w14:textId="5C1433F8" w:rsidR="00FC7C0F" w:rsidRPr="00E24804" w:rsidRDefault="00FC7C0F" w:rsidP="00FC7C0F">
            <w:pPr>
              <w:spacing w:line="276" w:lineRule="auto"/>
              <w:jc w:val="right"/>
              <w:rPr>
                <w:snapToGrid w:val="0"/>
                <w:color w:val="000000"/>
                <w:sz w:val="22"/>
                <w:szCs w:val="22"/>
              </w:rPr>
            </w:pPr>
            <w:r w:rsidRPr="00E24804">
              <w:t xml:space="preserve"> 2,693.18 </w:t>
            </w:r>
          </w:p>
        </w:tc>
      </w:tr>
      <w:bookmarkEnd w:id="0"/>
    </w:tbl>
    <w:p w14:paraId="7735DF81" w14:textId="77777777" w:rsidR="00A030CD" w:rsidRPr="00E24804" w:rsidRDefault="00A030CD" w:rsidP="00A030CD">
      <w:pPr>
        <w:pStyle w:val="BodyText"/>
      </w:pPr>
    </w:p>
    <w:p w14:paraId="173EF3C8" w14:textId="2BC5F0F6" w:rsidR="00CB5AF9" w:rsidRPr="00E24804" w:rsidRDefault="00E625C1" w:rsidP="00832AC1">
      <w:pPr>
        <w:pStyle w:val="BodyText"/>
        <w:numPr>
          <w:ilvl w:val="0"/>
          <w:numId w:val="29"/>
        </w:numPr>
        <w:ind w:hanging="720"/>
      </w:pPr>
      <w:r w:rsidRPr="00E24804">
        <w:t xml:space="preserve">The share for each </w:t>
      </w:r>
      <w:r w:rsidR="00BC7C82">
        <w:t>d</w:t>
      </w:r>
      <w:r w:rsidR="00CB5AF9" w:rsidRPr="00E24804">
        <w:t xml:space="preserve">istrict </w:t>
      </w:r>
      <w:r w:rsidR="00BC7C82">
        <w:t>c</w:t>
      </w:r>
      <w:r w:rsidRPr="00E24804">
        <w:t xml:space="preserve">ouncil </w:t>
      </w:r>
      <w:r w:rsidR="00CB5AF9" w:rsidRPr="00E24804">
        <w:t xml:space="preserve">of the net total raised from the </w:t>
      </w:r>
      <w:r w:rsidR="00BC7C82">
        <w:t>c</w:t>
      </w:r>
      <w:r w:rsidR="00CB5AF9" w:rsidRPr="00E24804">
        <w:t xml:space="preserve">ouncil </w:t>
      </w:r>
      <w:r w:rsidR="00BC7C82">
        <w:t>t</w:t>
      </w:r>
      <w:r w:rsidR="00CB5AF9" w:rsidRPr="00E24804">
        <w:t>ax of £</w:t>
      </w:r>
      <w:r w:rsidR="008908F4" w:rsidRPr="00E24804">
        <w:t>4</w:t>
      </w:r>
      <w:r w:rsidR="00E24804" w:rsidRPr="00E24804">
        <w:t>93,898,429</w:t>
      </w:r>
      <w:r w:rsidR="00CB5AF9" w:rsidRPr="00E24804">
        <w:t>:</w:t>
      </w:r>
    </w:p>
    <w:p w14:paraId="651AEDE3" w14:textId="77777777" w:rsidR="00E57313" w:rsidRPr="007C0AFF" w:rsidRDefault="00E57313" w:rsidP="00E57313">
      <w:pPr>
        <w:pStyle w:val="BodyText"/>
        <w:ind w:left="720"/>
        <w:rPr>
          <w:highlight w:val="yell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2437"/>
      </w:tblGrid>
      <w:tr w:rsidR="00CB5AF9" w:rsidRPr="007C0AFF" w14:paraId="73CE9D11" w14:textId="77777777" w:rsidTr="00B326AD">
        <w:trPr>
          <w:trHeight w:val="560"/>
        </w:trPr>
        <w:tc>
          <w:tcPr>
            <w:tcW w:w="4619" w:type="dxa"/>
            <w:shd w:val="clear" w:color="auto" w:fill="BFBFBF" w:themeFill="background1" w:themeFillShade="BF"/>
            <w:vAlign w:val="center"/>
          </w:tcPr>
          <w:p w14:paraId="5524FA13" w14:textId="7EF00E6F" w:rsidR="00B326AD" w:rsidRPr="00E24804" w:rsidRDefault="00B326AD" w:rsidP="00B326AD">
            <w:pPr>
              <w:spacing w:line="276" w:lineRule="auto"/>
              <w:jc w:val="both"/>
              <w:rPr>
                <w:b/>
                <w:sz w:val="22"/>
                <w:szCs w:val="22"/>
              </w:rPr>
            </w:pPr>
            <w:r w:rsidRPr="00E24804">
              <w:rPr>
                <w:b/>
                <w:sz w:val="22"/>
                <w:szCs w:val="22"/>
              </w:rPr>
              <w:t>District</w:t>
            </w:r>
          </w:p>
        </w:tc>
        <w:tc>
          <w:tcPr>
            <w:tcW w:w="2437" w:type="dxa"/>
            <w:shd w:val="clear" w:color="auto" w:fill="BFBFBF" w:themeFill="background1" w:themeFillShade="BF"/>
            <w:vAlign w:val="center"/>
          </w:tcPr>
          <w:p w14:paraId="069A983A" w14:textId="77777777" w:rsidR="00CB5AF9" w:rsidRPr="00E24804" w:rsidRDefault="00CB5AF9" w:rsidP="00B326AD">
            <w:pPr>
              <w:spacing w:line="276" w:lineRule="auto"/>
              <w:jc w:val="center"/>
              <w:rPr>
                <w:b/>
                <w:sz w:val="22"/>
                <w:szCs w:val="22"/>
              </w:rPr>
            </w:pPr>
            <w:r w:rsidRPr="00E24804">
              <w:rPr>
                <w:b/>
                <w:sz w:val="22"/>
                <w:szCs w:val="22"/>
              </w:rPr>
              <w:t>£</w:t>
            </w:r>
          </w:p>
        </w:tc>
      </w:tr>
      <w:tr w:rsidR="00E24804" w:rsidRPr="007C0AFF" w14:paraId="3200BBA0" w14:textId="77777777" w:rsidTr="004131F6">
        <w:trPr>
          <w:trHeight w:val="435"/>
        </w:trPr>
        <w:tc>
          <w:tcPr>
            <w:tcW w:w="4619" w:type="dxa"/>
            <w:vAlign w:val="center"/>
          </w:tcPr>
          <w:p w14:paraId="586C97A0" w14:textId="77777777" w:rsidR="00E24804" w:rsidRPr="00E24804" w:rsidRDefault="00E24804" w:rsidP="00E24804">
            <w:pPr>
              <w:spacing w:line="276" w:lineRule="auto"/>
              <w:jc w:val="both"/>
              <w:rPr>
                <w:sz w:val="22"/>
                <w:szCs w:val="22"/>
              </w:rPr>
            </w:pPr>
            <w:r w:rsidRPr="00E24804">
              <w:rPr>
                <w:sz w:val="22"/>
                <w:szCs w:val="22"/>
              </w:rPr>
              <w:t>Burnley</w:t>
            </w:r>
          </w:p>
        </w:tc>
        <w:tc>
          <w:tcPr>
            <w:tcW w:w="2437" w:type="dxa"/>
            <w:shd w:val="clear" w:color="auto" w:fill="auto"/>
          </w:tcPr>
          <w:p w14:paraId="5901B81B" w14:textId="102D3165" w:rsidR="00E24804" w:rsidRPr="007C0AFF" w:rsidRDefault="00E24804" w:rsidP="00E24804">
            <w:pPr>
              <w:spacing w:line="276" w:lineRule="auto"/>
              <w:jc w:val="right"/>
              <w:rPr>
                <w:rFonts w:cs="Arial"/>
                <w:sz w:val="22"/>
                <w:szCs w:val="22"/>
                <w:highlight w:val="yellow"/>
              </w:rPr>
            </w:pPr>
            <w:r w:rsidRPr="00ED1F51">
              <w:t xml:space="preserve"> 31,228,769 </w:t>
            </w:r>
          </w:p>
        </w:tc>
      </w:tr>
      <w:tr w:rsidR="00E24804" w:rsidRPr="007C0AFF" w14:paraId="23202A5F" w14:textId="77777777" w:rsidTr="004131F6">
        <w:trPr>
          <w:trHeight w:val="355"/>
        </w:trPr>
        <w:tc>
          <w:tcPr>
            <w:tcW w:w="4619" w:type="dxa"/>
            <w:vAlign w:val="center"/>
          </w:tcPr>
          <w:p w14:paraId="612ABE77" w14:textId="335A7339" w:rsidR="00E24804" w:rsidRPr="00E24804" w:rsidRDefault="00E24804" w:rsidP="00E24804">
            <w:pPr>
              <w:spacing w:line="276" w:lineRule="auto"/>
              <w:jc w:val="both"/>
              <w:rPr>
                <w:sz w:val="22"/>
                <w:szCs w:val="22"/>
              </w:rPr>
            </w:pPr>
            <w:r w:rsidRPr="00E24804">
              <w:rPr>
                <w:sz w:val="22"/>
                <w:szCs w:val="22"/>
              </w:rPr>
              <w:t>Chorley</w:t>
            </w:r>
          </w:p>
        </w:tc>
        <w:tc>
          <w:tcPr>
            <w:tcW w:w="2437" w:type="dxa"/>
            <w:shd w:val="clear" w:color="auto" w:fill="auto"/>
          </w:tcPr>
          <w:p w14:paraId="3FD9D72A" w14:textId="37B6021C" w:rsidR="00E24804" w:rsidRPr="007C0AFF" w:rsidRDefault="00E24804" w:rsidP="00E24804">
            <w:pPr>
              <w:spacing w:line="276" w:lineRule="auto"/>
              <w:jc w:val="right"/>
              <w:rPr>
                <w:rFonts w:cs="Arial"/>
                <w:sz w:val="22"/>
                <w:szCs w:val="22"/>
                <w:highlight w:val="yellow"/>
              </w:rPr>
            </w:pPr>
            <w:r w:rsidRPr="00ED1F51">
              <w:t xml:space="preserve"> 50,004,798 </w:t>
            </w:r>
          </w:p>
        </w:tc>
      </w:tr>
      <w:tr w:rsidR="00E24804" w:rsidRPr="007C0AFF" w14:paraId="7C0A2948" w14:textId="77777777" w:rsidTr="004131F6">
        <w:trPr>
          <w:trHeight w:val="355"/>
        </w:trPr>
        <w:tc>
          <w:tcPr>
            <w:tcW w:w="4619" w:type="dxa"/>
            <w:vAlign w:val="center"/>
          </w:tcPr>
          <w:p w14:paraId="24063643" w14:textId="77777777" w:rsidR="00E24804" w:rsidRPr="00E24804" w:rsidRDefault="00E24804" w:rsidP="00E24804">
            <w:pPr>
              <w:spacing w:line="276" w:lineRule="auto"/>
              <w:jc w:val="both"/>
              <w:rPr>
                <w:sz w:val="22"/>
                <w:szCs w:val="22"/>
              </w:rPr>
            </w:pPr>
            <w:r w:rsidRPr="00E24804">
              <w:rPr>
                <w:sz w:val="22"/>
                <w:szCs w:val="22"/>
              </w:rPr>
              <w:t>Fylde</w:t>
            </w:r>
          </w:p>
        </w:tc>
        <w:tc>
          <w:tcPr>
            <w:tcW w:w="2437" w:type="dxa"/>
            <w:shd w:val="clear" w:color="auto" w:fill="auto"/>
          </w:tcPr>
          <w:p w14:paraId="1D5C6136" w14:textId="12D5995C" w:rsidR="00E24804" w:rsidRPr="007C0AFF" w:rsidRDefault="00E24804" w:rsidP="00E24804">
            <w:pPr>
              <w:spacing w:line="276" w:lineRule="auto"/>
              <w:jc w:val="right"/>
              <w:rPr>
                <w:rFonts w:cs="Arial"/>
                <w:sz w:val="22"/>
                <w:szCs w:val="22"/>
                <w:highlight w:val="yellow"/>
              </w:rPr>
            </w:pPr>
            <w:r w:rsidRPr="00ED1F51">
              <w:t xml:space="preserve"> 40,489,268 </w:t>
            </w:r>
          </w:p>
        </w:tc>
      </w:tr>
      <w:tr w:rsidR="00E24804" w:rsidRPr="007C0AFF" w14:paraId="198BCDC5" w14:textId="77777777" w:rsidTr="004131F6">
        <w:trPr>
          <w:trHeight w:val="355"/>
        </w:trPr>
        <w:tc>
          <w:tcPr>
            <w:tcW w:w="4619" w:type="dxa"/>
            <w:vAlign w:val="center"/>
          </w:tcPr>
          <w:p w14:paraId="2CDEB91A" w14:textId="77777777" w:rsidR="00E24804" w:rsidRPr="00E24804" w:rsidRDefault="00E24804" w:rsidP="00E24804">
            <w:pPr>
              <w:spacing w:line="276" w:lineRule="auto"/>
              <w:jc w:val="both"/>
              <w:rPr>
                <w:sz w:val="22"/>
                <w:szCs w:val="22"/>
              </w:rPr>
            </w:pPr>
            <w:r w:rsidRPr="00E24804">
              <w:rPr>
                <w:sz w:val="22"/>
                <w:szCs w:val="22"/>
              </w:rPr>
              <w:t>Hyndburn</w:t>
            </w:r>
          </w:p>
        </w:tc>
        <w:tc>
          <w:tcPr>
            <w:tcW w:w="2437" w:type="dxa"/>
            <w:shd w:val="clear" w:color="auto" w:fill="auto"/>
          </w:tcPr>
          <w:p w14:paraId="776FDD5A" w14:textId="078F7752" w:rsidR="00E24804" w:rsidRPr="007C0AFF" w:rsidRDefault="00E24804" w:rsidP="00E24804">
            <w:pPr>
              <w:spacing w:line="276" w:lineRule="auto"/>
              <w:jc w:val="right"/>
              <w:rPr>
                <w:rFonts w:cs="Arial"/>
                <w:sz w:val="22"/>
                <w:szCs w:val="22"/>
                <w:highlight w:val="yellow"/>
              </w:rPr>
            </w:pPr>
            <w:r w:rsidRPr="00ED1F51">
              <w:t xml:space="preserve"> 28,189,515 </w:t>
            </w:r>
          </w:p>
        </w:tc>
      </w:tr>
      <w:tr w:rsidR="00E24804" w:rsidRPr="007C0AFF" w14:paraId="4762AE62" w14:textId="77777777" w:rsidTr="004131F6">
        <w:trPr>
          <w:trHeight w:val="355"/>
        </w:trPr>
        <w:tc>
          <w:tcPr>
            <w:tcW w:w="4619" w:type="dxa"/>
            <w:vAlign w:val="center"/>
          </w:tcPr>
          <w:p w14:paraId="2361ACA6" w14:textId="77777777" w:rsidR="00E24804" w:rsidRPr="00E24804" w:rsidRDefault="00E24804" w:rsidP="00E24804">
            <w:pPr>
              <w:spacing w:line="276" w:lineRule="auto"/>
              <w:jc w:val="both"/>
              <w:rPr>
                <w:sz w:val="22"/>
                <w:szCs w:val="22"/>
              </w:rPr>
            </w:pPr>
            <w:r w:rsidRPr="00E24804">
              <w:rPr>
                <w:sz w:val="22"/>
                <w:szCs w:val="22"/>
              </w:rPr>
              <w:t>Lancaster</w:t>
            </w:r>
          </w:p>
        </w:tc>
        <w:tc>
          <w:tcPr>
            <w:tcW w:w="2437" w:type="dxa"/>
            <w:shd w:val="clear" w:color="auto" w:fill="auto"/>
          </w:tcPr>
          <w:p w14:paraId="75292AFA" w14:textId="4E07258E" w:rsidR="00E24804" w:rsidRPr="007C0AFF" w:rsidRDefault="00E24804" w:rsidP="00E24804">
            <w:pPr>
              <w:spacing w:line="276" w:lineRule="auto"/>
              <w:jc w:val="right"/>
              <w:rPr>
                <w:rFonts w:cs="Arial"/>
                <w:sz w:val="22"/>
                <w:szCs w:val="22"/>
                <w:highlight w:val="yellow"/>
              </w:rPr>
            </w:pPr>
            <w:r w:rsidRPr="00ED1F51">
              <w:t xml:space="preserve"> 55,748,826 </w:t>
            </w:r>
          </w:p>
        </w:tc>
      </w:tr>
      <w:tr w:rsidR="00E24804" w:rsidRPr="007C0AFF" w14:paraId="3D8B75D1" w14:textId="77777777" w:rsidTr="004131F6">
        <w:trPr>
          <w:trHeight w:val="355"/>
        </w:trPr>
        <w:tc>
          <w:tcPr>
            <w:tcW w:w="4619" w:type="dxa"/>
            <w:vAlign w:val="center"/>
          </w:tcPr>
          <w:p w14:paraId="2FC8BF4B" w14:textId="77777777" w:rsidR="00E24804" w:rsidRPr="00E24804" w:rsidRDefault="00E24804" w:rsidP="00E24804">
            <w:pPr>
              <w:spacing w:line="276" w:lineRule="auto"/>
              <w:jc w:val="both"/>
              <w:rPr>
                <w:sz w:val="22"/>
                <w:szCs w:val="22"/>
              </w:rPr>
            </w:pPr>
            <w:r w:rsidRPr="00E24804">
              <w:rPr>
                <w:sz w:val="22"/>
                <w:szCs w:val="22"/>
              </w:rPr>
              <w:t>Pendle</w:t>
            </w:r>
          </w:p>
        </w:tc>
        <w:tc>
          <w:tcPr>
            <w:tcW w:w="2437" w:type="dxa"/>
            <w:shd w:val="clear" w:color="auto" w:fill="auto"/>
          </w:tcPr>
          <w:p w14:paraId="435F63FB" w14:textId="2A92E593" w:rsidR="00E24804" w:rsidRPr="007C0AFF" w:rsidRDefault="00E24804" w:rsidP="00E24804">
            <w:pPr>
              <w:spacing w:line="276" w:lineRule="auto"/>
              <w:jc w:val="right"/>
              <w:rPr>
                <w:rFonts w:cs="Arial"/>
                <w:sz w:val="22"/>
                <w:szCs w:val="22"/>
                <w:highlight w:val="yellow"/>
              </w:rPr>
            </w:pPr>
            <w:r w:rsidRPr="00ED1F51">
              <w:t xml:space="preserve"> 32,400,706 </w:t>
            </w:r>
          </w:p>
        </w:tc>
      </w:tr>
      <w:tr w:rsidR="00E24804" w:rsidRPr="007C0AFF" w14:paraId="45CDA6CE" w14:textId="77777777" w:rsidTr="004131F6">
        <w:trPr>
          <w:trHeight w:val="355"/>
        </w:trPr>
        <w:tc>
          <w:tcPr>
            <w:tcW w:w="4619" w:type="dxa"/>
            <w:vAlign w:val="center"/>
          </w:tcPr>
          <w:p w14:paraId="2A33A067" w14:textId="77777777" w:rsidR="00E24804" w:rsidRPr="00E24804" w:rsidRDefault="00E24804" w:rsidP="00E24804">
            <w:pPr>
              <w:spacing w:line="276" w:lineRule="auto"/>
              <w:jc w:val="both"/>
              <w:rPr>
                <w:sz w:val="22"/>
                <w:szCs w:val="22"/>
              </w:rPr>
            </w:pPr>
            <w:r w:rsidRPr="00E24804">
              <w:rPr>
                <w:sz w:val="22"/>
                <w:szCs w:val="22"/>
              </w:rPr>
              <w:t>Preston</w:t>
            </w:r>
          </w:p>
        </w:tc>
        <w:tc>
          <w:tcPr>
            <w:tcW w:w="2437" w:type="dxa"/>
            <w:shd w:val="clear" w:color="auto" w:fill="auto"/>
          </w:tcPr>
          <w:p w14:paraId="199D6237" w14:textId="5EB726E5" w:rsidR="00E24804" w:rsidRPr="007C0AFF" w:rsidRDefault="00E24804" w:rsidP="00E24804">
            <w:pPr>
              <w:spacing w:line="276" w:lineRule="auto"/>
              <w:jc w:val="right"/>
              <w:rPr>
                <w:rFonts w:cs="Arial"/>
                <w:sz w:val="22"/>
                <w:szCs w:val="22"/>
                <w:highlight w:val="yellow"/>
              </w:rPr>
            </w:pPr>
            <w:r w:rsidRPr="00ED1F51">
              <w:t xml:space="preserve"> 51,819,476 </w:t>
            </w:r>
          </w:p>
        </w:tc>
      </w:tr>
      <w:tr w:rsidR="00E24804" w:rsidRPr="007C0AFF" w14:paraId="6961B70B" w14:textId="77777777" w:rsidTr="004131F6">
        <w:trPr>
          <w:trHeight w:val="355"/>
        </w:trPr>
        <w:tc>
          <w:tcPr>
            <w:tcW w:w="4619" w:type="dxa"/>
            <w:vAlign w:val="center"/>
          </w:tcPr>
          <w:p w14:paraId="7D8509F8" w14:textId="77777777" w:rsidR="00E24804" w:rsidRPr="00E24804" w:rsidRDefault="00E24804" w:rsidP="00E24804">
            <w:pPr>
              <w:spacing w:line="276" w:lineRule="auto"/>
              <w:jc w:val="both"/>
              <w:rPr>
                <w:sz w:val="22"/>
                <w:szCs w:val="22"/>
              </w:rPr>
            </w:pPr>
            <w:r w:rsidRPr="00E24804">
              <w:rPr>
                <w:sz w:val="22"/>
                <w:szCs w:val="22"/>
              </w:rPr>
              <w:t>Ribble Valley</w:t>
            </w:r>
          </w:p>
        </w:tc>
        <w:tc>
          <w:tcPr>
            <w:tcW w:w="2437" w:type="dxa"/>
            <w:shd w:val="clear" w:color="auto" w:fill="auto"/>
          </w:tcPr>
          <w:p w14:paraId="73DC66D4" w14:textId="6F138409" w:rsidR="00E24804" w:rsidRPr="007C0AFF" w:rsidRDefault="00E24804" w:rsidP="00E24804">
            <w:pPr>
              <w:spacing w:line="276" w:lineRule="auto"/>
              <w:jc w:val="right"/>
              <w:rPr>
                <w:rFonts w:cs="Arial"/>
                <w:sz w:val="22"/>
                <w:szCs w:val="22"/>
                <w:highlight w:val="yellow"/>
              </w:rPr>
            </w:pPr>
            <w:r w:rsidRPr="00ED1F51">
              <w:t xml:space="preserve"> 31,253,007 </w:t>
            </w:r>
          </w:p>
        </w:tc>
      </w:tr>
      <w:tr w:rsidR="00E24804" w:rsidRPr="007C0AFF" w14:paraId="1F72B959" w14:textId="77777777" w:rsidTr="004131F6">
        <w:trPr>
          <w:trHeight w:val="355"/>
        </w:trPr>
        <w:tc>
          <w:tcPr>
            <w:tcW w:w="4619" w:type="dxa"/>
            <w:vAlign w:val="center"/>
          </w:tcPr>
          <w:p w14:paraId="64B80DB7" w14:textId="77777777" w:rsidR="00E24804" w:rsidRPr="00E24804" w:rsidRDefault="00E24804" w:rsidP="00E24804">
            <w:pPr>
              <w:spacing w:line="276" w:lineRule="auto"/>
              <w:jc w:val="both"/>
              <w:rPr>
                <w:sz w:val="22"/>
                <w:szCs w:val="22"/>
              </w:rPr>
            </w:pPr>
            <w:r w:rsidRPr="00E24804">
              <w:rPr>
                <w:sz w:val="22"/>
                <w:szCs w:val="22"/>
              </w:rPr>
              <w:t>Rossendale</w:t>
            </w:r>
          </w:p>
        </w:tc>
        <w:tc>
          <w:tcPr>
            <w:tcW w:w="2437" w:type="dxa"/>
            <w:shd w:val="clear" w:color="auto" w:fill="auto"/>
          </w:tcPr>
          <w:p w14:paraId="03F314D4" w14:textId="28890CC7" w:rsidR="00E24804" w:rsidRPr="007C0AFF" w:rsidRDefault="00E24804" w:rsidP="00E24804">
            <w:pPr>
              <w:spacing w:line="276" w:lineRule="auto"/>
              <w:jc w:val="right"/>
              <w:rPr>
                <w:rFonts w:cs="Arial"/>
                <w:sz w:val="22"/>
                <w:szCs w:val="22"/>
                <w:highlight w:val="yellow"/>
              </w:rPr>
            </w:pPr>
            <w:r w:rsidRPr="00ED1F51">
              <w:t xml:space="preserve"> 27,465,050 </w:t>
            </w:r>
          </w:p>
        </w:tc>
      </w:tr>
      <w:tr w:rsidR="00E24804" w:rsidRPr="007C0AFF" w14:paraId="5002318B" w14:textId="77777777" w:rsidTr="004131F6">
        <w:trPr>
          <w:trHeight w:val="355"/>
        </w:trPr>
        <w:tc>
          <w:tcPr>
            <w:tcW w:w="4619" w:type="dxa"/>
            <w:vAlign w:val="center"/>
          </w:tcPr>
          <w:p w14:paraId="0F3D44E1" w14:textId="77777777" w:rsidR="00E24804" w:rsidRPr="00E24804" w:rsidRDefault="00E24804" w:rsidP="00E24804">
            <w:pPr>
              <w:spacing w:line="276" w:lineRule="auto"/>
              <w:jc w:val="both"/>
              <w:rPr>
                <w:sz w:val="22"/>
                <w:szCs w:val="22"/>
              </w:rPr>
            </w:pPr>
            <w:r w:rsidRPr="00E24804">
              <w:rPr>
                <w:sz w:val="22"/>
                <w:szCs w:val="22"/>
              </w:rPr>
              <w:t>South Ribble</w:t>
            </w:r>
          </w:p>
        </w:tc>
        <w:tc>
          <w:tcPr>
            <w:tcW w:w="2437" w:type="dxa"/>
            <w:shd w:val="clear" w:color="auto" w:fill="auto"/>
          </w:tcPr>
          <w:p w14:paraId="3C883265" w14:textId="4379FE91" w:rsidR="00E24804" w:rsidRPr="007C0AFF" w:rsidRDefault="00E24804" w:rsidP="00E24804">
            <w:pPr>
              <w:spacing w:line="276" w:lineRule="auto"/>
              <w:jc w:val="right"/>
              <w:rPr>
                <w:rFonts w:cs="Arial"/>
                <w:sz w:val="22"/>
                <w:szCs w:val="22"/>
                <w:highlight w:val="yellow"/>
              </w:rPr>
            </w:pPr>
            <w:r w:rsidRPr="00ED1F51">
              <w:t xml:space="preserve"> 48,190,955 </w:t>
            </w:r>
          </w:p>
        </w:tc>
      </w:tr>
      <w:tr w:rsidR="00E24804" w:rsidRPr="007C0AFF" w14:paraId="1B3C4A11" w14:textId="77777777" w:rsidTr="004131F6">
        <w:trPr>
          <w:trHeight w:val="355"/>
        </w:trPr>
        <w:tc>
          <w:tcPr>
            <w:tcW w:w="4619" w:type="dxa"/>
            <w:vAlign w:val="center"/>
          </w:tcPr>
          <w:p w14:paraId="7F338E10" w14:textId="77777777" w:rsidR="00E24804" w:rsidRPr="00E24804" w:rsidRDefault="00E24804" w:rsidP="00E24804">
            <w:pPr>
              <w:spacing w:line="276" w:lineRule="auto"/>
              <w:jc w:val="both"/>
              <w:rPr>
                <w:sz w:val="22"/>
                <w:szCs w:val="22"/>
              </w:rPr>
            </w:pPr>
            <w:r w:rsidRPr="00E24804">
              <w:rPr>
                <w:sz w:val="22"/>
                <w:szCs w:val="22"/>
              </w:rPr>
              <w:t>West Lancashire</w:t>
            </w:r>
          </w:p>
        </w:tc>
        <w:tc>
          <w:tcPr>
            <w:tcW w:w="2437" w:type="dxa"/>
            <w:shd w:val="clear" w:color="auto" w:fill="auto"/>
          </w:tcPr>
          <w:p w14:paraId="77DE0394" w14:textId="284F9099" w:rsidR="00E24804" w:rsidRPr="007C0AFF" w:rsidRDefault="00E24804" w:rsidP="00E24804">
            <w:pPr>
              <w:spacing w:line="276" w:lineRule="auto"/>
              <w:jc w:val="right"/>
              <w:rPr>
                <w:rFonts w:cs="Arial"/>
                <w:sz w:val="22"/>
                <w:szCs w:val="22"/>
                <w:highlight w:val="yellow"/>
              </w:rPr>
            </w:pPr>
            <w:r w:rsidRPr="00ED1F51">
              <w:t xml:space="preserve"> 47,475,808 </w:t>
            </w:r>
          </w:p>
        </w:tc>
      </w:tr>
      <w:tr w:rsidR="00E24804" w:rsidRPr="007C0AFF" w14:paraId="3B300C46" w14:textId="77777777" w:rsidTr="004131F6">
        <w:trPr>
          <w:trHeight w:val="355"/>
        </w:trPr>
        <w:tc>
          <w:tcPr>
            <w:tcW w:w="4619" w:type="dxa"/>
            <w:vAlign w:val="center"/>
          </w:tcPr>
          <w:p w14:paraId="72F2270B" w14:textId="77777777" w:rsidR="00E24804" w:rsidRPr="00E24804" w:rsidRDefault="00E24804" w:rsidP="00E24804">
            <w:pPr>
              <w:spacing w:line="276" w:lineRule="auto"/>
              <w:jc w:val="both"/>
              <w:rPr>
                <w:sz w:val="22"/>
                <w:szCs w:val="22"/>
              </w:rPr>
            </w:pPr>
            <w:r w:rsidRPr="00E24804">
              <w:rPr>
                <w:sz w:val="22"/>
                <w:szCs w:val="22"/>
              </w:rPr>
              <w:t>Wyre</w:t>
            </w:r>
          </w:p>
        </w:tc>
        <w:tc>
          <w:tcPr>
            <w:tcW w:w="2437" w:type="dxa"/>
            <w:shd w:val="clear" w:color="auto" w:fill="auto"/>
          </w:tcPr>
          <w:p w14:paraId="4ED0CC07" w14:textId="17C51A8F" w:rsidR="00E24804" w:rsidRPr="007C0AFF" w:rsidRDefault="00E24804" w:rsidP="00E24804">
            <w:pPr>
              <w:spacing w:line="276" w:lineRule="auto"/>
              <w:jc w:val="right"/>
              <w:rPr>
                <w:rFonts w:cs="Arial"/>
                <w:sz w:val="22"/>
                <w:szCs w:val="22"/>
                <w:highlight w:val="yellow"/>
              </w:rPr>
            </w:pPr>
            <w:r w:rsidRPr="00ED1F51">
              <w:t xml:space="preserve"> 49,632,251 </w:t>
            </w:r>
          </w:p>
        </w:tc>
      </w:tr>
      <w:tr w:rsidR="00E24804" w:rsidRPr="007C0AFF" w14:paraId="42193248" w14:textId="77777777" w:rsidTr="004131F6">
        <w:trPr>
          <w:trHeight w:val="371"/>
        </w:trPr>
        <w:tc>
          <w:tcPr>
            <w:tcW w:w="4619" w:type="dxa"/>
            <w:shd w:val="clear" w:color="auto" w:fill="BFBFBF" w:themeFill="background1" w:themeFillShade="BF"/>
            <w:vAlign w:val="center"/>
          </w:tcPr>
          <w:p w14:paraId="3D53AA34" w14:textId="3BFB94CA" w:rsidR="00E24804" w:rsidRPr="00E24804" w:rsidRDefault="00E24804" w:rsidP="00E24804">
            <w:pPr>
              <w:spacing w:line="276" w:lineRule="auto"/>
              <w:jc w:val="both"/>
              <w:rPr>
                <w:b/>
                <w:sz w:val="22"/>
                <w:szCs w:val="22"/>
              </w:rPr>
            </w:pPr>
            <w:r w:rsidRPr="00E24804">
              <w:rPr>
                <w:b/>
                <w:sz w:val="22"/>
                <w:szCs w:val="22"/>
              </w:rPr>
              <w:t>Total raised from the Council Tax</w:t>
            </w:r>
          </w:p>
        </w:tc>
        <w:tc>
          <w:tcPr>
            <w:tcW w:w="2437" w:type="dxa"/>
            <w:shd w:val="clear" w:color="auto" w:fill="BFBFBF" w:themeFill="background1" w:themeFillShade="BF"/>
          </w:tcPr>
          <w:p w14:paraId="4DB55F63" w14:textId="1DEED0A8" w:rsidR="00E24804" w:rsidRPr="00CF4514" w:rsidRDefault="00E24804" w:rsidP="00E24804">
            <w:pPr>
              <w:jc w:val="right"/>
              <w:rPr>
                <w:rFonts w:cs="Arial"/>
                <w:b/>
                <w:sz w:val="22"/>
                <w:szCs w:val="22"/>
                <w:highlight w:val="yellow"/>
              </w:rPr>
            </w:pPr>
            <w:r w:rsidRPr="00ED1F51">
              <w:t xml:space="preserve"> </w:t>
            </w:r>
            <w:r w:rsidRPr="00CF4514">
              <w:rPr>
                <w:b/>
              </w:rPr>
              <w:t xml:space="preserve">493,898,429 </w:t>
            </w:r>
          </w:p>
        </w:tc>
      </w:tr>
    </w:tbl>
    <w:p w14:paraId="559B86FB" w14:textId="77777777" w:rsidR="0045344A" w:rsidRPr="007C0AFF" w:rsidRDefault="0045344A" w:rsidP="0045344A">
      <w:pPr>
        <w:ind w:left="720"/>
        <w:rPr>
          <w:b/>
          <w:highlight w:val="yellow"/>
        </w:rPr>
      </w:pPr>
    </w:p>
    <w:p w14:paraId="44B3DCB1" w14:textId="77777777" w:rsidR="00E57313" w:rsidRPr="007C0AFF" w:rsidRDefault="00E57313" w:rsidP="00FA42B2">
      <w:pPr>
        <w:pStyle w:val="BodyText"/>
        <w:rPr>
          <w:highlight w:val="yellow"/>
        </w:rPr>
      </w:pPr>
      <w:bookmarkStart w:id="1" w:name="_GoBack"/>
      <w:bookmarkEnd w:id="1"/>
    </w:p>
    <w:p w14:paraId="43264AA4" w14:textId="076929B0" w:rsidR="00DD1F36" w:rsidRPr="004F5D98" w:rsidRDefault="00D93E78" w:rsidP="00DD1F36">
      <w:r w:rsidRPr="004F5D98">
        <w:t>Geoff Driver CBE</w:t>
      </w:r>
    </w:p>
    <w:p w14:paraId="2F0A5556" w14:textId="77777777" w:rsidR="00DD1F36" w:rsidRPr="004F5D98" w:rsidRDefault="00DD1F36" w:rsidP="00DD1F36">
      <w:r w:rsidRPr="004F5D98">
        <w:t>Leader of the Council</w:t>
      </w:r>
    </w:p>
    <w:p w14:paraId="3A78A354" w14:textId="77777777" w:rsidR="00DD1F36" w:rsidRDefault="00DD1F36" w:rsidP="00DD1F36">
      <w:r w:rsidRPr="004F5D98">
        <w:t>County Hall, Preston</w:t>
      </w:r>
    </w:p>
    <w:p w14:paraId="411E9440" w14:textId="77777777" w:rsidR="00B57F8B" w:rsidRPr="00E348F2" w:rsidRDefault="00B57F8B" w:rsidP="00B57F8B">
      <w:pPr>
        <w:jc w:val="both"/>
      </w:pPr>
    </w:p>
    <w:p w14:paraId="2C8AEC6E" w14:textId="77777777" w:rsidR="00CC6DCE" w:rsidRPr="00E348F2" w:rsidRDefault="00CC6DCE">
      <w:pPr>
        <w:jc w:val="both"/>
      </w:pPr>
    </w:p>
    <w:sectPr w:rsidR="00CC6DCE" w:rsidRPr="00E348F2" w:rsidSect="00166785">
      <w:footerReference w:type="even" r:id="rId9"/>
      <w:footerReference w:type="default" r:id="rId10"/>
      <w:pgSz w:w="11906" w:h="16838"/>
      <w:pgMar w:top="144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99B7A" w14:textId="77777777" w:rsidR="002F0510" w:rsidRDefault="002F0510">
      <w:r>
        <w:separator/>
      </w:r>
    </w:p>
  </w:endnote>
  <w:endnote w:type="continuationSeparator" w:id="0">
    <w:p w14:paraId="315D46EE" w14:textId="77777777" w:rsidR="002F0510" w:rsidRDefault="002F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89" w14:textId="77777777" w:rsidR="00CC6DCE" w:rsidRDefault="00CC6DCE" w:rsidP="00F4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F8458" w14:textId="77777777" w:rsidR="00CC6DCE" w:rsidRDefault="00CC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312A" w14:textId="5A6896EC" w:rsidR="00CC6DCE" w:rsidRDefault="00CC6DCE">
    <w:pPr>
      <w:pStyle w:val="Footer"/>
      <w:jc w:val="center"/>
    </w:pPr>
  </w:p>
  <w:p w14:paraId="5A1D4B65" w14:textId="77777777" w:rsidR="00CC6DCE" w:rsidRDefault="00CC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A357" w14:textId="77777777" w:rsidR="002F0510" w:rsidRDefault="002F0510">
      <w:r>
        <w:separator/>
      </w:r>
    </w:p>
  </w:footnote>
  <w:footnote w:type="continuationSeparator" w:id="0">
    <w:p w14:paraId="2D98275F" w14:textId="77777777" w:rsidR="002F0510" w:rsidRDefault="002F0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435"/>
    <w:multiLevelType w:val="hybridMultilevel"/>
    <w:tmpl w:val="5D6A203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9A7F70"/>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71905"/>
    <w:multiLevelType w:val="hybridMultilevel"/>
    <w:tmpl w:val="98B0FE28"/>
    <w:lvl w:ilvl="0" w:tplc="256E316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3F4D73"/>
    <w:multiLevelType w:val="hybridMultilevel"/>
    <w:tmpl w:val="4D0299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3675D7"/>
    <w:multiLevelType w:val="hybridMultilevel"/>
    <w:tmpl w:val="342E3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047"/>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20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51256"/>
    <w:multiLevelType w:val="hybridMultilevel"/>
    <w:tmpl w:val="742E9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17A71DA7"/>
    <w:multiLevelType w:val="singleLevel"/>
    <w:tmpl w:val="0809000F"/>
    <w:lvl w:ilvl="0">
      <w:start w:val="1"/>
      <w:numFmt w:val="decimal"/>
      <w:lvlText w:val="%1."/>
      <w:lvlJc w:val="left"/>
      <w:pPr>
        <w:ind w:left="360" w:hanging="360"/>
      </w:pPr>
      <w:rPr>
        <w:rFonts w:hint="default"/>
      </w:rPr>
    </w:lvl>
  </w:abstractNum>
  <w:abstractNum w:abstractNumId="10" w15:restartNumberingAfterBreak="0">
    <w:nsid w:val="1881382B"/>
    <w:multiLevelType w:val="hybridMultilevel"/>
    <w:tmpl w:val="0A0821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E65734"/>
    <w:multiLevelType w:val="hybridMultilevel"/>
    <w:tmpl w:val="3B1AA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307763"/>
    <w:multiLevelType w:val="hybridMultilevel"/>
    <w:tmpl w:val="AB068E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B06A3"/>
    <w:multiLevelType w:val="hybridMultilevel"/>
    <w:tmpl w:val="7DD83B94"/>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031410"/>
    <w:multiLevelType w:val="hybridMultilevel"/>
    <w:tmpl w:val="C844811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28F08A6"/>
    <w:multiLevelType w:val="hybridMultilevel"/>
    <w:tmpl w:val="DF205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1183C"/>
    <w:multiLevelType w:val="hybridMultilevel"/>
    <w:tmpl w:val="71A2F34A"/>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2E524041"/>
    <w:multiLevelType w:val="hybridMultilevel"/>
    <w:tmpl w:val="9BFA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71571"/>
    <w:multiLevelType w:val="hybridMultilevel"/>
    <w:tmpl w:val="306C27EC"/>
    <w:lvl w:ilvl="0" w:tplc="162CD8A0">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6287C"/>
    <w:multiLevelType w:val="singleLevel"/>
    <w:tmpl w:val="B25AC084"/>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3DC6052B"/>
    <w:multiLevelType w:val="hybridMultilevel"/>
    <w:tmpl w:val="FD4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D33244"/>
    <w:multiLevelType w:val="hybridMultilevel"/>
    <w:tmpl w:val="51083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2C0FD7"/>
    <w:multiLevelType w:val="hybridMultilevel"/>
    <w:tmpl w:val="ABE85E3A"/>
    <w:lvl w:ilvl="0" w:tplc="880EF532">
      <w:start w:val="1"/>
      <w:numFmt w:val="bullet"/>
      <w:lvlText w:val=""/>
      <w:lvlJc w:val="left"/>
      <w:pPr>
        <w:tabs>
          <w:tab w:val="num" w:pos="357"/>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45F89"/>
    <w:multiLevelType w:val="hybridMultilevel"/>
    <w:tmpl w:val="7D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77E9F"/>
    <w:multiLevelType w:val="hybridMultilevel"/>
    <w:tmpl w:val="EF3E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C02E42"/>
    <w:multiLevelType w:val="hybridMultilevel"/>
    <w:tmpl w:val="166A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42E52"/>
    <w:multiLevelType w:val="hybridMultilevel"/>
    <w:tmpl w:val="59428FA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59A83ADE"/>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048CF"/>
    <w:multiLevelType w:val="hybridMultilevel"/>
    <w:tmpl w:val="C86084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D07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4F694C"/>
    <w:multiLevelType w:val="hybridMultilevel"/>
    <w:tmpl w:val="939AF01E"/>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B9040A"/>
    <w:multiLevelType w:val="hybridMultilevel"/>
    <w:tmpl w:val="A1663CD4"/>
    <w:lvl w:ilvl="0" w:tplc="F9E675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A3404"/>
    <w:multiLevelType w:val="hybridMultilevel"/>
    <w:tmpl w:val="96827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F2A77C1"/>
    <w:multiLevelType w:val="hybridMultilevel"/>
    <w:tmpl w:val="CD34D7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12240A"/>
    <w:multiLevelType w:val="hybridMultilevel"/>
    <w:tmpl w:val="9E34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C7826"/>
    <w:multiLevelType w:val="hybridMultilevel"/>
    <w:tmpl w:val="22F2F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20"/>
  </w:num>
  <w:num w:numId="4">
    <w:abstractNumId w:val="6"/>
  </w:num>
  <w:num w:numId="5">
    <w:abstractNumId w:val="3"/>
  </w:num>
  <w:num w:numId="6">
    <w:abstractNumId w:val="31"/>
  </w:num>
  <w:num w:numId="7">
    <w:abstractNumId w:val="10"/>
  </w:num>
  <w:num w:numId="8">
    <w:abstractNumId w:val="11"/>
  </w:num>
  <w:num w:numId="9">
    <w:abstractNumId w:val="26"/>
  </w:num>
  <w:num w:numId="10">
    <w:abstractNumId w:val="28"/>
  </w:num>
  <w:num w:numId="11">
    <w:abstractNumId w:val="24"/>
  </w:num>
  <w:num w:numId="12">
    <w:abstractNumId w:val="16"/>
  </w:num>
  <w:num w:numId="13">
    <w:abstractNumId w:val="35"/>
  </w:num>
  <w:num w:numId="14">
    <w:abstractNumId w:val="12"/>
  </w:num>
  <w:num w:numId="15">
    <w:abstractNumId w:val="13"/>
  </w:num>
  <w:num w:numId="16">
    <w:abstractNumId w:val="17"/>
  </w:num>
  <w:num w:numId="17">
    <w:abstractNumId w:val="4"/>
  </w:num>
  <w:num w:numId="18">
    <w:abstractNumId w:val="36"/>
  </w:num>
  <w:num w:numId="19">
    <w:abstractNumId w:val="30"/>
  </w:num>
  <w:num w:numId="20">
    <w:abstractNumId w:val="0"/>
  </w:num>
  <w:num w:numId="21">
    <w:abstractNumId w:val="38"/>
  </w:num>
  <w:num w:numId="22">
    <w:abstractNumId w:val="14"/>
  </w:num>
  <w:num w:numId="23">
    <w:abstractNumId w:val="22"/>
  </w:num>
  <w:num w:numId="24">
    <w:abstractNumId w:val="23"/>
  </w:num>
  <w:num w:numId="25">
    <w:abstractNumId w:val="37"/>
  </w:num>
  <w:num w:numId="26">
    <w:abstractNumId w:val="33"/>
  </w:num>
  <w:num w:numId="27">
    <w:abstractNumId w:val="25"/>
  </w:num>
  <w:num w:numId="28">
    <w:abstractNumId w:val="34"/>
  </w:num>
  <w:num w:numId="29">
    <w:abstractNumId w:val="32"/>
  </w:num>
  <w:num w:numId="30">
    <w:abstractNumId w:val="19"/>
  </w:num>
  <w:num w:numId="31">
    <w:abstractNumId w:val="15"/>
  </w:num>
  <w:num w:numId="32">
    <w:abstractNumId w:val="29"/>
  </w:num>
  <w:num w:numId="33">
    <w:abstractNumId w:val="5"/>
  </w:num>
  <w:num w:numId="34">
    <w:abstractNumId w:val="1"/>
  </w:num>
  <w:num w:numId="35">
    <w:abstractNumId w:val="27"/>
  </w:num>
  <w:num w:numId="36">
    <w:abstractNumId w:val="21"/>
  </w:num>
  <w:num w:numId="37">
    <w:abstractNumId w:val="7"/>
  </w:num>
  <w:num w:numId="38">
    <w:abstractNumId w:val="1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9"/>
    <w:rsid w:val="00004ACB"/>
    <w:rsid w:val="00007861"/>
    <w:rsid w:val="00007892"/>
    <w:rsid w:val="00011004"/>
    <w:rsid w:val="0001178E"/>
    <w:rsid w:val="00013899"/>
    <w:rsid w:val="0001488C"/>
    <w:rsid w:val="00014A60"/>
    <w:rsid w:val="00020F15"/>
    <w:rsid w:val="00030FE2"/>
    <w:rsid w:val="000425BE"/>
    <w:rsid w:val="00042AE8"/>
    <w:rsid w:val="00044745"/>
    <w:rsid w:val="00044DD0"/>
    <w:rsid w:val="00046E1C"/>
    <w:rsid w:val="000508F0"/>
    <w:rsid w:val="00050CEF"/>
    <w:rsid w:val="00066B3A"/>
    <w:rsid w:val="00073309"/>
    <w:rsid w:val="00077889"/>
    <w:rsid w:val="000829FF"/>
    <w:rsid w:val="00084383"/>
    <w:rsid w:val="000A1FC5"/>
    <w:rsid w:val="000A2BD7"/>
    <w:rsid w:val="000A31B5"/>
    <w:rsid w:val="000B49A2"/>
    <w:rsid w:val="000B6C4C"/>
    <w:rsid w:val="000C5C87"/>
    <w:rsid w:val="000E0723"/>
    <w:rsid w:val="000E78DA"/>
    <w:rsid w:val="000F4A06"/>
    <w:rsid w:val="00115587"/>
    <w:rsid w:val="0011652C"/>
    <w:rsid w:val="0011765D"/>
    <w:rsid w:val="00117F9C"/>
    <w:rsid w:val="00123B15"/>
    <w:rsid w:val="00126829"/>
    <w:rsid w:val="00132243"/>
    <w:rsid w:val="001340F2"/>
    <w:rsid w:val="001408B9"/>
    <w:rsid w:val="00147C43"/>
    <w:rsid w:val="0015039C"/>
    <w:rsid w:val="00153C0C"/>
    <w:rsid w:val="00160203"/>
    <w:rsid w:val="00160D71"/>
    <w:rsid w:val="00162708"/>
    <w:rsid w:val="00166785"/>
    <w:rsid w:val="00195BD0"/>
    <w:rsid w:val="001A02D9"/>
    <w:rsid w:val="001A58DE"/>
    <w:rsid w:val="001B19D5"/>
    <w:rsid w:val="001B2CA5"/>
    <w:rsid w:val="001B5353"/>
    <w:rsid w:val="001C4234"/>
    <w:rsid w:val="001D09BC"/>
    <w:rsid w:val="001D3835"/>
    <w:rsid w:val="001E0145"/>
    <w:rsid w:val="001E133C"/>
    <w:rsid w:val="001E56AF"/>
    <w:rsid w:val="001E6295"/>
    <w:rsid w:val="001E7FF8"/>
    <w:rsid w:val="001F0E09"/>
    <w:rsid w:val="00202A46"/>
    <w:rsid w:val="00215D93"/>
    <w:rsid w:val="002223FC"/>
    <w:rsid w:val="0022395B"/>
    <w:rsid w:val="00237774"/>
    <w:rsid w:val="00253240"/>
    <w:rsid w:val="002601B7"/>
    <w:rsid w:val="00260C6D"/>
    <w:rsid w:val="002702A3"/>
    <w:rsid w:val="002744EC"/>
    <w:rsid w:val="002808DC"/>
    <w:rsid w:val="00285750"/>
    <w:rsid w:val="002906B5"/>
    <w:rsid w:val="002A42EE"/>
    <w:rsid w:val="002B1FA3"/>
    <w:rsid w:val="002C03A6"/>
    <w:rsid w:val="002C0BD9"/>
    <w:rsid w:val="002C3DA0"/>
    <w:rsid w:val="002C43AE"/>
    <w:rsid w:val="002C7A8A"/>
    <w:rsid w:val="002D07B6"/>
    <w:rsid w:val="002D49AF"/>
    <w:rsid w:val="002D5423"/>
    <w:rsid w:val="002E2919"/>
    <w:rsid w:val="002F0510"/>
    <w:rsid w:val="00314E5B"/>
    <w:rsid w:val="00317CDB"/>
    <w:rsid w:val="003225B9"/>
    <w:rsid w:val="0032375E"/>
    <w:rsid w:val="00327A44"/>
    <w:rsid w:val="003340E3"/>
    <w:rsid w:val="003530BB"/>
    <w:rsid w:val="00361AA1"/>
    <w:rsid w:val="003646AE"/>
    <w:rsid w:val="00364D08"/>
    <w:rsid w:val="0037442E"/>
    <w:rsid w:val="00374C1A"/>
    <w:rsid w:val="00376B03"/>
    <w:rsid w:val="00384BBE"/>
    <w:rsid w:val="00393E3E"/>
    <w:rsid w:val="00394005"/>
    <w:rsid w:val="003A0528"/>
    <w:rsid w:val="003A119C"/>
    <w:rsid w:val="003B0E96"/>
    <w:rsid w:val="003B15C1"/>
    <w:rsid w:val="003B3103"/>
    <w:rsid w:val="003B46B1"/>
    <w:rsid w:val="003F1626"/>
    <w:rsid w:val="003F2910"/>
    <w:rsid w:val="00402676"/>
    <w:rsid w:val="004026B6"/>
    <w:rsid w:val="004111CB"/>
    <w:rsid w:val="004167BA"/>
    <w:rsid w:val="00421E0F"/>
    <w:rsid w:val="0042397F"/>
    <w:rsid w:val="00437266"/>
    <w:rsid w:val="0044570E"/>
    <w:rsid w:val="0045344A"/>
    <w:rsid w:val="004564F9"/>
    <w:rsid w:val="0046513A"/>
    <w:rsid w:val="004936C5"/>
    <w:rsid w:val="004A309F"/>
    <w:rsid w:val="004B3E78"/>
    <w:rsid w:val="004B4C8A"/>
    <w:rsid w:val="004B4CF8"/>
    <w:rsid w:val="004C0722"/>
    <w:rsid w:val="004C2EA1"/>
    <w:rsid w:val="004C44D0"/>
    <w:rsid w:val="004C61E5"/>
    <w:rsid w:val="004D04A6"/>
    <w:rsid w:val="004D2FCB"/>
    <w:rsid w:val="004D6EF1"/>
    <w:rsid w:val="004F51B7"/>
    <w:rsid w:val="004F5D98"/>
    <w:rsid w:val="00512BB7"/>
    <w:rsid w:val="00514FB8"/>
    <w:rsid w:val="005150C1"/>
    <w:rsid w:val="0051797B"/>
    <w:rsid w:val="00525D3E"/>
    <w:rsid w:val="005301A7"/>
    <w:rsid w:val="00542AEC"/>
    <w:rsid w:val="0054352E"/>
    <w:rsid w:val="00556665"/>
    <w:rsid w:val="005618A3"/>
    <w:rsid w:val="00566B41"/>
    <w:rsid w:val="00572AEC"/>
    <w:rsid w:val="005746E4"/>
    <w:rsid w:val="00575402"/>
    <w:rsid w:val="00587B8B"/>
    <w:rsid w:val="0059077C"/>
    <w:rsid w:val="00594BAC"/>
    <w:rsid w:val="00597365"/>
    <w:rsid w:val="005973C2"/>
    <w:rsid w:val="005A788B"/>
    <w:rsid w:val="005A7D42"/>
    <w:rsid w:val="005B2ACB"/>
    <w:rsid w:val="005B448F"/>
    <w:rsid w:val="005B4DF8"/>
    <w:rsid w:val="005D2DAE"/>
    <w:rsid w:val="005D4154"/>
    <w:rsid w:val="005D6434"/>
    <w:rsid w:val="005E0702"/>
    <w:rsid w:val="005E1344"/>
    <w:rsid w:val="005E2C19"/>
    <w:rsid w:val="005E793C"/>
    <w:rsid w:val="005F25F3"/>
    <w:rsid w:val="005F4468"/>
    <w:rsid w:val="006043AB"/>
    <w:rsid w:val="006145F3"/>
    <w:rsid w:val="00620840"/>
    <w:rsid w:val="006209C2"/>
    <w:rsid w:val="00622FF6"/>
    <w:rsid w:val="00623214"/>
    <w:rsid w:val="00625E24"/>
    <w:rsid w:val="00626A82"/>
    <w:rsid w:val="006320F0"/>
    <w:rsid w:val="00632E10"/>
    <w:rsid w:val="006339C3"/>
    <w:rsid w:val="006430F0"/>
    <w:rsid w:val="006504CC"/>
    <w:rsid w:val="00654EFE"/>
    <w:rsid w:val="00655BC0"/>
    <w:rsid w:val="00663B7C"/>
    <w:rsid w:val="006652A9"/>
    <w:rsid w:val="00673E70"/>
    <w:rsid w:val="0067459E"/>
    <w:rsid w:val="00681C3B"/>
    <w:rsid w:val="00681C4B"/>
    <w:rsid w:val="00693E74"/>
    <w:rsid w:val="00695B16"/>
    <w:rsid w:val="006A1A3B"/>
    <w:rsid w:val="006D3734"/>
    <w:rsid w:val="006E349A"/>
    <w:rsid w:val="006E3E56"/>
    <w:rsid w:val="006E6523"/>
    <w:rsid w:val="00703FA0"/>
    <w:rsid w:val="00714215"/>
    <w:rsid w:val="00722079"/>
    <w:rsid w:val="00727549"/>
    <w:rsid w:val="007276AA"/>
    <w:rsid w:val="007276B9"/>
    <w:rsid w:val="00732069"/>
    <w:rsid w:val="00734A1E"/>
    <w:rsid w:val="00735683"/>
    <w:rsid w:val="00742F67"/>
    <w:rsid w:val="00743200"/>
    <w:rsid w:val="00750F5B"/>
    <w:rsid w:val="00760A99"/>
    <w:rsid w:val="00764799"/>
    <w:rsid w:val="007762D2"/>
    <w:rsid w:val="00776D4E"/>
    <w:rsid w:val="00782EAF"/>
    <w:rsid w:val="0078397B"/>
    <w:rsid w:val="007859B8"/>
    <w:rsid w:val="007870AE"/>
    <w:rsid w:val="00787A68"/>
    <w:rsid w:val="007A485A"/>
    <w:rsid w:val="007A4AF7"/>
    <w:rsid w:val="007A6F61"/>
    <w:rsid w:val="007C0AFF"/>
    <w:rsid w:val="007C52F0"/>
    <w:rsid w:val="007D158A"/>
    <w:rsid w:val="007D2821"/>
    <w:rsid w:val="007E382D"/>
    <w:rsid w:val="007F0BE6"/>
    <w:rsid w:val="007F185B"/>
    <w:rsid w:val="007F2AB6"/>
    <w:rsid w:val="007F6B81"/>
    <w:rsid w:val="00800366"/>
    <w:rsid w:val="0080070D"/>
    <w:rsid w:val="0080083B"/>
    <w:rsid w:val="0080180C"/>
    <w:rsid w:val="00804863"/>
    <w:rsid w:val="0081404B"/>
    <w:rsid w:val="008210C8"/>
    <w:rsid w:val="008237B6"/>
    <w:rsid w:val="00832AC1"/>
    <w:rsid w:val="00832D41"/>
    <w:rsid w:val="00832FC8"/>
    <w:rsid w:val="008413EC"/>
    <w:rsid w:val="00843467"/>
    <w:rsid w:val="00843F0E"/>
    <w:rsid w:val="0084680B"/>
    <w:rsid w:val="00847963"/>
    <w:rsid w:val="00880ACA"/>
    <w:rsid w:val="00884C7C"/>
    <w:rsid w:val="00885414"/>
    <w:rsid w:val="008872D8"/>
    <w:rsid w:val="008908F4"/>
    <w:rsid w:val="008A7A72"/>
    <w:rsid w:val="008B221D"/>
    <w:rsid w:val="008B37AA"/>
    <w:rsid w:val="008B3919"/>
    <w:rsid w:val="008B45A0"/>
    <w:rsid w:val="008B758E"/>
    <w:rsid w:val="008C0814"/>
    <w:rsid w:val="008C2FB6"/>
    <w:rsid w:val="008C59E9"/>
    <w:rsid w:val="008D220A"/>
    <w:rsid w:val="008D6F01"/>
    <w:rsid w:val="008D7296"/>
    <w:rsid w:val="008E1285"/>
    <w:rsid w:val="008E1BFE"/>
    <w:rsid w:val="008E63B6"/>
    <w:rsid w:val="008E6D86"/>
    <w:rsid w:val="009001F0"/>
    <w:rsid w:val="009067CA"/>
    <w:rsid w:val="0090707A"/>
    <w:rsid w:val="00926A1B"/>
    <w:rsid w:val="0093201B"/>
    <w:rsid w:val="009352FC"/>
    <w:rsid w:val="00941B14"/>
    <w:rsid w:val="00945F7B"/>
    <w:rsid w:val="00954968"/>
    <w:rsid w:val="0095566B"/>
    <w:rsid w:val="00966A04"/>
    <w:rsid w:val="00971368"/>
    <w:rsid w:val="00972A9E"/>
    <w:rsid w:val="00973B8D"/>
    <w:rsid w:val="00976AE6"/>
    <w:rsid w:val="00983979"/>
    <w:rsid w:val="00985A15"/>
    <w:rsid w:val="0098682D"/>
    <w:rsid w:val="00987467"/>
    <w:rsid w:val="00990354"/>
    <w:rsid w:val="009A09D0"/>
    <w:rsid w:val="009A51EB"/>
    <w:rsid w:val="009B240F"/>
    <w:rsid w:val="009B4B3A"/>
    <w:rsid w:val="009B664A"/>
    <w:rsid w:val="009D2F7F"/>
    <w:rsid w:val="009D7827"/>
    <w:rsid w:val="00A030CD"/>
    <w:rsid w:val="00A109BC"/>
    <w:rsid w:val="00A10B1B"/>
    <w:rsid w:val="00A1735C"/>
    <w:rsid w:val="00A23DC2"/>
    <w:rsid w:val="00A241DF"/>
    <w:rsid w:val="00A26BC9"/>
    <w:rsid w:val="00A303C8"/>
    <w:rsid w:val="00A33367"/>
    <w:rsid w:val="00A35E27"/>
    <w:rsid w:val="00A3658E"/>
    <w:rsid w:val="00A4316A"/>
    <w:rsid w:val="00A47524"/>
    <w:rsid w:val="00A53E59"/>
    <w:rsid w:val="00A551B5"/>
    <w:rsid w:val="00A626F0"/>
    <w:rsid w:val="00A7085F"/>
    <w:rsid w:val="00A727CA"/>
    <w:rsid w:val="00A743BC"/>
    <w:rsid w:val="00A751BC"/>
    <w:rsid w:val="00A77CA9"/>
    <w:rsid w:val="00A832B6"/>
    <w:rsid w:val="00A84542"/>
    <w:rsid w:val="00A86074"/>
    <w:rsid w:val="00A866EE"/>
    <w:rsid w:val="00A90A35"/>
    <w:rsid w:val="00A91D74"/>
    <w:rsid w:val="00A9794D"/>
    <w:rsid w:val="00AA6A8D"/>
    <w:rsid w:val="00AB17FD"/>
    <w:rsid w:val="00AB5F7E"/>
    <w:rsid w:val="00AC7A0F"/>
    <w:rsid w:val="00AD319A"/>
    <w:rsid w:val="00AD4D7A"/>
    <w:rsid w:val="00AE40C6"/>
    <w:rsid w:val="00AF0867"/>
    <w:rsid w:val="00AF503A"/>
    <w:rsid w:val="00B132C0"/>
    <w:rsid w:val="00B13E24"/>
    <w:rsid w:val="00B22EE4"/>
    <w:rsid w:val="00B326AD"/>
    <w:rsid w:val="00B3476B"/>
    <w:rsid w:val="00B35022"/>
    <w:rsid w:val="00B52198"/>
    <w:rsid w:val="00B52C98"/>
    <w:rsid w:val="00B57F8B"/>
    <w:rsid w:val="00B60D05"/>
    <w:rsid w:val="00B6436C"/>
    <w:rsid w:val="00B6560D"/>
    <w:rsid w:val="00B67CE2"/>
    <w:rsid w:val="00B8125E"/>
    <w:rsid w:val="00B83833"/>
    <w:rsid w:val="00B91CDE"/>
    <w:rsid w:val="00B93613"/>
    <w:rsid w:val="00B96E80"/>
    <w:rsid w:val="00BA3ED6"/>
    <w:rsid w:val="00BA7EA7"/>
    <w:rsid w:val="00BB173A"/>
    <w:rsid w:val="00BB247D"/>
    <w:rsid w:val="00BB44AF"/>
    <w:rsid w:val="00BC7C82"/>
    <w:rsid w:val="00BE1843"/>
    <w:rsid w:val="00BE4BEE"/>
    <w:rsid w:val="00BF34D1"/>
    <w:rsid w:val="00BF4CBA"/>
    <w:rsid w:val="00BF5BC9"/>
    <w:rsid w:val="00C058C6"/>
    <w:rsid w:val="00C063C0"/>
    <w:rsid w:val="00C073A4"/>
    <w:rsid w:val="00C07C0E"/>
    <w:rsid w:val="00C11669"/>
    <w:rsid w:val="00C13D40"/>
    <w:rsid w:val="00C20918"/>
    <w:rsid w:val="00C247F2"/>
    <w:rsid w:val="00C2557A"/>
    <w:rsid w:val="00C27CBE"/>
    <w:rsid w:val="00C32CB2"/>
    <w:rsid w:val="00C533A1"/>
    <w:rsid w:val="00C53E95"/>
    <w:rsid w:val="00C55F83"/>
    <w:rsid w:val="00C5780E"/>
    <w:rsid w:val="00C616C4"/>
    <w:rsid w:val="00C61C8A"/>
    <w:rsid w:val="00C6757F"/>
    <w:rsid w:val="00C71EEC"/>
    <w:rsid w:val="00C7632B"/>
    <w:rsid w:val="00C8464D"/>
    <w:rsid w:val="00C90446"/>
    <w:rsid w:val="00C9114C"/>
    <w:rsid w:val="00C93672"/>
    <w:rsid w:val="00C971DE"/>
    <w:rsid w:val="00CA71AC"/>
    <w:rsid w:val="00CA72B8"/>
    <w:rsid w:val="00CB02E0"/>
    <w:rsid w:val="00CB4605"/>
    <w:rsid w:val="00CB5AF9"/>
    <w:rsid w:val="00CC15A7"/>
    <w:rsid w:val="00CC366E"/>
    <w:rsid w:val="00CC6DCE"/>
    <w:rsid w:val="00CD0DA2"/>
    <w:rsid w:val="00CD25C7"/>
    <w:rsid w:val="00CE1DE1"/>
    <w:rsid w:val="00CE47F2"/>
    <w:rsid w:val="00CE77D7"/>
    <w:rsid w:val="00CF2115"/>
    <w:rsid w:val="00CF2697"/>
    <w:rsid w:val="00CF3373"/>
    <w:rsid w:val="00CF4514"/>
    <w:rsid w:val="00D03513"/>
    <w:rsid w:val="00D04364"/>
    <w:rsid w:val="00D06DCD"/>
    <w:rsid w:val="00D1330A"/>
    <w:rsid w:val="00D14D5E"/>
    <w:rsid w:val="00D2061D"/>
    <w:rsid w:val="00D23B39"/>
    <w:rsid w:val="00D23DD7"/>
    <w:rsid w:val="00D25BE2"/>
    <w:rsid w:val="00D26FB6"/>
    <w:rsid w:val="00D32777"/>
    <w:rsid w:val="00D33E9C"/>
    <w:rsid w:val="00D3748A"/>
    <w:rsid w:val="00D41302"/>
    <w:rsid w:val="00D42E76"/>
    <w:rsid w:val="00D50907"/>
    <w:rsid w:val="00D50DDA"/>
    <w:rsid w:val="00D528C3"/>
    <w:rsid w:val="00D53658"/>
    <w:rsid w:val="00D611BC"/>
    <w:rsid w:val="00D70881"/>
    <w:rsid w:val="00D7203D"/>
    <w:rsid w:val="00D74F84"/>
    <w:rsid w:val="00D820AB"/>
    <w:rsid w:val="00D93E78"/>
    <w:rsid w:val="00D940A4"/>
    <w:rsid w:val="00DB0084"/>
    <w:rsid w:val="00DB54D4"/>
    <w:rsid w:val="00DC05F1"/>
    <w:rsid w:val="00DC4948"/>
    <w:rsid w:val="00DD1F36"/>
    <w:rsid w:val="00DD6C3E"/>
    <w:rsid w:val="00DE32D5"/>
    <w:rsid w:val="00DE727C"/>
    <w:rsid w:val="00DF04C6"/>
    <w:rsid w:val="00DF4B26"/>
    <w:rsid w:val="00E04DDA"/>
    <w:rsid w:val="00E2028E"/>
    <w:rsid w:val="00E24804"/>
    <w:rsid w:val="00E27588"/>
    <w:rsid w:val="00E27ACD"/>
    <w:rsid w:val="00E30647"/>
    <w:rsid w:val="00E348F2"/>
    <w:rsid w:val="00E45ADF"/>
    <w:rsid w:val="00E55872"/>
    <w:rsid w:val="00E5729C"/>
    <w:rsid w:val="00E57313"/>
    <w:rsid w:val="00E625C1"/>
    <w:rsid w:val="00E64FE2"/>
    <w:rsid w:val="00E65BB2"/>
    <w:rsid w:val="00E7038A"/>
    <w:rsid w:val="00E70D07"/>
    <w:rsid w:val="00E76F60"/>
    <w:rsid w:val="00E7724E"/>
    <w:rsid w:val="00E8773F"/>
    <w:rsid w:val="00E93DD9"/>
    <w:rsid w:val="00EB1D30"/>
    <w:rsid w:val="00EB2A51"/>
    <w:rsid w:val="00EB2F5A"/>
    <w:rsid w:val="00EC2B28"/>
    <w:rsid w:val="00EC58F5"/>
    <w:rsid w:val="00EC64AF"/>
    <w:rsid w:val="00ED277B"/>
    <w:rsid w:val="00ED484F"/>
    <w:rsid w:val="00EE07D9"/>
    <w:rsid w:val="00F04BD0"/>
    <w:rsid w:val="00F05850"/>
    <w:rsid w:val="00F15188"/>
    <w:rsid w:val="00F15B16"/>
    <w:rsid w:val="00F24F3A"/>
    <w:rsid w:val="00F25140"/>
    <w:rsid w:val="00F41BBF"/>
    <w:rsid w:val="00F454D2"/>
    <w:rsid w:val="00F45F31"/>
    <w:rsid w:val="00F4691A"/>
    <w:rsid w:val="00F66C5E"/>
    <w:rsid w:val="00F706D1"/>
    <w:rsid w:val="00F73BC6"/>
    <w:rsid w:val="00F74CA2"/>
    <w:rsid w:val="00F7589C"/>
    <w:rsid w:val="00F902F8"/>
    <w:rsid w:val="00F941B6"/>
    <w:rsid w:val="00F967C1"/>
    <w:rsid w:val="00FA42B2"/>
    <w:rsid w:val="00FA60AB"/>
    <w:rsid w:val="00FB5400"/>
    <w:rsid w:val="00FC19BA"/>
    <w:rsid w:val="00FC20AC"/>
    <w:rsid w:val="00FC33BC"/>
    <w:rsid w:val="00FC7C0F"/>
    <w:rsid w:val="00FD4C0E"/>
    <w:rsid w:val="00FD78D2"/>
    <w:rsid w:val="00FE1A63"/>
    <w:rsid w:val="00FE22D5"/>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B96DEF"/>
  <w14:defaultImageDpi w14:val="0"/>
  <w15:docId w15:val="{139DD062-CD6D-4BD3-9C42-7BC25F7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F9"/>
    <w:rPr>
      <w:rFonts w:ascii="Arial" w:hAnsi="Arial"/>
      <w:sz w:val="24"/>
    </w:rPr>
  </w:style>
  <w:style w:type="paragraph" w:styleId="Heading1">
    <w:name w:val="heading 1"/>
    <w:basedOn w:val="Normal"/>
    <w:next w:val="Normal"/>
    <w:link w:val="Heading1Char"/>
    <w:uiPriority w:val="9"/>
    <w:qFormat/>
    <w:rsid w:val="00CB5AF9"/>
    <w:pPr>
      <w:keepNext/>
      <w:outlineLvl w:val="0"/>
    </w:pPr>
    <w:rPr>
      <w:b/>
      <w:lang w:eastAsia="en-US"/>
    </w:rPr>
  </w:style>
  <w:style w:type="paragraph" w:styleId="Heading3">
    <w:name w:val="heading 3"/>
    <w:basedOn w:val="Normal"/>
    <w:next w:val="Normal"/>
    <w:link w:val="Heading3Char"/>
    <w:uiPriority w:val="9"/>
    <w:qFormat/>
    <w:rsid w:val="00CB5AF9"/>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AF9"/>
    <w:pPr>
      <w:keepNext/>
      <w:ind w:left="720"/>
      <w:outlineLvl w:val="3"/>
    </w:pPr>
    <w:rPr>
      <w:b/>
    </w:rPr>
  </w:style>
  <w:style w:type="paragraph" w:styleId="Heading5">
    <w:name w:val="heading 5"/>
    <w:basedOn w:val="Normal"/>
    <w:next w:val="Normal"/>
    <w:link w:val="Heading5Char"/>
    <w:uiPriority w:val="9"/>
    <w:qFormat/>
    <w:rsid w:val="00CB5AF9"/>
    <w:pPr>
      <w:keepNext/>
      <w:outlineLvl w:val="4"/>
    </w:pPr>
    <w:rPr>
      <w:rFonts w:ascii="Univers" w:hAnsi="Univers"/>
      <w:b/>
      <w:sz w:val="22"/>
      <w:u w:val="single"/>
      <w:lang w:eastAsia="en-US"/>
    </w:rPr>
  </w:style>
  <w:style w:type="paragraph" w:styleId="Heading6">
    <w:name w:val="heading 6"/>
    <w:basedOn w:val="Normal"/>
    <w:next w:val="Normal"/>
    <w:link w:val="Heading6Char"/>
    <w:uiPriority w:val="9"/>
    <w:qFormat/>
    <w:rsid w:val="00CB5AF9"/>
    <w:pPr>
      <w:keepNext/>
      <w:outlineLvl w:val="5"/>
    </w:pPr>
    <w:rPr>
      <w:rFonts w:ascii="Univers" w:hAnsi="Univers"/>
      <w:b/>
      <w:sz w:val="22"/>
      <w:lang w:eastAsia="en-US"/>
    </w:rPr>
  </w:style>
  <w:style w:type="paragraph" w:styleId="Heading7">
    <w:name w:val="heading 7"/>
    <w:basedOn w:val="Normal"/>
    <w:next w:val="Normal"/>
    <w:link w:val="Heading7Char"/>
    <w:uiPriority w:val="9"/>
    <w:qFormat/>
    <w:rsid w:val="00CB5AF9"/>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434"/>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5D643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D6434"/>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D643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D6434"/>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5D6434"/>
    <w:rPr>
      <w:rFonts w:asciiTheme="minorHAnsi" w:eastAsiaTheme="minorEastAsia" w:hAnsiTheme="minorHAnsi" w:cs="Times New Roman"/>
      <w:sz w:val="24"/>
      <w:szCs w:val="24"/>
    </w:rPr>
  </w:style>
  <w:style w:type="paragraph" w:styleId="BodyText">
    <w:name w:val="Body Text"/>
    <w:basedOn w:val="Normal"/>
    <w:link w:val="BodyTextChar"/>
    <w:uiPriority w:val="99"/>
    <w:rsid w:val="00CB5AF9"/>
    <w:rPr>
      <w:lang w:eastAsia="en-US"/>
    </w:rPr>
  </w:style>
  <w:style w:type="character" w:customStyle="1" w:styleId="BodyTextChar">
    <w:name w:val="Body Text Char"/>
    <w:basedOn w:val="DefaultParagraphFont"/>
    <w:link w:val="BodyText"/>
    <w:uiPriority w:val="99"/>
    <w:semiHidden/>
    <w:locked/>
    <w:rsid w:val="005D6434"/>
    <w:rPr>
      <w:rFonts w:ascii="Arial" w:hAnsi="Arial" w:cs="Times New Roman"/>
      <w:sz w:val="24"/>
    </w:rPr>
  </w:style>
  <w:style w:type="paragraph" w:styleId="Header">
    <w:name w:val="header"/>
    <w:basedOn w:val="Normal"/>
    <w:link w:val="HeaderChar"/>
    <w:uiPriority w:val="99"/>
    <w:rsid w:val="00CB5AF9"/>
    <w:rPr>
      <w:rFonts w:ascii="Universal" w:hAnsi="Universal"/>
      <w:sz w:val="22"/>
      <w:lang w:eastAsia="en-US"/>
    </w:rPr>
  </w:style>
  <w:style w:type="character" w:customStyle="1" w:styleId="HeaderChar">
    <w:name w:val="Header Char"/>
    <w:basedOn w:val="DefaultParagraphFont"/>
    <w:link w:val="Header"/>
    <w:uiPriority w:val="99"/>
    <w:semiHidden/>
    <w:locked/>
    <w:rsid w:val="005D6434"/>
    <w:rPr>
      <w:rFonts w:ascii="Arial" w:hAnsi="Arial" w:cs="Times New Roman"/>
      <w:sz w:val="24"/>
    </w:rPr>
  </w:style>
  <w:style w:type="paragraph" w:styleId="Footer">
    <w:name w:val="footer"/>
    <w:basedOn w:val="Normal"/>
    <w:link w:val="FooterChar"/>
    <w:uiPriority w:val="99"/>
    <w:rsid w:val="00CB5AF9"/>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5D6434"/>
    <w:rPr>
      <w:rFonts w:ascii="Arial" w:hAnsi="Arial" w:cs="Times New Roman"/>
      <w:sz w:val="24"/>
    </w:rPr>
  </w:style>
  <w:style w:type="paragraph" w:styleId="BodyTextIndent">
    <w:name w:val="Body Text Indent"/>
    <w:basedOn w:val="Normal"/>
    <w:link w:val="BodyTextIndentChar"/>
    <w:uiPriority w:val="99"/>
    <w:rsid w:val="00CB5AF9"/>
    <w:rPr>
      <w:b/>
      <w:lang w:eastAsia="en-US"/>
    </w:rPr>
  </w:style>
  <w:style w:type="character" w:customStyle="1" w:styleId="BodyTextIndentChar">
    <w:name w:val="Body Text Indent Char"/>
    <w:basedOn w:val="DefaultParagraphFont"/>
    <w:link w:val="BodyTextIndent"/>
    <w:uiPriority w:val="99"/>
    <w:semiHidden/>
    <w:locked/>
    <w:rsid w:val="005D6434"/>
    <w:rPr>
      <w:rFonts w:ascii="Arial" w:hAnsi="Arial" w:cs="Times New Roman"/>
      <w:sz w:val="24"/>
    </w:rPr>
  </w:style>
  <w:style w:type="paragraph" w:styleId="BodyText3">
    <w:name w:val="Body Text 3"/>
    <w:basedOn w:val="Normal"/>
    <w:link w:val="BodyText3Char"/>
    <w:uiPriority w:val="99"/>
    <w:rsid w:val="00CB5AF9"/>
    <w:rPr>
      <w:b/>
    </w:rPr>
  </w:style>
  <w:style w:type="character" w:customStyle="1" w:styleId="BodyText3Char">
    <w:name w:val="Body Text 3 Char"/>
    <w:basedOn w:val="DefaultParagraphFont"/>
    <w:link w:val="BodyText3"/>
    <w:uiPriority w:val="99"/>
    <w:semiHidden/>
    <w:locked/>
    <w:rsid w:val="005D6434"/>
    <w:rPr>
      <w:rFonts w:ascii="Arial" w:hAnsi="Arial" w:cs="Times New Roman"/>
      <w:sz w:val="16"/>
      <w:szCs w:val="16"/>
    </w:rPr>
  </w:style>
  <w:style w:type="table" w:styleId="TableGrid">
    <w:name w:val="Table Grid"/>
    <w:basedOn w:val="TableNormal"/>
    <w:uiPriority w:val="59"/>
    <w:rsid w:val="00C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B5A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6434"/>
    <w:rPr>
      <w:rFonts w:ascii="Arial" w:hAnsi="Arial" w:cs="Times New Roman"/>
      <w:sz w:val="16"/>
      <w:szCs w:val="16"/>
    </w:rPr>
  </w:style>
  <w:style w:type="character" w:styleId="Hyperlink">
    <w:name w:val="Hyperlink"/>
    <w:basedOn w:val="DefaultParagraphFont"/>
    <w:uiPriority w:val="99"/>
    <w:rsid w:val="00A77CA9"/>
    <w:rPr>
      <w:rFonts w:cs="Times New Roman"/>
      <w:color w:val="0000FF"/>
      <w:u w:val="single"/>
    </w:rPr>
  </w:style>
  <w:style w:type="character" w:styleId="PageNumber">
    <w:name w:val="page number"/>
    <w:basedOn w:val="DefaultParagraphFont"/>
    <w:uiPriority w:val="99"/>
    <w:rsid w:val="00F45F31"/>
    <w:rPr>
      <w:rFonts w:cs="Times New Roman"/>
    </w:rPr>
  </w:style>
  <w:style w:type="paragraph" w:styleId="ListParagraph">
    <w:name w:val="List Paragraph"/>
    <w:basedOn w:val="Normal"/>
    <w:uiPriority w:val="34"/>
    <w:qFormat/>
    <w:rsid w:val="00066B3A"/>
    <w:pPr>
      <w:ind w:left="720"/>
    </w:pPr>
  </w:style>
  <w:style w:type="character" w:styleId="FollowedHyperlink">
    <w:name w:val="FollowedHyperlink"/>
    <w:basedOn w:val="DefaultParagraphFont"/>
    <w:uiPriority w:val="99"/>
    <w:semiHidden/>
    <w:unhideWhenUsed/>
    <w:rsid w:val="00BE1843"/>
    <w:rPr>
      <w:rFonts w:cs="Times New Roman"/>
      <w:color w:val="800080"/>
      <w:u w:val="single"/>
    </w:rPr>
  </w:style>
  <w:style w:type="paragraph" w:styleId="BalloonText">
    <w:name w:val="Balloon Text"/>
    <w:basedOn w:val="Normal"/>
    <w:link w:val="BalloonTextChar"/>
    <w:uiPriority w:val="99"/>
    <w:semiHidden/>
    <w:rsid w:val="008413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434"/>
    <w:rPr>
      <w:rFonts w:ascii="Tahoma" w:hAnsi="Tahoma" w:cs="Tahoma"/>
      <w:sz w:val="16"/>
      <w:szCs w:val="16"/>
    </w:rPr>
  </w:style>
  <w:style w:type="table" w:customStyle="1" w:styleId="TableGrid5">
    <w:name w:val="Table Grid5"/>
    <w:basedOn w:val="TableNormal"/>
    <w:next w:val="TableGrid"/>
    <w:uiPriority w:val="59"/>
    <w:rsid w:val="006E3E5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61C8A"/>
    <w:rPr>
      <w:rFonts w:cs="Times New Roman"/>
      <w:sz w:val="16"/>
      <w:szCs w:val="16"/>
    </w:rPr>
  </w:style>
  <w:style w:type="paragraph" w:styleId="CommentText">
    <w:name w:val="annotation text"/>
    <w:basedOn w:val="Normal"/>
    <w:link w:val="CommentTextChar"/>
    <w:uiPriority w:val="99"/>
    <w:rsid w:val="00C61C8A"/>
    <w:rPr>
      <w:sz w:val="20"/>
    </w:rPr>
  </w:style>
  <w:style w:type="character" w:customStyle="1" w:styleId="CommentTextChar">
    <w:name w:val="Comment Text Char"/>
    <w:basedOn w:val="DefaultParagraphFont"/>
    <w:link w:val="CommentText"/>
    <w:uiPriority w:val="99"/>
    <w:locked/>
    <w:rsid w:val="00C61C8A"/>
    <w:rPr>
      <w:rFonts w:ascii="Arial" w:hAnsi="Arial" w:cs="Times New Roman"/>
    </w:rPr>
  </w:style>
  <w:style w:type="paragraph" w:styleId="CommentSubject">
    <w:name w:val="annotation subject"/>
    <w:basedOn w:val="CommentText"/>
    <w:next w:val="CommentText"/>
    <w:link w:val="CommentSubjectChar"/>
    <w:uiPriority w:val="99"/>
    <w:rsid w:val="00C61C8A"/>
    <w:rPr>
      <w:b/>
      <w:bCs/>
    </w:rPr>
  </w:style>
  <w:style w:type="character" w:customStyle="1" w:styleId="CommentSubjectChar">
    <w:name w:val="Comment Subject Char"/>
    <w:basedOn w:val="CommentTextChar"/>
    <w:link w:val="CommentSubject"/>
    <w:uiPriority w:val="99"/>
    <w:locked/>
    <w:rsid w:val="00C61C8A"/>
    <w:rPr>
      <w:rFonts w:ascii="Arial" w:hAnsi="Arial" w:cs="Times New Roman"/>
      <w:b/>
      <w:bCs/>
    </w:rPr>
  </w:style>
  <w:style w:type="table" w:customStyle="1" w:styleId="TableGrid51">
    <w:name w:val="Table Grid51"/>
    <w:basedOn w:val="TableNormal"/>
    <w:next w:val="TableGrid"/>
    <w:uiPriority w:val="59"/>
    <w:rsid w:val="00314E5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210C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A1735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CF451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415">
      <w:bodyDiv w:val="1"/>
      <w:marLeft w:val="0"/>
      <w:marRight w:val="0"/>
      <w:marTop w:val="0"/>
      <w:marBottom w:val="0"/>
      <w:divBdr>
        <w:top w:val="none" w:sz="0" w:space="0" w:color="auto"/>
        <w:left w:val="none" w:sz="0" w:space="0" w:color="auto"/>
        <w:bottom w:val="none" w:sz="0" w:space="0" w:color="auto"/>
        <w:right w:val="none" w:sz="0" w:space="0" w:color="auto"/>
      </w:divBdr>
    </w:div>
    <w:div w:id="307782298">
      <w:bodyDiv w:val="1"/>
      <w:marLeft w:val="0"/>
      <w:marRight w:val="0"/>
      <w:marTop w:val="0"/>
      <w:marBottom w:val="0"/>
      <w:divBdr>
        <w:top w:val="none" w:sz="0" w:space="0" w:color="auto"/>
        <w:left w:val="none" w:sz="0" w:space="0" w:color="auto"/>
        <w:bottom w:val="none" w:sz="0" w:space="0" w:color="auto"/>
        <w:right w:val="none" w:sz="0" w:space="0" w:color="auto"/>
      </w:divBdr>
    </w:div>
    <w:div w:id="499809029">
      <w:bodyDiv w:val="1"/>
      <w:marLeft w:val="0"/>
      <w:marRight w:val="0"/>
      <w:marTop w:val="0"/>
      <w:marBottom w:val="0"/>
      <w:divBdr>
        <w:top w:val="none" w:sz="0" w:space="0" w:color="auto"/>
        <w:left w:val="none" w:sz="0" w:space="0" w:color="auto"/>
        <w:bottom w:val="none" w:sz="0" w:space="0" w:color="auto"/>
        <w:right w:val="none" w:sz="0" w:space="0" w:color="auto"/>
      </w:divBdr>
    </w:div>
    <w:div w:id="629938091">
      <w:bodyDiv w:val="1"/>
      <w:marLeft w:val="0"/>
      <w:marRight w:val="0"/>
      <w:marTop w:val="0"/>
      <w:marBottom w:val="0"/>
      <w:divBdr>
        <w:top w:val="none" w:sz="0" w:space="0" w:color="auto"/>
        <w:left w:val="none" w:sz="0" w:space="0" w:color="auto"/>
        <w:bottom w:val="none" w:sz="0" w:space="0" w:color="auto"/>
        <w:right w:val="none" w:sz="0" w:space="0" w:color="auto"/>
      </w:divBdr>
    </w:div>
    <w:div w:id="648556046">
      <w:bodyDiv w:val="1"/>
      <w:marLeft w:val="0"/>
      <w:marRight w:val="0"/>
      <w:marTop w:val="0"/>
      <w:marBottom w:val="0"/>
      <w:divBdr>
        <w:top w:val="none" w:sz="0" w:space="0" w:color="auto"/>
        <w:left w:val="none" w:sz="0" w:space="0" w:color="auto"/>
        <w:bottom w:val="none" w:sz="0" w:space="0" w:color="auto"/>
        <w:right w:val="none" w:sz="0" w:space="0" w:color="auto"/>
      </w:divBdr>
    </w:div>
    <w:div w:id="657538462">
      <w:marLeft w:val="0"/>
      <w:marRight w:val="0"/>
      <w:marTop w:val="0"/>
      <w:marBottom w:val="0"/>
      <w:divBdr>
        <w:top w:val="none" w:sz="0" w:space="0" w:color="auto"/>
        <w:left w:val="none" w:sz="0" w:space="0" w:color="auto"/>
        <w:bottom w:val="none" w:sz="0" w:space="0" w:color="auto"/>
        <w:right w:val="none" w:sz="0" w:space="0" w:color="auto"/>
      </w:divBdr>
    </w:div>
    <w:div w:id="657538463">
      <w:marLeft w:val="0"/>
      <w:marRight w:val="0"/>
      <w:marTop w:val="0"/>
      <w:marBottom w:val="0"/>
      <w:divBdr>
        <w:top w:val="none" w:sz="0" w:space="0" w:color="auto"/>
        <w:left w:val="none" w:sz="0" w:space="0" w:color="auto"/>
        <w:bottom w:val="none" w:sz="0" w:space="0" w:color="auto"/>
        <w:right w:val="none" w:sz="0" w:space="0" w:color="auto"/>
      </w:divBdr>
    </w:div>
    <w:div w:id="657538464">
      <w:marLeft w:val="0"/>
      <w:marRight w:val="0"/>
      <w:marTop w:val="0"/>
      <w:marBottom w:val="0"/>
      <w:divBdr>
        <w:top w:val="none" w:sz="0" w:space="0" w:color="auto"/>
        <w:left w:val="none" w:sz="0" w:space="0" w:color="auto"/>
        <w:bottom w:val="none" w:sz="0" w:space="0" w:color="auto"/>
        <w:right w:val="none" w:sz="0" w:space="0" w:color="auto"/>
      </w:divBdr>
    </w:div>
    <w:div w:id="657538465">
      <w:marLeft w:val="0"/>
      <w:marRight w:val="0"/>
      <w:marTop w:val="0"/>
      <w:marBottom w:val="0"/>
      <w:divBdr>
        <w:top w:val="none" w:sz="0" w:space="0" w:color="auto"/>
        <w:left w:val="none" w:sz="0" w:space="0" w:color="auto"/>
        <w:bottom w:val="none" w:sz="0" w:space="0" w:color="auto"/>
        <w:right w:val="none" w:sz="0" w:space="0" w:color="auto"/>
      </w:divBdr>
    </w:div>
    <w:div w:id="657538466">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 w:id="1824617722">
      <w:bodyDiv w:val="1"/>
      <w:marLeft w:val="0"/>
      <w:marRight w:val="0"/>
      <w:marTop w:val="0"/>
      <w:marBottom w:val="0"/>
      <w:divBdr>
        <w:top w:val="none" w:sz="0" w:space="0" w:color="auto"/>
        <w:left w:val="none" w:sz="0" w:space="0" w:color="auto"/>
        <w:bottom w:val="none" w:sz="0" w:space="0" w:color="auto"/>
        <w:right w:val="none" w:sz="0" w:space="0" w:color="auto"/>
      </w:divBdr>
    </w:div>
    <w:div w:id="18909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ridgwell@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1506-792F-472A-8A15-D3D4DA52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1446</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of the County Council</vt:lpstr>
    </vt:vector>
  </TitlesOfParts>
  <Company>Lancashire County Council</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County Council</dc:title>
  <dc:subject/>
  <dc:creator>Corporate</dc:creator>
  <cp:keywords/>
  <dc:description/>
  <cp:lastModifiedBy>Gorman, Dave</cp:lastModifiedBy>
  <cp:revision>5</cp:revision>
  <cp:lastPrinted>2019-02-07T07:48:00Z</cp:lastPrinted>
  <dcterms:created xsi:type="dcterms:W3CDTF">2019-02-06T16:38:00Z</dcterms:created>
  <dcterms:modified xsi:type="dcterms:W3CDTF">2019-02-07T07:49:00Z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