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99" w:rsidRDefault="00F57258">
      <w:pPr>
        <w:rPr>
          <w:b/>
        </w:rPr>
      </w:pPr>
      <w:r>
        <w:rPr>
          <w:b/>
        </w:rPr>
        <w:t>Report to the Cabinet</w:t>
      </w:r>
    </w:p>
    <w:p w:rsidR="004C7699" w:rsidRDefault="00F57258">
      <w:r>
        <w:t xml:space="preserve">Meeting to be held on </w:t>
      </w:r>
      <w:r>
        <w:fldChar w:fldCharType="begin"/>
      </w:r>
      <w:r>
        <w:instrText xml:space="preserve"> DOCPROPERTY  MeetingDate  \* MERGEFORMAT </w:instrText>
      </w:r>
      <w:r>
        <w:fldChar w:fldCharType="separate"/>
      </w:r>
      <w:r>
        <w:t>Thursday, 16 January 20</w:t>
      </w:r>
      <w:r>
        <w:fldChar w:fldCharType="end"/>
      </w:r>
      <w:r>
        <w:t>20</w:t>
      </w:r>
    </w:p>
    <w:p w:rsidR="004C7699" w:rsidRDefault="00F57258"/>
    <w:p w:rsidR="004C7699" w:rsidRDefault="00F57258">
      <w:r w:rsidRPr="006648E6">
        <w:rPr>
          <w:b/>
        </w:rPr>
        <w:t>Report of the Head of Service - Education, Quality and Performance</w:t>
      </w:r>
    </w:p>
    <w:p w:rsidR="004C7699" w:rsidRDefault="00F57258"/>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D120A8" w:rsidTr="004C7699">
        <w:tc>
          <w:tcPr>
            <w:tcW w:w="3402" w:type="dxa"/>
            <w:tcBorders>
              <w:bottom w:val="single" w:sz="4" w:space="0" w:color="auto"/>
            </w:tcBorders>
          </w:tcPr>
          <w:p w:rsidR="004C7699" w:rsidRPr="00584C54" w:rsidRDefault="00F57258">
            <w:pPr>
              <w:pStyle w:val="BodyText"/>
              <w:rPr>
                <w:b/>
                <w:sz w:val="28"/>
                <w:szCs w:val="28"/>
              </w:rPr>
            </w:pPr>
            <w:r w:rsidRPr="00584C54">
              <w:rPr>
                <w:b/>
                <w:sz w:val="28"/>
                <w:szCs w:val="28"/>
              </w:rPr>
              <w:fldChar w:fldCharType="begin"/>
            </w:r>
            <w:r w:rsidRPr="00584C54">
              <w:rPr>
                <w:b/>
                <w:sz w:val="28"/>
                <w:szCs w:val="28"/>
              </w:rPr>
              <w:instrText xml:space="preserve"> DOCPROPERTY  IssueExemptionClassTitle  \* MERGEFORMAT </w:instrText>
            </w:r>
            <w:r w:rsidRPr="00584C54">
              <w:rPr>
                <w:b/>
                <w:sz w:val="28"/>
                <w:szCs w:val="28"/>
              </w:rPr>
              <w:fldChar w:fldCharType="separate"/>
            </w:r>
            <w:r w:rsidRPr="00584C54">
              <w:rPr>
                <w:b/>
                <w:sz w:val="28"/>
                <w:szCs w:val="28"/>
              </w:rPr>
              <w:t>Part I</w:t>
            </w:r>
            <w:r w:rsidRPr="00584C54">
              <w:rPr>
                <w:b/>
                <w:sz w:val="28"/>
                <w:szCs w:val="28"/>
              </w:rPr>
              <w:fldChar w:fldCharType="end"/>
            </w:r>
          </w:p>
        </w:tc>
      </w:tr>
      <w:tr w:rsidR="00D120A8" w:rsidTr="004C7699">
        <w:tc>
          <w:tcPr>
            <w:tcW w:w="3402" w:type="dxa"/>
            <w:tcBorders>
              <w:left w:val="nil"/>
              <w:right w:val="nil"/>
            </w:tcBorders>
          </w:tcPr>
          <w:p w:rsidR="004C7699" w:rsidRDefault="00F57258">
            <w:pPr>
              <w:pStyle w:val="BodyText"/>
            </w:pPr>
          </w:p>
        </w:tc>
      </w:tr>
      <w:tr w:rsidR="00D120A8">
        <w:tc>
          <w:tcPr>
            <w:tcW w:w="3402" w:type="dxa"/>
          </w:tcPr>
          <w:p w:rsidR="004C7699" w:rsidRDefault="00F57258">
            <w:pPr>
              <w:pStyle w:val="BodyText"/>
            </w:pPr>
            <w:r>
              <w:t>Electoral Divisions</w:t>
            </w:r>
            <w:r>
              <w:t xml:space="preserve"> affected:</w:t>
            </w:r>
          </w:p>
          <w:p w:rsidR="004C7699" w:rsidRPr="000C2F3E" w:rsidRDefault="00F57258" w:rsidP="002F5C15">
            <w:pPr>
              <w:ind w:right="-250"/>
            </w:pPr>
            <w:r>
              <w:t xml:space="preserve">Pendle, Burnley, Hyndburn    </w:t>
            </w:r>
            <w:r>
              <w:t>and Rossendale.</w:t>
            </w:r>
          </w:p>
        </w:tc>
      </w:tr>
    </w:tbl>
    <w:p w:rsidR="004C7699" w:rsidRDefault="00F57258">
      <w:pPr>
        <w:rPr>
          <w:b/>
          <w:u w:val="single"/>
        </w:rPr>
      </w:pPr>
    </w:p>
    <w:p w:rsidR="004C7699" w:rsidRDefault="00F57258">
      <w:pPr>
        <w:rPr>
          <w:b/>
        </w:rPr>
      </w:pPr>
      <w:r>
        <w:rPr>
          <w:b/>
        </w:rPr>
        <w:fldChar w:fldCharType="begin"/>
      </w:r>
      <w:r>
        <w:rPr>
          <w:b/>
        </w:rPr>
        <w:instrText xml:space="preserve"> DOCPROPERTY  IssueTitle  \* MERGEFORMAT </w:instrText>
      </w:r>
      <w:r>
        <w:rPr>
          <w:b/>
        </w:rPr>
        <w:fldChar w:fldCharType="separate"/>
      </w:r>
      <w:r>
        <w:rPr>
          <w:b/>
        </w:rPr>
        <w:t>Future of Hendon Brook Short Stay School</w:t>
      </w:r>
      <w:r>
        <w:rPr>
          <w:b/>
        </w:rPr>
        <w:fldChar w:fldCharType="end"/>
      </w:r>
      <w:r>
        <w:rPr>
          <w:b/>
        </w:rPr>
        <w:t>, Nelson</w:t>
      </w:r>
    </w:p>
    <w:p w:rsidR="004C7699" w:rsidRDefault="00F57258">
      <w:pPr>
        <w:ind w:left="709" w:hanging="709"/>
      </w:pPr>
      <w:r>
        <w:t>(Appendix 'A' refers)</w:t>
      </w:r>
    </w:p>
    <w:p w:rsidR="004C7699" w:rsidRDefault="00F57258"/>
    <w:p w:rsidR="004C7699" w:rsidRDefault="00F57258">
      <w:pPr>
        <w:ind w:right="-873"/>
      </w:pPr>
      <w:r>
        <w:t xml:space="preserve">Contact for further information: </w:t>
      </w:r>
    </w:p>
    <w:p w:rsidR="00F57258" w:rsidRDefault="00F57258">
      <w:pPr>
        <w:ind w:right="-873"/>
        <w:rPr>
          <w:rFonts w:ascii="ArialMT" w:hAnsi="ArialMT" w:cs="ArialMT"/>
          <w:szCs w:val="24"/>
        </w:rPr>
      </w:pPr>
      <w:r>
        <w:fldChar w:fldCharType="begin"/>
      </w:r>
      <w:r>
        <w:instrText xml:space="preserve"> DOCPROPERTY  LeadOfficer  \* MERGEFORMAT </w:instrText>
      </w:r>
      <w:r>
        <w:fldChar w:fldCharType="separate"/>
      </w:r>
      <w:r>
        <w:t>Paul Duckworth</w:t>
      </w:r>
      <w:r>
        <w:fldChar w:fldCharType="end"/>
      </w:r>
      <w:r>
        <w:t xml:space="preserve">, </w:t>
      </w:r>
      <w:r>
        <w:fldChar w:fldCharType="begin"/>
      </w:r>
      <w:r>
        <w:instrText xml:space="preserve"> DOCPROPERTY  LeadOfficerTel  \* MERGEFORMAT </w:instrText>
      </w:r>
      <w:r>
        <w:fldChar w:fldCharType="separate"/>
      </w:r>
      <w:r>
        <w:t>Tel: (</w:t>
      </w:r>
      <w:r>
        <w:t>01772)</w:t>
      </w:r>
      <w:r>
        <w:t xml:space="preserve"> 516166</w:t>
      </w:r>
      <w:r>
        <w:fldChar w:fldCharType="end"/>
      </w:r>
      <w:r>
        <w:rPr>
          <w:rFonts w:ascii="ArialMT" w:hAnsi="ArialMT" w:cs="ArialMT"/>
          <w:szCs w:val="24"/>
        </w:rPr>
        <w:t>, Head of Service -</w:t>
      </w:r>
      <w:r>
        <w:rPr>
          <w:rFonts w:ascii="ArialMT" w:hAnsi="ArialMT" w:cs="ArialMT"/>
          <w:szCs w:val="24"/>
        </w:rPr>
        <w:t xml:space="preserve"> Education, Quality and </w:t>
      </w:r>
    </w:p>
    <w:p w:rsidR="004C7699" w:rsidRDefault="00F57258">
      <w:pPr>
        <w:ind w:right="-873"/>
      </w:pPr>
      <w:r>
        <w:rPr>
          <w:rFonts w:ascii="ArialMT" w:hAnsi="ArialMT" w:cs="ArialMT"/>
          <w:szCs w:val="24"/>
        </w:rPr>
        <w:t>Performance (Acting)</w:t>
      </w:r>
      <w:r>
        <w:t xml:space="preserve"> </w:t>
      </w:r>
    </w:p>
    <w:p w:rsidR="004C7699" w:rsidRDefault="00F57258">
      <w:pPr>
        <w:ind w:right="-873"/>
      </w:pPr>
      <w:r>
        <w:fldChar w:fldCharType="begin"/>
      </w:r>
      <w:r>
        <w:instrText xml:space="preserve"> DOCPROPERTY  LeadOfficerEmail  \* MERGEFORMAT </w:instrText>
      </w:r>
      <w:r>
        <w:fldChar w:fldCharType="separate"/>
      </w:r>
      <w:r>
        <w:t>paul.duckworth@lan</w:t>
      </w:r>
      <w:r>
        <w:t>cashire.gov.uk</w:t>
      </w:r>
      <w:r>
        <w:fldChar w:fldCharType="end"/>
      </w:r>
    </w:p>
    <w:p w:rsidR="004C7699" w:rsidRDefault="00F5725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20A8">
        <w:tc>
          <w:tcPr>
            <w:tcW w:w="9180" w:type="dxa"/>
          </w:tcPr>
          <w:p w:rsidR="004C7699" w:rsidRDefault="00F57258">
            <w:pPr>
              <w:rPr>
                <w:b/>
                <w:u w:val="single"/>
              </w:rPr>
            </w:pPr>
          </w:p>
          <w:p w:rsidR="004C7699" w:rsidRPr="00CB0A1F" w:rsidRDefault="00F57258">
            <w:pPr>
              <w:pStyle w:val="Heading6"/>
              <w:rPr>
                <w:rFonts w:ascii="Arial" w:hAnsi="Arial" w:cs="Arial"/>
              </w:rPr>
            </w:pPr>
            <w:r w:rsidRPr="00CB0A1F">
              <w:rPr>
                <w:rFonts w:ascii="Arial" w:hAnsi="Arial" w:cs="Arial"/>
              </w:rPr>
              <w:t>Executive Summary</w:t>
            </w:r>
          </w:p>
          <w:p w:rsidR="004C7699" w:rsidRPr="002F5C15" w:rsidRDefault="00F57258">
            <w:pPr>
              <w:rPr>
                <w:rFonts w:cs="Arial"/>
                <w:b/>
              </w:rPr>
            </w:pPr>
          </w:p>
          <w:p w:rsidR="00A55DAD" w:rsidRPr="002F5C15" w:rsidRDefault="00F57258" w:rsidP="002F5C15">
            <w:pPr>
              <w:autoSpaceDE w:val="0"/>
              <w:autoSpaceDN w:val="0"/>
              <w:adjustRightInd w:val="0"/>
              <w:jc w:val="both"/>
              <w:rPr>
                <w:rFonts w:cs="Arial"/>
                <w:szCs w:val="24"/>
              </w:rPr>
            </w:pPr>
            <w:r w:rsidRPr="002F5C15">
              <w:rPr>
                <w:rFonts w:cs="Arial"/>
                <w:szCs w:val="24"/>
              </w:rPr>
              <w:t>Between 9 September and 18 October 2019, the local authority consulted on a proposal to close Hendon Brook Short Stay School,</w:t>
            </w:r>
            <w:r>
              <w:rPr>
                <w:rFonts w:cs="Arial"/>
                <w:szCs w:val="24"/>
              </w:rPr>
              <w:t xml:space="preserve"> Nelson,</w:t>
            </w:r>
            <w:r w:rsidRPr="002F5C15">
              <w:rPr>
                <w:rFonts w:cs="Arial"/>
                <w:szCs w:val="24"/>
              </w:rPr>
              <w:t xml:space="preserve"> with implementation commencing from 31 August 2020. Under the</w:t>
            </w:r>
            <w:r>
              <w:rPr>
                <w:rFonts w:cs="Arial"/>
                <w:szCs w:val="24"/>
              </w:rPr>
              <w:t xml:space="preserve"> standard</w:t>
            </w:r>
            <w:r w:rsidRPr="002F5C15">
              <w:rPr>
                <w:rFonts w:cs="Arial"/>
                <w:szCs w:val="24"/>
              </w:rPr>
              <w:t xml:space="preserve"> process, the authority is now required to consider the responses to the stage 1 consultation and decide whether to publish a </w:t>
            </w:r>
            <w:r>
              <w:rPr>
                <w:rFonts w:cs="Arial"/>
                <w:szCs w:val="24"/>
              </w:rPr>
              <w:t>Public</w:t>
            </w:r>
            <w:r w:rsidRPr="002F5C15">
              <w:rPr>
                <w:rFonts w:cs="Arial"/>
                <w:szCs w:val="24"/>
              </w:rPr>
              <w:t xml:space="preserve"> Notice on the proposal.</w:t>
            </w:r>
          </w:p>
          <w:p w:rsidR="004C7699" w:rsidRPr="002F5C15" w:rsidRDefault="00F57258" w:rsidP="002F5C15">
            <w:pPr>
              <w:autoSpaceDE w:val="0"/>
              <w:autoSpaceDN w:val="0"/>
              <w:adjustRightInd w:val="0"/>
              <w:jc w:val="both"/>
              <w:rPr>
                <w:rFonts w:cs="Arial"/>
                <w:szCs w:val="24"/>
              </w:rPr>
            </w:pPr>
          </w:p>
          <w:p w:rsidR="004C7699" w:rsidRPr="002F5C15" w:rsidRDefault="00F57258" w:rsidP="002F5C15">
            <w:pPr>
              <w:autoSpaceDE w:val="0"/>
              <w:autoSpaceDN w:val="0"/>
              <w:adjustRightInd w:val="0"/>
              <w:jc w:val="both"/>
              <w:rPr>
                <w:rFonts w:cs="Arial"/>
                <w:szCs w:val="24"/>
              </w:rPr>
            </w:pPr>
            <w:r w:rsidRPr="002F5C15">
              <w:rPr>
                <w:rFonts w:cs="Arial"/>
                <w:szCs w:val="24"/>
              </w:rPr>
              <w:t>The purpose of this report is to provide the information necessary for that decision to be conside</w:t>
            </w:r>
            <w:r w:rsidRPr="002F5C15">
              <w:rPr>
                <w:rFonts w:cs="Arial"/>
                <w:szCs w:val="24"/>
              </w:rPr>
              <w:t>red.</w:t>
            </w:r>
          </w:p>
          <w:p w:rsidR="004C7699" w:rsidRPr="00CB0A1F" w:rsidRDefault="00F57258" w:rsidP="002F5C15">
            <w:pPr>
              <w:jc w:val="both"/>
              <w:rPr>
                <w:rFonts w:cs="Arial"/>
                <w:b/>
              </w:rPr>
            </w:pPr>
          </w:p>
          <w:p w:rsidR="004C7699" w:rsidRPr="002F5C15" w:rsidRDefault="00F57258" w:rsidP="002F5C15">
            <w:pPr>
              <w:pStyle w:val="Heading5"/>
              <w:jc w:val="both"/>
              <w:rPr>
                <w:rFonts w:ascii="Arial" w:hAnsi="Arial" w:cs="Arial"/>
                <w:u w:val="none"/>
              </w:rPr>
            </w:pPr>
            <w:r w:rsidRPr="002F5C15">
              <w:rPr>
                <w:rFonts w:ascii="Arial" w:hAnsi="Arial" w:cs="Arial"/>
                <w:u w:val="none"/>
              </w:rPr>
              <w:t>Recommendation</w:t>
            </w:r>
          </w:p>
          <w:p w:rsidR="004C7699" w:rsidRPr="002F5C15" w:rsidRDefault="00F57258" w:rsidP="002F5C15">
            <w:pPr>
              <w:jc w:val="both"/>
              <w:rPr>
                <w:rFonts w:cs="Arial"/>
              </w:rPr>
            </w:pPr>
          </w:p>
          <w:p w:rsidR="004C7699" w:rsidRPr="002F5C15" w:rsidRDefault="00F57258" w:rsidP="002F5C15">
            <w:pPr>
              <w:autoSpaceDE w:val="0"/>
              <w:autoSpaceDN w:val="0"/>
              <w:adjustRightInd w:val="0"/>
              <w:jc w:val="both"/>
              <w:rPr>
                <w:rFonts w:cs="Arial"/>
                <w:szCs w:val="24"/>
              </w:rPr>
            </w:pPr>
            <w:r w:rsidRPr="002F5C15">
              <w:rPr>
                <w:rFonts w:cs="Arial"/>
                <w:szCs w:val="24"/>
              </w:rPr>
              <w:t>Cabinet is asked to:</w:t>
            </w:r>
          </w:p>
          <w:p w:rsidR="004C7699" w:rsidRPr="002F5C15" w:rsidRDefault="00F57258" w:rsidP="002F5C15">
            <w:pPr>
              <w:autoSpaceDE w:val="0"/>
              <w:autoSpaceDN w:val="0"/>
              <w:adjustRightInd w:val="0"/>
              <w:jc w:val="both"/>
              <w:rPr>
                <w:rFonts w:cs="Arial"/>
                <w:szCs w:val="24"/>
              </w:rPr>
            </w:pPr>
          </w:p>
          <w:p w:rsidR="004C7699" w:rsidRDefault="00F57258" w:rsidP="00051C97">
            <w:pPr>
              <w:pStyle w:val="ListParagraph"/>
              <w:numPr>
                <w:ilvl w:val="0"/>
                <w:numId w:val="6"/>
              </w:numPr>
              <w:autoSpaceDE w:val="0"/>
              <w:autoSpaceDN w:val="0"/>
              <w:adjustRightInd w:val="0"/>
              <w:jc w:val="both"/>
              <w:rPr>
                <w:rFonts w:cs="Arial"/>
                <w:szCs w:val="24"/>
              </w:rPr>
            </w:pPr>
            <w:r w:rsidRPr="00051C97">
              <w:rPr>
                <w:rFonts w:cs="Arial"/>
                <w:szCs w:val="24"/>
              </w:rPr>
              <w:t>Note the consultation arrangements that were undertaken and the responses that were received in response to the authority's proposal.</w:t>
            </w:r>
          </w:p>
          <w:p w:rsidR="00051C97" w:rsidRDefault="00F57258" w:rsidP="00051C97">
            <w:pPr>
              <w:pStyle w:val="ListParagraph"/>
              <w:autoSpaceDE w:val="0"/>
              <w:autoSpaceDN w:val="0"/>
              <w:adjustRightInd w:val="0"/>
              <w:ind w:left="1080"/>
              <w:jc w:val="both"/>
              <w:rPr>
                <w:rFonts w:cs="Arial"/>
                <w:szCs w:val="24"/>
              </w:rPr>
            </w:pPr>
          </w:p>
          <w:p w:rsidR="004C7699" w:rsidRPr="00051C97" w:rsidRDefault="00F57258" w:rsidP="00220710">
            <w:pPr>
              <w:pStyle w:val="ListParagraph"/>
              <w:numPr>
                <w:ilvl w:val="0"/>
                <w:numId w:val="6"/>
              </w:numPr>
              <w:autoSpaceDE w:val="0"/>
              <w:autoSpaceDN w:val="0"/>
              <w:adjustRightInd w:val="0"/>
              <w:jc w:val="both"/>
              <w:rPr>
                <w:rFonts w:cs="Arial"/>
                <w:szCs w:val="24"/>
              </w:rPr>
            </w:pPr>
            <w:r w:rsidRPr="00051C97">
              <w:rPr>
                <w:rFonts w:cs="Arial"/>
                <w:szCs w:val="24"/>
              </w:rPr>
              <w:t xml:space="preserve">Approve that the authority publishes a </w:t>
            </w:r>
            <w:r>
              <w:rPr>
                <w:rFonts w:cs="Arial"/>
                <w:szCs w:val="24"/>
              </w:rPr>
              <w:t>Public</w:t>
            </w:r>
            <w:r w:rsidRPr="00051C97">
              <w:rPr>
                <w:rFonts w:cs="Arial"/>
                <w:szCs w:val="24"/>
              </w:rPr>
              <w:t xml:space="preserve"> Notice of its proposal to close Hendon Brook Short Stay School, Nelson, with implementation commencing from 31 August 2020.</w:t>
            </w:r>
          </w:p>
          <w:p w:rsidR="004C7699" w:rsidRDefault="00F57258" w:rsidP="004C7699"/>
        </w:tc>
      </w:tr>
    </w:tbl>
    <w:p w:rsidR="004C7699" w:rsidRDefault="00F57258">
      <w:pPr>
        <w:rPr>
          <w:b/>
          <w:u w:val="single"/>
        </w:rPr>
      </w:pPr>
    </w:p>
    <w:p w:rsidR="004C7699" w:rsidRDefault="00F57258" w:rsidP="004C7699">
      <w:pPr>
        <w:rPr>
          <w:b/>
        </w:rPr>
      </w:pPr>
      <w:r>
        <w:rPr>
          <w:b/>
        </w:rPr>
        <w:t xml:space="preserve">Background and Advice </w:t>
      </w:r>
    </w:p>
    <w:p w:rsidR="004C7699" w:rsidRDefault="00F57258" w:rsidP="004C7699">
      <w:pPr>
        <w:rPr>
          <w:b/>
        </w:rPr>
      </w:pPr>
    </w:p>
    <w:p w:rsidR="00C1392B" w:rsidRPr="00CB0A1F" w:rsidRDefault="00F57258" w:rsidP="004C7699">
      <w:pPr>
        <w:autoSpaceDE w:val="0"/>
        <w:autoSpaceDN w:val="0"/>
        <w:adjustRightInd w:val="0"/>
        <w:jc w:val="both"/>
        <w:rPr>
          <w:rFonts w:cs="Arial"/>
        </w:rPr>
      </w:pPr>
      <w:r w:rsidRPr="002F5C15">
        <w:rPr>
          <w:rFonts w:cs="Arial"/>
          <w:szCs w:val="24"/>
        </w:rPr>
        <w:t xml:space="preserve">On 13 June 2019, Cabinet approved that a stage 1 consultation be undertaken on the proposed closure of </w:t>
      </w:r>
      <w:r w:rsidRPr="002F5C15">
        <w:rPr>
          <w:rFonts w:cs="Arial"/>
          <w:szCs w:val="24"/>
        </w:rPr>
        <w:t>Hendon Brook</w:t>
      </w:r>
      <w:r w:rsidRPr="00CB0A1F">
        <w:rPr>
          <w:rFonts w:cs="Arial"/>
        </w:rPr>
        <w:t xml:space="preserve"> Short Stay School</w:t>
      </w:r>
      <w:r w:rsidRPr="002F5C15">
        <w:rPr>
          <w:rFonts w:cs="Arial"/>
          <w:szCs w:val="24"/>
        </w:rPr>
        <w:t xml:space="preserve"> </w:t>
      </w:r>
      <w:r w:rsidRPr="00CB0A1F">
        <w:rPr>
          <w:rFonts w:cs="Arial"/>
        </w:rPr>
        <w:t>due to:</w:t>
      </w:r>
    </w:p>
    <w:p w:rsidR="00850B5F" w:rsidRPr="002F5C15" w:rsidRDefault="00F57258" w:rsidP="004C7699">
      <w:pPr>
        <w:autoSpaceDE w:val="0"/>
        <w:autoSpaceDN w:val="0"/>
        <w:adjustRightInd w:val="0"/>
        <w:jc w:val="both"/>
        <w:rPr>
          <w:rFonts w:cs="Arial"/>
        </w:rPr>
      </w:pPr>
    </w:p>
    <w:p w:rsidR="00C1392B" w:rsidRPr="002F5C15" w:rsidRDefault="00F57258" w:rsidP="00C1392B">
      <w:pPr>
        <w:pStyle w:val="ListParagraph"/>
        <w:numPr>
          <w:ilvl w:val="0"/>
          <w:numId w:val="3"/>
        </w:numPr>
        <w:autoSpaceDE w:val="0"/>
        <w:autoSpaceDN w:val="0"/>
        <w:adjustRightInd w:val="0"/>
        <w:jc w:val="both"/>
        <w:rPr>
          <w:rFonts w:cs="Arial"/>
          <w:szCs w:val="24"/>
        </w:rPr>
      </w:pPr>
      <w:r w:rsidRPr="002F5C15">
        <w:rPr>
          <w:rFonts w:cs="Arial"/>
        </w:rPr>
        <w:t>continuing poor educational standards at the school;</w:t>
      </w:r>
    </w:p>
    <w:p w:rsidR="00C1392B" w:rsidRPr="002F5C15" w:rsidRDefault="00F57258" w:rsidP="00C1392B">
      <w:pPr>
        <w:pStyle w:val="ListParagraph"/>
        <w:numPr>
          <w:ilvl w:val="0"/>
          <w:numId w:val="3"/>
        </w:numPr>
        <w:autoSpaceDE w:val="0"/>
        <w:autoSpaceDN w:val="0"/>
        <w:adjustRightInd w:val="0"/>
        <w:jc w:val="both"/>
        <w:rPr>
          <w:rFonts w:cs="Arial"/>
          <w:szCs w:val="24"/>
        </w:rPr>
      </w:pPr>
      <w:r w:rsidRPr="00CB0A1F">
        <w:rPr>
          <w:rFonts w:cs="Arial"/>
        </w:rPr>
        <w:lastRenderedPageBreak/>
        <w:t xml:space="preserve">failure, in conjunction with the Regional Schools' Commissioner, </w:t>
      </w:r>
      <w:r w:rsidRPr="005D4491">
        <w:rPr>
          <w:rFonts w:cs="Arial"/>
        </w:rPr>
        <w:t>to secure a sponsor to convert the school to an alternative provision academy;</w:t>
      </w:r>
    </w:p>
    <w:p w:rsidR="004C7699" w:rsidRPr="002F5C15" w:rsidRDefault="00F57258" w:rsidP="00C1392B">
      <w:pPr>
        <w:pStyle w:val="ListParagraph"/>
        <w:numPr>
          <w:ilvl w:val="0"/>
          <w:numId w:val="3"/>
        </w:numPr>
        <w:autoSpaceDE w:val="0"/>
        <w:autoSpaceDN w:val="0"/>
        <w:adjustRightInd w:val="0"/>
        <w:jc w:val="both"/>
        <w:rPr>
          <w:rFonts w:cs="Arial"/>
          <w:szCs w:val="24"/>
        </w:rPr>
      </w:pPr>
      <w:r w:rsidRPr="00CB0A1F">
        <w:rPr>
          <w:rFonts w:cs="Arial"/>
        </w:rPr>
        <w:t xml:space="preserve">a fall in the numbers on roll at the school making </w:t>
      </w:r>
      <w:r w:rsidRPr="005D4491">
        <w:rPr>
          <w:rFonts w:cs="Arial"/>
        </w:rPr>
        <w:t>it educationally and financially unviable;</w:t>
      </w:r>
    </w:p>
    <w:p w:rsidR="00C1392B" w:rsidRPr="002F5C15" w:rsidRDefault="00F57258" w:rsidP="00C1392B">
      <w:pPr>
        <w:pStyle w:val="ListParagraph"/>
        <w:numPr>
          <w:ilvl w:val="0"/>
          <w:numId w:val="3"/>
        </w:numPr>
        <w:autoSpaceDE w:val="0"/>
        <w:autoSpaceDN w:val="0"/>
        <w:adjustRightInd w:val="0"/>
        <w:jc w:val="both"/>
        <w:rPr>
          <w:rFonts w:cs="Arial"/>
          <w:szCs w:val="24"/>
        </w:rPr>
      </w:pPr>
      <w:r w:rsidRPr="00CB0A1F">
        <w:rPr>
          <w:rFonts w:cs="Arial"/>
        </w:rPr>
        <w:t xml:space="preserve">the development of alternative placements for pupils who are permanently excluded in East Lancashire.  </w:t>
      </w:r>
    </w:p>
    <w:p w:rsidR="004C7699" w:rsidRPr="002F5C15" w:rsidRDefault="00F57258" w:rsidP="004C7699">
      <w:pPr>
        <w:jc w:val="both"/>
        <w:rPr>
          <w:rFonts w:cs="Arial"/>
          <w:szCs w:val="24"/>
        </w:rPr>
      </w:pPr>
    </w:p>
    <w:p w:rsidR="008C4356" w:rsidRPr="002F5C15" w:rsidRDefault="00F57258" w:rsidP="004C7699">
      <w:pPr>
        <w:jc w:val="both"/>
        <w:rPr>
          <w:rFonts w:cs="Arial"/>
        </w:rPr>
      </w:pPr>
      <w:r w:rsidRPr="00CB0A1F">
        <w:rPr>
          <w:rFonts w:cs="Arial"/>
        </w:rPr>
        <w:t>Hendon Brook is a local authority maintained short stay s</w:t>
      </w:r>
      <w:r w:rsidRPr="00CB0A1F">
        <w:rPr>
          <w:rFonts w:cs="Arial"/>
        </w:rPr>
        <w:t xml:space="preserve">chool, located in </w:t>
      </w:r>
      <w:r w:rsidRPr="005D4491">
        <w:rPr>
          <w:rFonts w:cs="Arial"/>
        </w:rPr>
        <w:t>Nelson, for children aged 4 to 11 years, who can</w:t>
      </w:r>
      <w:r w:rsidRPr="002F5C15">
        <w:rPr>
          <w:rFonts w:cs="Arial"/>
        </w:rPr>
        <w:t>not be found places at other schools. The vast majority of pupils attend the school, as a result of being permanently excluded from primary schools in Pendle, Burnley, Hyndburn and Rossendal</w:t>
      </w:r>
      <w:r w:rsidRPr="002F5C15">
        <w:rPr>
          <w:rFonts w:cs="Arial"/>
        </w:rPr>
        <w:t>e.</w:t>
      </w:r>
    </w:p>
    <w:p w:rsidR="008C4356" w:rsidRPr="002F5C15" w:rsidRDefault="00F57258" w:rsidP="004C7699">
      <w:pPr>
        <w:jc w:val="both"/>
        <w:rPr>
          <w:rFonts w:cs="Arial"/>
        </w:rPr>
      </w:pPr>
    </w:p>
    <w:p w:rsidR="004C7699" w:rsidRPr="002F5C15" w:rsidRDefault="00F57258" w:rsidP="004C7699">
      <w:pPr>
        <w:jc w:val="both"/>
        <w:rPr>
          <w:rFonts w:cs="Arial"/>
        </w:rPr>
      </w:pPr>
      <w:r w:rsidRPr="002F5C15">
        <w:rPr>
          <w:rFonts w:cs="Arial"/>
        </w:rPr>
        <w:t xml:space="preserve">The school was rated by Ofsted as inadequate in April 2017. A monitoring visit took place in January 2019, which concluded the school was not taking sufficient action to remove the need for special measures.   </w:t>
      </w:r>
    </w:p>
    <w:p w:rsidR="00FB3F7D" w:rsidRPr="002F5C15" w:rsidRDefault="00F57258" w:rsidP="004C7699">
      <w:pPr>
        <w:jc w:val="both"/>
        <w:rPr>
          <w:rFonts w:cs="Arial"/>
        </w:rPr>
      </w:pPr>
    </w:p>
    <w:p w:rsidR="00FB3F7D" w:rsidRPr="002F5C15" w:rsidRDefault="00F57258" w:rsidP="004C7699">
      <w:pPr>
        <w:jc w:val="both"/>
        <w:rPr>
          <w:rFonts w:cs="Arial"/>
        </w:rPr>
      </w:pPr>
      <w:r w:rsidRPr="002F5C15">
        <w:rPr>
          <w:rFonts w:cs="Arial"/>
        </w:rPr>
        <w:t>Since April 2017, attempts have been mad</w:t>
      </w:r>
      <w:r w:rsidRPr="002F5C15">
        <w:rPr>
          <w:rFonts w:cs="Arial"/>
        </w:rPr>
        <w:t>e to identify a sponsor willing to lead the conversion of the school to an alternative provision academy. These attempts have been unsuccessful and, in the circumstances, the Minister of State and the Regional Schools' Commissioner have shown a willingness</w:t>
      </w:r>
      <w:r w:rsidRPr="002F5C15">
        <w:rPr>
          <w:rFonts w:cs="Arial"/>
        </w:rPr>
        <w:t xml:space="preserve"> to support the proposal.  </w:t>
      </w:r>
    </w:p>
    <w:p w:rsidR="004C7699" w:rsidRPr="002F5C15" w:rsidRDefault="00F57258" w:rsidP="004C7699">
      <w:pPr>
        <w:jc w:val="both"/>
        <w:rPr>
          <w:rFonts w:cs="Arial"/>
        </w:rPr>
      </w:pPr>
    </w:p>
    <w:p w:rsidR="004C7699" w:rsidRPr="002F5C15" w:rsidRDefault="00F57258" w:rsidP="004C7699">
      <w:pPr>
        <w:jc w:val="both"/>
        <w:rPr>
          <w:rFonts w:cs="Arial"/>
        </w:rPr>
      </w:pPr>
      <w:r w:rsidRPr="002F5C15">
        <w:rPr>
          <w:rFonts w:cs="Arial"/>
        </w:rPr>
        <w:t>As of 5 November 2019, the school has 15 pupils on roll (compared with a maximum capacity of 34), and the number continues to reduce as pupils move to other schools. There are plans in place to move nearly all pupils to other s</w:t>
      </w:r>
      <w:r w:rsidRPr="002F5C15">
        <w:rPr>
          <w:rFonts w:cs="Arial"/>
        </w:rPr>
        <w:t>chools by January 2020. As a result, it is becoming increasingly difficult to maintain the full breadth of curriculum and the range of staff expertise required to secure improvements in standards. The falling numbers also adversely affects the financial vi</w:t>
      </w:r>
      <w:r w:rsidRPr="002F5C15">
        <w:rPr>
          <w:rFonts w:cs="Arial"/>
        </w:rPr>
        <w:t>ability of the school, because its income is substantially reduced and the deficit accrued is rapidly increasing.</w:t>
      </w:r>
    </w:p>
    <w:p w:rsidR="0057192A" w:rsidRPr="002F5C15" w:rsidRDefault="00F57258" w:rsidP="004C7699">
      <w:pPr>
        <w:jc w:val="both"/>
        <w:rPr>
          <w:rFonts w:cs="Arial"/>
        </w:rPr>
      </w:pPr>
    </w:p>
    <w:p w:rsidR="0057192A" w:rsidRPr="002F5C15" w:rsidRDefault="00F57258" w:rsidP="004C7699">
      <w:pPr>
        <w:jc w:val="both"/>
        <w:rPr>
          <w:rFonts w:cs="Arial"/>
        </w:rPr>
      </w:pPr>
      <w:r w:rsidRPr="002F5C15">
        <w:rPr>
          <w:rFonts w:cs="Arial"/>
        </w:rPr>
        <w:t>The authority's Commissioner for Alternative Provision has been active in negotiating placements for pupils at other establishments, and is addressing the continuing statutory requirement to find placements for pupils who have been permanently excluded fro</w:t>
      </w:r>
      <w:r w:rsidRPr="002F5C15">
        <w:rPr>
          <w:rFonts w:cs="Arial"/>
        </w:rPr>
        <w:t xml:space="preserve">m primary schools in the region. Although this may mean pupils who live very close to Hendon Brook may have to travel further, for the majority of current and future pupils, travel distance is unlikely to increase significantly. </w:t>
      </w:r>
    </w:p>
    <w:p w:rsidR="004C7699" w:rsidRPr="002F5C15" w:rsidRDefault="00F57258" w:rsidP="004C7699">
      <w:pPr>
        <w:jc w:val="both"/>
        <w:rPr>
          <w:rFonts w:cs="Arial"/>
        </w:rPr>
      </w:pPr>
    </w:p>
    <w:p w:rsidR="00D156F6" w:rsidRPr="002F5C15" w:rsidRDefault="00F57258" w:rsidP="004C7699">
      <w:pPr>
        <w:jc w:val="both"/>
        <w:rPr>
          <w:rFonts w:cs="Arial"/>
        </w:rPr>
      </w:pPr>
      <w:r w:rsidRPr="002F5C15">
        <w:rPr>
          <w:rFonts w:cs="Arial"/>
        </w:rPr>
        <w:t>The Department for Educat</w:t>
      </w:r>
      <w:r w:rsidRPr="002F5C15">
        <w:rPr>
          <w:rFonts w:cs="Arial"/>
        </w:rPr>
        <w:t>ion's</w:t>
      </w:r>
      <w:r>
        <w:rPr>
          <w:rFonts w:cs="Arial"/>
        </w:rPr>
        <w:t xml:space="preserve"> </w:t>
      </w:r>
      <w:r w:rsidRPr="002F5C15">
        <w:rPr>
          <w:rFonts w:cs="Arial"/>
        </w:rPr>
        <w:t>guidance, 'Opening and Closing Maintained Schools' gives the following key reasons for closing a maintained school:</w:t>
      </w:r>
    </w:p>
    <w:p w:rsidR="00D156F6" w:rsidRPr="002F5C15" w:rsidRDefault="00F57258" w:rsidP="004C7699">
      <w:pPr>
        <w:jc w:val="both"/>
        <w:rPr>
          <w:rFonts w:cs="Arial"/>
        </w:rPr>
      </w:pPr>
    </w:p>
    <w:p w:rsidR="00D156F6" w:rsidRPr="002F5C15" w:rsidRDefault="00F57258" w:rsidP="00455168">
      <w:pPr>
        <w:pStyle w:val="ListParagraph"/>
        <w:numPr>
          <w:ilvl w:val="0"/>
          <w:numId w:val="5"/>
        </w:numPr>
        <w:jc w:val="both"/>
        <w:rPr>
          <w:rFonts w:cs="Arial"/>
        </w:rPr>
      </w:pPr>
      <w:r w:rsidRPr="002F5C15">
        <w:rPr>
          <w:rFonts w:cs="Arial"/>
          <w:i/>
        </w:rPr>
        <w:t>There are surplus places elsewhere in the local area which can accommodate displaced pupils and there is no predicated demand for the</w:t>
      </w:r>
      <w:r w:rsidRPr="002F5C15">
        <w:rPr>
          <w:rFonts w:cs="Arial"/>
          <w:i/>
        </w:rPr>
        <w:t xml:space="preserve"> school in the medium to long term.</w:t>
      </w:r>
      <w:r w:rsidRPr="002F5C15">
        <w:rPr>
          <w:rFonts w:cs="Arial"/>
        </w:rPr>
        <w:t xml:space="preserve"> This will apply in the near future, as alternative placements are identified and developed. By August 2020, there should be little adverse effect of a closure on the local community, standards in neighbouring schools or </w:t>
      </w:r>
      <w:r w:rsidRPr="002F5C15">
        <w:rPr>
          <w:rFonts w:cs="Arial"/>
        </w:rPr>
        <w:t xml:space="preserve">on travel and transport. </w:t>
      </w:r>
    </w:p>
    <w:p w:rsidR="00D156F6" w:rsidRPr="002F5C15" w:rsidRDefault="00F57258" w:rsidP="00D156F6">
      <w:pPr>
        <w:pStyle w:val="ListParagraph"/>
        <w:numPr>
          <w:ilvl w:val="0"/>
          <w:numId w:val="5"/>
        </w:numPr>
        <w:jc w:val="both"/>
        <w:rPr>
          <w:rFonts w:cs="Arial"/>
        </w:rPr>
      </w:pPr>
      <w:r w:rsidRPr="002F5C15">
        <w:rPr>
          <w:rFonts w:cs="Arial"/>
          <w:i/>
        </w:rPr>
        <w:t>It has been judged inadequate by Ofsted and there is no sponsored academy solution</w:t>
      </w:r>
      <w:r w:rsidRPr="002F5C15">
        <w:rPr>
          <w:rFonts w:cs="Arial"/>
        </w:rPr>
        <w:t xml:space="preserve">. This very much applies to Hendon Brook in its current situation, where two years of seeking an academy solution have not resulted in a successful </w:t>
      </w:r>
      <w:r w:rsidRPr="002F5C15">
        <w:rPr>
          <w:rFonts w:cs="Arial"/>
        </w:rPr>
        <w:t>outcome.</w:t>
      </w:r>
    </w:p>
    <w:p w:rsidR="004C7699" w:rsidRDefault="00F57258" w:rsidP="00D156F6">
      <w:pPr>
        <w:pStyle w:val="ListParagraph"/>
        <w:numPr>
          <w:ilvl w:val="0"/>
          <w:numId w:val="5"/>
        </w:numPr>
        <w:jc w:val="both"/>
        <w:rPr>
          <w:rFonts w:cs="Arial"/>
        </w:rPr>
      </w:pPr>
      <w:r w:rsidRPr="00D156F6">
        <w:rPr>
          <w:i/>
        </w:rPr>
        <w:lastRenderedPageBreak/>
        <w:t>It is no longer considered viable</w:t>
      </w:r>
      <w:r>
        <w:t>.</w:t>
      </w:r>
      <w:r w:rsidRPr="00D156F6">
        <w:t xml:space="preserve"> </w:t>
      </w:r>
      <w:r>
        <w:t>The reduction in numbers on roll has reduced the school's income to a level which increasingly threatens its viability.</w:t>
      </w:r>
      <w:r w:rsidRPr="00E74D15">
        <w:rPr>
          <w:rFonts w:cs="Arial"/>
        </w:rPr>
        <w:t xml:space="preserve"> </w:t>
      </w:r>
    </w:p>
    <w:p w:rsidR="008B587E" w:rsidRPr="008B587E" w:rsidRDefault="00F57258" w:rsidP="008B587E">
      <w:pPr>
        <w:ind w:left="360"/>
        <w:jc w:val="both"/>
        <w:rPr>
          <w:rFonts w:cs="Arial"/>
        </w:rPr>
      </w:pPr>
    </w:p>
    <w:p w:rsidR="004C7699" w:rsidRPr="00B901EE" w:rsidRDefault="00F57258" w:rsidP="004C7699">
      <w:pPr>
        <w:jc w:val="both"/>
        <w:rPr>
          <w:b/>
        </w:rPr>
      </w:pPr>
      <w:r w:rsidRPr="00B901EE">
        <w:rPr>
          <w:b/>
        </w:rPr>
        <w:t>Closing a Maintained School: Guidance and Process</w:t>
      </w:r>
    </w:p>
    <w:p w:rsidR="004C7699" w:rsidRPr="00B901EE" w:rsidRDefault="00F57258" w:rsidP="004C7699">
      <w:pPr>
        <w:jc w:val="both"/>
      </w:pPr>
    </w:p>
    <w:p w:rsidR="004C7699" w:rsidRDefault="00F57258" w:rsidP="004C7699">
      <w:pPr>
        <w:jc w:val="both"/>
      </w:pPr>
      <w:r w:rsidRPr="00B901EE">
        <w:t xml:space="preserve">There is a defined process </w:t>
      </w:r>
      <w:r w:rsidRPr="00B901EE">
        <w:rPr>
          <w:szCs w:val="24"/>
        </w:rPr>
        <w:t xml:space="preserve">in the </w:t>
      </w:r>
      <w:r w:rsidRPr="00FF705E">
        <w:rPr>
          <w:rFonts w:cs="Arial"/>
          <w:bCs/>
          <w:kern w:val="36"/>
          <w:szCs w:val="24"/>
        </w:rPr>
        <w:t>School Organisation (Establishment and Discontinuance of Schools) Regulations 2013</w:t>
      </w:r>
      <w:r>
        <w:rPr>
          <w:rFonts w:cs="Arial"/>
          <w:bCs/>
          <w:kern w:val="36"/>
          <w:szCs w:val="24"/>
        </w:rPr>
        <w:t>,</w:t>
      </w:r>
      <w:r w:rsidRPr="00B901EE">
        <w:t xml:space="preserve"> which </w:t>
      </w:r>
      <w:r>
        <w:t>should</w:t>
      </w:r>
      <w:r w:rsidRPr="00B901EE">
        <w:t xml:space="preserve"> be followed before making a decision on the closure of a maintained school. This is supplemented by further guidance on the process published b</w:t>
      </w:r>
      <w:r>
        <w:t>y the Department</w:t>
      </w:r>
      <w:r>
        <w:t xml:space="preserve"> for Education.</w:t>
      </w:r>
    </w:p>
    <w:p w:rsidR="004C7699" w:rsidRDefault="00F57258" w:rsidP="004C7699">
      <w:pPr>
        <w:jc w:val="both"/>
      </w:pPr>
    </w:p>
    <w:p w:rsidR="004C7699" w:rsidRPr="00B901EE" w:rsidRDefault="00F57258" w:rsidP="004C7699">
      <w:pPr>
        <w:jc w:val="both"/>
      </w:pPr>
      <w:r w:rsidRPr="00B901EE">
        <w:t>A broad timetable</w:t>
      </w:r>
      <w:r>
        <w:t>, which is subject to change,</w:t>
      </w:r>
      <w:r w:rsidRPr="00B901EE">
        <w:t xml:space="preserve"> for the overall process to be applied </w:t>
      </w:r>
      <w:r>
        <w:t>to</w:t>
      </w:r>
      <w:r w:rsidRPr="00B901EE">
        <w:t xml:space="preserve"> a proposal to close </w:t>
      </w:r>
      <w:r>
        <w:t>Hendon Brook Short Stay School is set out below:</w:t>
      </w:r>
      <w:r w:rsidRPr="00B901EE">
        <w:t xml:space="preserve"> </w:t>
      </w:r>
    </w:p>
    <w:p w:rsidR="004C7699" w:rsidRPr="00B901EE" w:rsidRDefault="00F57258" w:rsidP="004C7699">
      <w:pPr>
        <w:ind w:left="142"/>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88"/>
        <w:gridCol w:w="2809"/>
      </w:tblGrid>
      <w:tr w:rsidR="00D120A8" w:rsidTr="004C7699">
        <w:tc>
          <w:tcPr>
            <w:tcW w:w="6345" w:type="dxa"/>
          </w:tcPr>
          <w:p w:rsidR="004C7699" w:rsidRPr="002F5C15" w:rsidRDefault="00F57258" w:rsidP="004C7699">
            <w:pPr>
              <w:rPr>
                <w:b/>
                <w:szCs w:val="24"/>
              </w:rPr>
            </w:pPr>
            <w:r w:rsidRPr="002F5C15">
              <w:rPr>
                <w:b/>
                <w:szCs w:val="24"/>
              </w:rPr>
              <w:t>Action</w:t>
            </w:r>
          </w:p>
        </w:tc>
        <w:tc>
          <w:tcPr>
            <w:tcW w:w="2835" w:type="dxa"/>
          </w:tcPr>
          <w:p w:rsidR="004C7699" w:rsidRPr="002F5C15" w:rsidRDefault="00F57258" w:rsidP="004C7699">
            <w:pPr>
              <w:rPr>
                <w:b/>
                <w:szCs w:val="24"/>
              </w:rPr>
            </w:pPr>
            <w:r w:rsidRPr="002F5C15">
              <w:rPr>
                <w:b/>
                <w:szCs w:val="24"/>
              </w:rPr>
              <w:t>Start</w:t>
            </w:r>
          </w:p>
        </w:tc>
      </w:tr>
      <w:tr w:rsidR="00D120A8" w:rsidTr="004C7699">
        <w:tc>
          <w:tcPr>
            <w:tcW w:w="6345" w:type="dxa"/>
          </w:tcPr>
          <w:p w:rsidR="004C7699" w:rsidRPr="002F5C15" w:rsidRDefault="00F57258" w:rsidP="004C7699">
            <w:pPr>
              <w:rPr>
                <w:szCs w:val="24"/>
              </w:rPr>
            </w:pPr>
            <w:r w:rsidRPr="002F5C15">
              <w:rPr>
                <w:szCs w:val="24"/>
              </w:rPr>
              <w:t>Cabinet approval to consult</w:t>
            </w:r>
          </w:p>
        </w:tc>
        <w:tc>
          <w:tcPr>
            <w:tcW w:w="2835" w:type="dxa"/>
          </w:tcPr>
          <w:p w:rsidR="004C7699" w:rsidRPr="002F5C15" w:rsidRDefault="00F57258" w:rsidP="007A19F0">
            <w:pPr>
              <w:rPr>
                <w:szCs w:val="24"/>
              </w:rPr>
            </w:pPr>
            <w:r w:rsidRPr="002F5C15">
              <w:rPr>
                <w:szCs w:val="24"/>
              </w:rPr>
              <w:t>13 June 2019</w:t>
            </w:r>
          </w:p>
        </w:tc>
      </w:tr>
      <w:tr w:rsidR="00D120A8" w:rsidTr="004C7699">
        <w:tc>
          <w:tcPr>
            <w:tcW w:w="6345" w:type="dxa"/>
          </w:tcPr>
          <w:p w:rsidR="004C7699" w:rsidRPr="002F5C15" w:rsidRDefault="00F57258" w:rsidP="004C7699">
            <w:pPr>
              <w:rPr>
                <w:szCs w:val="24"/>
              </w:rPr>
            </w:pPr>
            <w:r w:rsidRPr="002F5C15">
              <w:rPr>
                <w:szCs w:val="24"/>
              </w:rPr>
              <w:t>Stage 1 Consultation</w:t>
            </w:r>
          </w:p>
        </w:tc>
        <w:tc>
          <w:tcPr>
            <w:tcW w:w="2835" w:type="dxa"/>
          </w:tcPr>
          <w:p w:rsidR="004C7699" w:rsidRPr="002F5C15" w:rsidRDefault="00F57258" w:rsidP="00FB3F7D">
            <w:pPr>
              <w:rPr>
                <w:szCs w:val="24"/>
              </w:rPr>
            </w:pPr>
            <w:r w:rsidRPr="002F5C15">
              <w:rPr>
                <w:szCs w:val="24"/>
              </w:rPr>
              <w:t xml:space="preserve">9 </w:t>
            </w:r>
            <w:r w:rsidRPr="002F5C15">
              <w:rPr>
                <w:szCs w:val="24"/>
              </w:rPr>
              <w:t>September 2019 –</w:t>
            </w:r>
            <w:r>
              <w:rPr>
                <w:szCs w:val="24"/>
              </w:rPr>
              <w:t xml:space="preserve"> </w:t>
            </w:r>
            <w:r w:rsidRPr="002F5C15">
              <w:rPr>
                <w:szCs w:val="24"/>
              </w:rPr>
              <w:t>18 October 2019</w:t>
            </w:r>
          </w:p>
        </w:tc>
      </w:tr>
      <w:tr w:rsidR="00D120A8" w:rsidTr="004C7699">
        <w:tc>
          <w:tcPr>
            <w:tcW w:w="6345" w:type="dxa"/>
            <w:shd w:val="clear" w:color="auto" w:fill="D9D9D9"/>
          </w:tcPr>
          <w:p w:rsidR="004C7699" w:rsidRPr="002F5C15" w:rsidRDefault="00F57258" w:rsidP="00B9237E">
            <w:pPr>
              <w:rPr>
                <w:szCs w:val="24"/>
              </w:rPr>
            </w:pPr>
            <w:r w:rsidRPr="002F5C15">
              <w:rPr>
                <w:szCs w:val="24"/>
              </w:rPr>
              <w:t xml:space="preserve">Report back on consultation and Cabinet decision whether to publish </w:t>
            </w:r>
            <w:r>
              <w:rPr>
                <w:szCs w:val="24"/>
              </w:rPr>
              <w:t>Public</w:t>
            </w:r>
            <w:r w:rsidRPr="002F5C15">
              <w:rPr>
                <w:szCs w:val="24"/>
              </w:rPr>
              <w:t xml:space="preserve"> Notice  CURRENT STAGE</w:t>
            </w:r>
          </w:p>
        </w:tc>
        <w:tc>
          <w:tcPr>
            <w:tcW w:w="2835" w:type="dxa"/>
            <w:shd w:val="clear" w:color="auto" w:fill="D9D9D9"/>
          </w:tcPr>
          <w:p w:rsidR="004C7699" w:rsidRPr="002F5C15" w:rsidRDefault="00F57258" w:rsidP="00400760">
            <w:pPr>
              <w:rPr>
                <w:szCs w:val="24"/>
              </w:rPr>
            </w:pPr>
            <w:r w:rsidRPr="002F5C15">
              <w:rPr>
                <w:szCs w:val="24"/>
              </w:rPr>
              <w:t>16 January 2020</w:t>
            </w:r>
          </w:p>
        </w:tc>
      </w:tr>
      <w:tr w:rsidR="00D120A8" w:rsidTr="004C7699">
        <w:tc>
          <w:tcPr>
            <w:tcW w:w="6345" w:type="dxa"/>
          </w:tcPr>
          <w:p w:rsidR="004C7699" w:rsidRPr="002F5C15" w:rsidRDefault="00F57258" w:rsidP="00B9237E">
            <w:pPr>
              <w:rPr>
                <w:szCs w:val="24"/>
              </w:rPr>
            </w:pPr>
            <w:r w:rsidRPr="002F5C15">
              <w:rPr>
                <w:szCs w:val="24"/>
              </w:rPr>
              <w:t xml:space="preserve">Stage 2 and 3 Publication of </w:t>
            </w:r>
            <w:r>
              <w:rPr>
                <w:szCs w:val="24"/>
              </w:rPr>
              <w:t>Public</w:t>
            </w:r>
            <w:r w:rsidRPr="002F5C15">
              <w:rPr>
                <w:szCs w:val="24"/>
              </w:rPr>
              <w:t xml:space="preserve"> Notice and representation period </w:t>
            </w:r>
          </w:p>
        </w:tc>
        <w:tc>
          <w:tcPr>
            <w:tcW w:w="2835" w:type="dxa"/>
          </w:tcPr>
          <w:p w:rsidR="004C7699" w:rsidRPr="002F5C15" w:rsidRDefault="00F57258" w:rsidP="007A19F0">
            <w:pPr>
              <w:rPr>
                <w:szCs w:val="24"/>
              </w:rPr>
            </w:pPr>
            <w:r w:rsidRPr="002F5C15">
              <w:rPr>
                <w:szCs w:val="24"/>
              </w:rPr>
              <w:t>January/February 2020</w:t>
            </w:r>
          </w:p>
        </w:tc>
      </w:tr>
      <w:tr w:rsidR="00D120A8" w:rsidTr="004C7699">
        <w:tc>
          <w:tcPr>
            <w:tcW w:w="6345" w:type="dxa"/>
          </w:tcPr>
          <w:p w:rsidR="004C7699" w:rsidRPr="002F5C15" w:rsidRDefault="00F57258" w:rsidP="004C7699">
            <w:pPr>
              <w:rPr>
                <w:szCs w:val="24"/>
              </w:rPr>
            </w:pPr>
            <w:r w:rsidRPr="002F5C15">
              <w:rPr>
                <w:szCs w:val="24"/>
              </w:rPr>
              <w:t xml:space="preserve">Stage 4 </w:t>
            </w:r>
            <w:r w:rsidRPr="002F5C15">
              <w:rPr>
                <w:szCs w:val="24"/>
              </w:rPr>
              <w:t>Decision</w:t>
            </w:r>
          </w:p>
        </w:tc>
        <w:tc>
          <w:tcPr>
            <w:tcW w:w="2835" w:type="dxa"/>
          </w:tcPr>
          <w:p w:rsidR="004C7699" w:rsidRPr="002F5C15" w:rsidRDefault="00F57258" w:rsidP="00FB3F7D">
            <w:pPr>
              <w:rPr>
                <w:szCs w:val="24"/>
              </w:rPr>
            </w:pPr>
            <w:r w:rsidRPr="002F5C15">
              <w:rPr>
                <w:szCs w:val="24"/>
              </w:rPr>
              <w:t>April 2020</w:t>
            </w:r>
          </w:p>
        </w:tc>
      </w:tr>
      <w:tr w:rsidR="00D120A8" w:rsidTr="004C7699">
        <w:tc>
          <w:tcPr>
            <w:tcW w:w="6345" w:type="dxa"/>
          </w:tcPr>
          <w:p w:rsidR="004C7699" w:rsidRPr="002F5C15" w:rsidRDefault="00F57258" w:rsidP="004C7699">
            <w:pPr>
              <w:rPr>
                <w:szCs w:val="24"/>
              </w:rPr>
            </w:pPr>
            <w:r w:rsidRPr="002F5C15">
              <w:rPr>
                <w:szCs w:val="24"/>
              </w:rPr>
              <w:t>Stage 5 Implementation</w:t>
            </w:r>
          </w:p>
        </w:tc>
        <w:tc>
          <w:tcPr>
            <w:tcW w:w="2835" w:type="dxa"/>
          </w:tcPr>
          <w:p w:rsidR="004C7699" w:rsidRPr="002F5C15" w:rsidRDefault="00F57258" w:rsidP="00FB3F7D">
            <w:pPr>
              <w:rPr>
                <w:szCs w:val="24"/>
              </w:rPr>
            </w:pPr>
            <w:r w:rsidRPr="002F5C15">
              <w:rPr>
                <w:szCs w:val="24"/>
              </w:rPr>
              <w:t>August 2020</w:t>
            </w:r>
          </w:p>
        </w:tc>
      </w:tr>
    </w:tbl>
    <w:p w:rsidR="004C7699" w:rsidRDefault="00F57258">
      <w:pPr>
        <w:rPr>
          <w:b/>
        </w:rPr>
      </w:pPr>
    </w:p>
    <w:p w:rsidR="004C7699" w:rsidRDefault="00F57258">
      <w:pPr>
        <w:rPr>
          <w:b/>
        </w:rPr>
      </w:pPr>
      <w:r>
        <w:rPr>
          <w:b/>
        </w:rPr>
        <w:t>Consultations</w:t>
      </w:r>
    </w:p>
    <w:p w:rsidR="004C7699" w:rsidRDefault="00F57258">
      <w:pPr>
        <w:rPr>
          <w:b/>
        </w:rPr>
      </w:pPr>
    </w:p>
    <w:p w:rsidR="004C7699" w:rsidRDefault="00F57258" w:rsidP="004C7699">
      <w:pPr>
        <w:jc w:val="both"/>
        <w:rPr>
          <w:rFonts w:cs="Arial"/>
          <w:szCs w:val="24"/>
        </w:rPr>
      </w:pPr>
      <w:r w:rsidRPr="001C78DC">
        <w:rPr>
          <w:rFonts w:cs="Arial"/>
          <w:szCs w:val="24"/>
        </w:rPr>
        <w:t>The D</w:t>
      </w:r>
      <w:r>
        <w:rPr>
          <w:rFonts w:cs="Arial"/>
          <w:szCs w:val="24"/>
        </w:rPr>
        <w:t xml:space="preserve">epartment </w:t>
      </w:r>
      <w:r w:rsidRPr="001C78DC">
        <w:rPr>
          <w:rFonts w:cs="Arial"/>
          <w:szCs w:val="24"/>
        </w:rPr>
        <w:t>f</w:t>
      </w:r>
      <w:r>
        <w:rPr>
          <w:rFonts w:cs="Arial"/>
          <w:szCs w:val="24"/>
        </w:rPr>
        <w:t xml:space="preserve">or </w:t>
      </w:r>
      <w:r w:rsidRPr="001C78DC">
        <w:rPr>
          <w:rFonts w:cs="Arial"/>
          <w:szCs w:val="24"/>
        </w:rPr>
        <w:t>E</w:t>
      </w:r>
      <w:r>
        <w:rPr>
          <w:rFonts w:cs="Arial"/>
          <w:szCs w:val="24"/>
        </w:rPr>
        <w:t>ducation</w:t>
      </w:r>
      <w:r w:rsidRPr="001C78DC">
        <w:rPr>
          <w:rFonts w:cs="Arial"/>
          <w:szCs w:val="24"/>
        </w:rPr>
        <w:t>'s guidance, 'Opening and Cl</w:t>
      </w:r>
      <w:r>
        <w:rPr>
          <w:rFonts w:cs="Arial"/>
          <w:szCs w:val="24"/>
        </w:rPr>
        <w:t xml:space="preserve">osing Maintained Schools' </w:t>
      </w:r>
      <w:r w:rsidRPr="001C78DC">
        <w:rPr>
          <w:rFonts w:cs="Arial"/>
          <w:szCs w:val="24"/>
        </w:rPr>
        <w:t xml:space="preserve">states that proposers, in this case the local authority, </w:t>
      </w:r>
      <w:r>
        <w:rPr>
          <w:rFonts w:cs="Arial"/>
          <w:szCs w:val="24"/>
        </w:rPr>
        <w:t>should</w:t>
      </w:r>
      <w:r w:rsidRPr="001C78DC">
        <w:rPr>
          <w:rFonts w:cs="Arial"/>
          <w:szCs w:val="24"/>
        </w:rPr>
        <w:t xml:space="preserve"> consult</w:t>
      </w:r>
      <w:r>
        <w:rPr>
          <w:rFonts w:cs="Arial"/>
          <w:szCs w:val="24"/>
        </w:rPr>
        <w:t xml:space="preserve"> </w:t>
      </w:r>
      <w:r w:rsidRPr="001C78DC">
        <w:rPr>
          <w:rFonts w:cs="Arial"/>
          <w:szCs w:val="24"/>
        </w:rPr>
        <w:t xml:space="preserve">organisations, groups and </w:t>
      </w:r>
      <w:r w:rsidRPr="001C78DC">
        <w:rPr>
          <w:rFonts w:cs="Arial"/>
          <w:szCs w:val="24"/>
        </w:rPr>
        <w:t>individuals they feel to be appropriate.</w:t>
      </w:r>
    </w:p>
    <w:p w:rsidR="004C7699" w:rsidRPr="001C78DC" w:rsidRDefault="00F57258" w:rsidP="004C7699">
      <w:pPr>
        <w:jc w:val="both"/>
        <w:rPr>
          <w:rFonts w:cs="Arial"/>
          <w:szCs w:val="24"/>
        </w:rPr>
      </w:pPr>
    </w:p>
    <w:p w:rsidR="00FA4718" w:rsidRDefault="00F57258" w:rsidP="00584C54">
      <w:pPr>
        <w:jc w:val="both"/>
        <w:rPr>
          <w:rFonts w:cs="Arial"/>
          <w:szCs w:val="24"/>
        </w:rPr>
      </w:pPr>
      <w:r w:rsidRPr="001C78DC">
        <w:rPr>
          <w:rFonts w:cs="Arial"/>
          <w:szCs w:val="24"/>
        </w:rPr>
        <w:t>In line with the  guidance, a consultation document was produced</w:t>
      </w:r>
      <w:r>
        <w:rPr>
          <w:rFonts w:cs="Arial"/>
          <w:szCs w:val="24"/>
        </w:rPr>
        <w:t>, which is set out at Appendix 'A',</w:t>
      </w:r>
      <w:r w:rsidRPr="001C78DC">
        <w:rPr>
          <w:rFonts w:cs="Arial"/>
          <w:szCs w:val="24"/>
        </w:rPr>
        <w:t xml:space="preserve"> which</w:t>
      </w:r>
      <w:r>
        <w:rPr>
          <w:rFonts w:cs="Arial"/>
          <w:szCs w:val="24"/>
        </w:rPr>
        <w:t xml:space="preserve"> </w:t>
      </w:r>
      <w:r w:rsidRPr="001C78DC">
        <w:rPr>
          <w:rFonts w:cs="Arial"/>
          <w:szCs w:val="24"/>
        </w:rPr>
        <w:t>was available on Lancashire County Council's website and was widely circulated to</w:t>
      </w:r>
      <w:r>
        <w:rPr>
          <w:rFonts w:cs="Arial"/>
          <w:szCs w:val="24"/>
        </w:rPr>
        <w:t xml:space="preserve"> </w:t>
      </w:r>
      <w:r w:rsidRPr="001C78DC">
        <w:rPr>
          <w:rFonts w:cs="Arial"/>
          <w:szCs w:val="24"/>
        </w:rPr>
        <w:t>interested parties, such a</w:t>
      </w:r>
      <w:r w:rsidRPr="001C78DC">
        <w:rPr>
          <w:rFonts w:cs="Arial"/>
          <w:szCs w:val="24"/>
        </w:rPr>
        <w:t xml:space="preserve">s </w:t>
      </w:r>
      <w:r>
        <w:rPr>
          <w:rFonts w:cs="Arial"/>
          <w:szCs w:val="24"/>
        </w:rPr>
        <w:t>familie</w:t>
      </w:r>
      <w:r w:rsidRPr="001C78DC">
        <w:rPr>
          <w:rFonts w:cs="Arial"/>
          <w:szCs w:val="24"/>
        </w:rPr>
        <w:t xml:space="preserve">s, staff and governors at the school, </w:t>
      </w:r>
      <w:r>
        <w:rPr>
          <w:rFonts w:cs="Arial"/>
          <w:szCs w:val="24"/>
        </w:rPr>
        <w:t xml:space="preserve">Pendle </w:t>
      </w:r>
      <w:r w:rsidRPr="001C78DC">
        <w:rPr>
          <w:rFonts w:cs="Arial"/>
          <w:szCs w:val="24"/>
        </w:rPr>
        <w:t xml:space="preserve">Borough Council, </w:t>
      </w:r>
      <w:r>
        <w:rPr>
          <w:rFonts w:cs="Arial"/>
          <w:szCs w:val="24"/>
        </w:rPr>
        <w:t>county</w:t>
      </w:r>
      <w:r w:rsidRPr="001C78DC">
        <w:rPr>
          <w:rFonts w:cs="Arial"/>
          <w:szCs w:val="24"/>
        </w:rPr>
        <w:t xml:space="preserve"> council</w:t>
      </w:r>
      <w:r>
        <w:rPr>
          <w:rFonts w:cs="Arial"/>
          <w:szCs w:val="24"/>
        </w:rPr>
        <w:t>lors for Pendle</w:t>
      </w:r>
      <w:r w:rsidRPr="001C78DC">
        <w:rPr>
          <w:rFonts w:cs="Arial"/>
          <w:szCs w:val="24"/>
        </w:rPr>
        <w:t>,</w:t>
      </w:r>
      <w:r>
        <w:rPr>
          <w:rFonts w:cs="Arial"/>
          <w:szCs w:val="24"/>
        </w:rPr>
        <w:t xml:space="preserve"> Burnley, Hyndburn and Rossendale, primary</w:t>
      </w:r>
      <w:r w:rsidRPr="001C78DC">
        <w:rPr>
          <w:rFonts w:cs="Arial"/>
          <w:szCs w:val="24"/>
        </w:rPr>
        <w:t xml:space="preserve"> schools</w:t>
      </w:r>
      <w:r>
        <w:rPr>
          <w:rFonts w:cs="Arial"/>
          <w:szCs w:val="24"/>
        </w:rPr>
        <w:t xml:space="preserve"> in East Lancashire </w:t>
      </w:r>
      <w:r w:rsidRPr="001C78DC">
        <w:rPr>
          <w:rFonts w:cs="Arial"/>
          <w:szCs w:val="24"/>
        </w:rPr>
        <w:t xml:space="preserve">and </w:t>
      </w:r>
      <w:r>
        <w:rPr>
          <w:rFonts w:cs="Arial"/>
          <w:szCs w:val="24"/>
        </w:rPr>
        <w:t xml:space="preserve">other </w:t>
      </w:r>
      <w:r w:rsidRPr="001C78DC">
        <w:rPr>
          <w:rFonts w:cs="Arial"/>
          <w:szCs w:val="24"/>
        </w:rPr>
        <w:t>stakeholders.</w:t>
      </w:r>
      <w:r>
        <w:rPr>
          <w:rFonts w:cs="Arial"/>
          <w:szCs w:val="24"/>
        </w:rPr>
        <w:t xml:space="preserve"> </w:t>
      </w:r>
      <w:r w:rsidRPr="001C78DC">
        <w:rPr>
          <w:rFonts w:cs="Arial"/>
          <w:szCs w:val="24"/>
        </w:rPr>
        <w:t xml:space="preserve"> </w:t>
      </w:r>
    </w:p>
    <w:p w:rsidR="00FA4718" w:rsidRDefault="00F57258" w:rsidP="00584C54">
      <w:pPr>
        <w:jc w:val="both"/>
        <w:rPr>
          <w:rFonts w:cs="Arial"/>
          <w:szCs w:val="24"/>
        </w:rPr>
      </w:pPr>
    </w:p>
    <w:p w:rsidR="004C7699" w:rsidRDefault="00F57258" w:rsidP="00584C54">
      <w:pPr>
        <w:jc w:val="both"/>
        <w:rPr>
          <w:rFonts w:cs="Arial"/>
          <w:szCs w:val="24"/>
        </w:rPr>
      </w:pPr>
      <w:r w:rsidRPr="001C78DC">
        <w:rPr>
          <w:rFonts w:cs="Arial"/>
          <w:szCs w:val="24"/>
        </w:rPr>
        <w:t>This</w:t>
      </w:r>
      <w:r>
        <w:rPr>
          <w:rFonts w:cs="Arial"/>
          <w:szCs w:val="24"/>
        </w:rPr>
        <w:t xml:space="preserve"> </w:t>
      </w:r>
      <w:r w:rsidRPr="001C78DC">
        <w:rPr>
          <w:rFonts w:cs="Arial"/>
          <w:szCs w:val="24"/>
        </w:rPr>
        <w:t xml:space="preserve">report is requesting the publication of a </w:t>
      </w:r>
      <w:r>
        <w:rPr>
          <w:rFonts w:cs="Arial"/>
          <w:szCs w:val="24"/>
        </w:rPr>
        <w:t>Public</w:t>
      </w:r>
      <w:r w:rsidRPr="001C78DC">
        <w:rPr>
          <w:rFonts w:cs="Arial"/>
          <w:szCs w:val="24"/>
        </w:rPr>
        <w:t xml:space="preserve"> Noti</w:t>
      </w:r>
      <w:r w:rsidRPr="001C78DC">
        <w:rPr>
          <w:rFonts w:cs="Arial"/>
          <w:szCs w:val="24"/>
        </w:rPr>
        <w:t>ce (Stage 2), which will lead to</w:t>
      </w:r>
      <w:r>
        <w:rPr>
          <w:rFonts w:cs="Arial"/>
          <w:szCs w:val="24"/>
        </w:rPr>
        <w:t xml:space="preserve"> </w:t>
      </w:r>
      <w:r w:rsidRPr="001C78DC">
        <w:rPr>
          <w:rFonts w:cs="Arial"/>
          <w:szCs w:val="24"/>
        </w:rPr>
        <w:t>a further consultation (Stage 3), in order to determine the proposal.</w:t>
      </w:r>
    </w:p>
    <w:p w:rsidR="004C7699" w:rsidRDefault="00F57258" w:rsidP="00584C54">
      <w:pPr>
        <w:jc w:val="both"/>
        <w:rPr>
          <w:rFonts w:cs="Arial"/>
          <w:szCs w:val="24"/>
        </w:rPr>
      </w:pPr>
    </w:p>
    <w:p w:rsidR="004C7699" w:rsidRPr="006D7599" w:rsidRDefault="00F57258" w:rsidP="00584C54">
      <w:pPr>
        <w:jc w:val="both"/>
      </w:pPr>
      <w:r>
        <w:t>For the consultation, questionnaires were included in the consultation document and made available at the school. Online questionnaires could be accesse</w:t>
      </w:r>
      <w:r>
        <w:t xml:space="preserve">d at </w:t>
      </w:r>
      <w:hyperlink r:id="rId8" w:history="1">
        <w:r w:rsidRPr="00D86711">
          <w:rPr>
            <w:rStyle w:val="Hyperlink"/>
          </w:rPr>
          <w:t>www.lancashire.gov.uk</w:t>
        </w:r>
      </w:hyperlink>
      <w:r>
        <w:t xml:space="preserve">.   </w:t>
      </w:r>
    </w:p>
    <w:p w:rsidR="004C7699" w:rsidRDefault="00F57258" w:rsidP="00584C54">
      <w:pPr>
        <w:jc w:val="both"/>
      </w:pPr>
      <w:r>
        <w:t xml:space="preserve"> </w:t>
      </w:r>
    </w:p>
    <w:p w:rsidR="004C7699" w:rsidRDefault="00F57258" w:rsidP="00584C54">
      <w:pPr>
        <w:jc w:val="both"/>
      </w:pPr>
      <w:r>
        <w:t xml:space="preserve">The main question in the consultation document asked respondents to state whether they agreed or disagreed with the proposal to close the school.  The </w:t>
      </w:r>
      <w:r w:rsidRPr="001478C7">
        <w:t>responses</w:t>
      </w:r>
      <w:r>
        <w:t xml:space="preserve"> </w:t>
      </w:r>
      <w:r w:rsidRPr="001478C7">
        <w:t xml:space="preserve">received were as </w:t>
      </w:r>
      <w:r w:rsidRPr="001478C7">
        <w:t xml:space="preserve">follows: </w:t>
      </w:r>
    </w:p>
    <w:p w:rsidR="00051C97" w:rsidRPr="001478C7" w:rsidRDefault="00F57258" w:rsidP="00584C54">
      <w:pPr>
        <w:jc w:val="both"/>
      </w:pPr>
    </w:p>
    <w:p w:rsidR="004C7699" w:rsidRPr="001478C7" w:rsidRDefault="00F57258" w:rsidP="004C76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54"/>
        <w:gridCol w:w="1453"/>
        <w:gridCol w:w="1454"/>
        <w:gridCol w:w="1453"/>
        <w:gridCol w:w="1454"/>
      </w:tblGrid>
      <w:tr w:rsidR="00D120A8" w:rsidTr="004C7699">
        <w:tc>
          <w:tcPr>
            <w:tcW w:w="1453" w:type="dxa"/>
          </w:tcPr>
          <w:p w:rsidR="004C7699" w:rsidRPr="009138D0" w:rsidRDefault="00F57258" w:rsidP="004C7699">
            <w:pPr>
              <w:jc w:val="center"/>
            </w:pPr>
            <w:r>
              <w:lastRenderedPageBreak/>
              <w:t>Number of responses</w:t>
            </w:r>
          </w:p>
        </w:tc>
        <w:tc>
          <w:tcPr>
            <w:tcW w:w="1454" w:type="dxa"/>
          </w:tcPr>
          <w:p w:rsidR="004C7699" w:rsidRPr="009138D0" w:rsidRDefault="00F57258" w:rsidP="004C7699">
            <w:pPr>
              <w:jc w:val="center"/>
            </w:pPr>
            <w:r w:rsidRPr="009138D0">
              <w:t>Strongly agree</w:t>
            </w:r>
          </w:p>
        </w:tc>
        <w:tc>
          <w:tcPr>
            <w:tcW w:w="1453" w:type="dxa"/>
            <w:shd w:val="clear" w:color="auto" w:fill="auto"/>
          </w:tcPr>
          <w:p w:rsidR="004C7699" w:rsidRPr="009138D0" w:rsidRDefault="00F57258" w:rsidP="004C7699">
            <w:pPr>
              <w:jc w:val="center"/>
            </w:pPr>
            <w:r w:rsidRPr="009138D0">
              <w:t>Tend to agree</w:t>
            </w:r>
          </w:p>
        </w:tc>
        <w:tc>
          <w:tcPr>
            <w:tcW w:w="1454" w:type="dxa"/>
            <w:shd w:val="clear" w:color="auto" w:fill="auto"/>
          </w:tcPr>
          <w:p w:rsidR="004C7699" w:rsidRDefault="00F57258" w:rsidP="004C7699">
            <w:pPr>
              <w:jc w:val="center"/>
            </w:pPr>
            <w:r w:rsidRPr="009138D0">
              <w:t xml:space="preserve">Neither agree </w:t>
            </w:r>
            <w:r>
              <w:t>n</w:t>
            </w:r>
            <w:r w:rsidRPr="009138D0">
              <w:t>or disagree</w:t>
            </w:r>
          </w:p>
          <w:p w:rsidR="004C7699" w:rsidRPr="009138D0" w:rsidRDefault="00F57258" w:rsidP="004C7699">
            <w:pPr>
              <w:jc w:val="center"/>
            </w:pPr>
          </w:p>
        </w:tc>
        <w:tc>
          <w:tcPr>
            <w:tcW w:w="1453" w:type="dxa"/>
            <w:shd w:val="clear" w:color="auto" w:fill="auto"/>
          </w:tcPr>
          <w:p w:rsidR="004C7699" w:rsidRPr="009138D0" w:rsidRDefault="00F57258" w:rsidP="004C7699">
            <w:pPr>
              <w:jc w:val="center"/>
            </w:pPr>
            <w:r w:rsidRPr="009138D0">
              <w:t>Tend to disagree</w:t>
            </w:r>
          </w:p>
        </w:tc>
        <w:tc>
          <w:tcPr>
            <w:tcW w:w="1454" w:type="dxa"/>
            <w:shd w:val="clear" w:color="auto" w:fill="auto"/>
          </w:tcPr>
          <w:p w:rsidR="004C7699" w:rsidRPr="009138D0" w:rsidRDefault="00F57258" w:rsidP="004C7699">
            <w:pPr>
              <w:jc w:val="center"/>
            </w:pPr>
            <w:r w:rsidRPr="009138D0">
              <w:t>Strongly disagree</w:t>
            </w:r>
          </w:p>
        </w:tc>
      </w:tr>
      <w:tr w:rsidR="00D120A8" w:rsidTr="004C7699">
        <w:tc>
          <w:tcPr>
            <w:tcW w:w="1453" w:type="dxa"/>
          </w:tcPr>
          <w:p w:rsidR="004C7699" w:rsidRDefault="00F57258" w:rsidP="004C7699">
            <w:pPr>
              <w:jc w:val="center"/>
            </w:pPr>
            <w:r>
              <w:t>7</w:t>
            </w:r>
          </w:p>
        </w:tc>
        <w:tc>
          <w:tcPr>
            <w:tcW w:w="1454" w:type="dxa"/>
          </w:tcPr>
          <w:p w:rsidR="004C7699" w:rsidRDefault="00F57258" w:rsidP="004C7699">
            <w:pPr>
              <w:jc w:val="center"/>
            </w:pPr>
            <w:r>
              <w:t>0</w:t>
            </w:r>
            <w:r w:rsidRPr="009138D0">
              <w:t>%</w:t>
            </w:r>
          </w:p>
          <w:p w:rsidR="004C7699" w:rsidRPr="009138D0" w:rsidRDefault="00F57258" w:rsidP="004C7699">
            <w:pPr>
              <w:jc w:val="center"/>
            </w:pPr>
          </w:p>
        </w:tc>
        <w:tc>
          <w:tcPr>
            <w:tcW w:w="1453" w:type="dxa"/>
            <w:shd w:val="clear" w:color="auto" w:fill="auto"/>
          </w:tcPr>
          <w:p w:rsidR="004C7699" w:rsidRDefault="00F57258" w:rsidP="004C7699">
            <w:pPr>
              <w:jc w:val="center"/>
            </w:pPr>
            <w:r>
              <w:t>0</w:t>
            </w:r>
            <w:r w:rsidRPr="009138D0">
              <w:t>%</w:t>
            </w:r>
          </w:p>
          <w:p w:rsidR="004C7699" w:rsidRPr="009138D0" w:rsidRDefault="00F57258" w:rsidP="004C7699">
            <w:pPr>
              <w:jc w:val="center"/>
            </w:pPr>
          </w:p>
        </w:tc>
        <w:tc>
          <w:tcPr>
            <w:tcW w:w="1454" w:type="dxa"/>
            <w:shd w:val="clear" w:color="auto" w:fill="auto"/>
          </w:tcPr>
          <w:p w:rsidR="004C7699" w:rsidRDefault="00F57258" w:rsidP="004C7699">
            <w:pPr>
              <w:jc w:val="center"/>
            </w:pPr>
            <w:r>
              <w:t>0</w:t>
            </w:r>
            <w:r w:rsidRPr="009138D0">
              <w:t>%</w:t>
            </w:r>
          </w:p>
          <w:p w:rsidR="004C7699" w:rsidRPr="009138D0" w:rsidRDefault="00F57258" w:rsidP="004C7699">
            <w:pPr>
              <w:jc w:val="center"/>
            </w:pPr>
          </w:p>
        </w:tc>
        <w:tc>
          <w:tcPr>
            <w:tcW w:w="1453" w:type="dxa"/>
            <w:shd w:val="clear" w:color="auto" w:fill="auto"/>
          </w:tcPr>
          <w:p w:rsidR="004C7699" w:rsidRDefault="00F57258" w:rsidP="004C7699">
            <w:pPr>
              <w:jc w:val="center"/>
            </w:pPr>
            <w:r>
              <w:t>14</w:t>
            </w:r>
            <w:r w:rsidRPr="009138D0">
              <w:t>%</w:t>
            </w:r>
          </w:p>
          <w:p w:rsidR="004C7699" w:rsidRPr="009138D0" w:rsidRDefault="00F57258" w:rsidP="004C7699">
            <w:pPr>
              <w:jc w:val="center"/>
            </w:pPr>
            <w:r>
              <w:t>(1/7)</w:t>
            </w:r>
          </w:p>
        </w:tc>
        <w:tc>
          <w:tcPr>
            <w:tcW w:w="1454" w:type="dxa"/>
            <w:shd w:val="clear" w:color="auto" w:fill="auto"/>
          </w:tcPr>
          <w:p w:rsidR="004C7699" w:rsidRDefault="00F57258" w:rsidP="004C7699">
            <w:pPr>
              <w:jc w:val="center"/>
            </w:pPr>
            <w:r>
              <w:t>86</w:t>
            </w:r>
            <w:r w:rsidRPr="009138D0">
              <w:t>%</w:t>
            </w:r>
          </w:p>
          <w:p w:rsidR="008F57B1" w:rsidRPr="009138D0" w:rsidRDefault="00F57258" w:rsidP="004C7699">
            <w:pPr>
              <w:jc w:val="center"/>
            </w:pPr>
            <w:r>
              <w:t>(6/7)</w:t>
            </w:r>
          </w:p>
        </w:tc>
      </w:tr>
    </w:tbl>
    <w:p w:rsidR="004C7699" w:rsidRDefault="00F57258">
      <w:pPr>
        <w:pStyle w:val="Header"/>
        <w:rPr>
          <w:rFonts w:ascii="Arial" w:hAnsi="Arial"/>
        </w:rPr>
      </w:pPr>
    </w:p>
    <w:p w:rsidR="00663FED" w:rsidRDefault="00F57258" w:rsidP="002F5C15">
      <w:pPr>
        <w:pStyle w:val="Header"/>
        <w:jc w:val="both"/>
        <w:rPr>
          <w:rFonts w:ascii="Arial" w:hAnsi="Arial"/>
        </w:rPr>
      </w:pPr>
      <w:r>
        <w:rPr>
          <w:rFonts w:ascii="Arial" w:hAnsi="Arial"/>
        </w:rPr>
        <w:t xml:space="preserve">It should be noted that this was a very low response to a document which was circulated to a </w:t>
      </w:r>
      <w:r>
        <w:rPr>
          <w:rFonts w:ascii="Arial" w:hAnsi="Arial"/>
        </w:rPr>
        <w:t>very wide audience.</w:t>
      </w:r>
    </w:p>
    <w:p w:rsidR="00663FED" w:rsidRDefault="00F57258" w:rsidP="002F5C15">
      <w:pPr>
        <w:pStyle w:val="Header"/>
        <w:jc w:val="both"/>
        <w:rPr>
          <w:rFonts w:ascii="Arial" w:hAnsi="Arial"/>
        </w:rPr>
      </w:pPr>
    </w:p>
    <w:p w:rsidR="008F57B1" w:rsidRDefault="00F57258" w:rsidP="002F5C15">
      <w:pPr>
        <w:pStyle w:val="Header"/>
        <w:jc w:val="both"/>
        <w:rPr>
          <w:rFonts w:ascii="Arial" w:hAnsi="Arial"/>
        </w:rPr>
      </w:pPr>
      <w:r>
        <w:rPr>
          <w:rFonts w:ascii="Arial" w:hAnsi="Arial"/>
        </w:rPr>
        <w:t>In addition, respondents were asked how the proposed closure would affect them and if they had any additional comments. Their concerns can be summarised under the same headings as the issues raised during the consultation event (see be</w:t>
      </w:r>
      <w:r>
        <w:rPr>
          <w:rFonts w:ascii="Arial" w:hAnsi="Arial"/>
        </w:rPr>
        <w:t>low).</w:t>
      </w:r>
    </w:p>
    <w:p w:rsidR="008F57B1" w:rsidRDefault="00F57258" w:rsidP="002F5C15">
      <w:pPr>
        <w:pStyle w:val="Header"/>
        <w:jc w:val="both"/>
        <w:rPr>
          <w:rFonts w:ascii="Arial" w:hAnsi="Arial"/>
        </w:rPr>
      </w:pPr>
    </w:p>
    <w:p w:rsidR="004561A1" w:rsidRDefault="00F57258" w:rsidP="005D4491">
      <w:pPr>
        <w:jc w:val="both"/>
      </w:pPr>
      <w:r w:rsidRPr="006D7599">
        <w:t>During th</w:t>
      </w:r>
      <w:r>
        <w:t>e consultation per</w:t>
      </w:r>
      <w:r w:rsidRPr="006D7599">
        <w:t xml:space="preserve">iod, a consultation event was held at the school between 3pm and 8pm on </w:t>
      </w:r>
      <w:r>
        <w:t>25 September 2019</w:t>
      </w:r>
      <w:r w:rsidRPr="006D7599">
        <w:t xml:space="preserve"> for parents, staff, governors and any other interested parties to ask questions and make comments on the proposal.</w:t>
      </w:r>
      <w:r>
        <w:t xml:space="preserve"> Eight individuals</w:t>
      </w:r>
      <w:r>
        <w:t xml:space="preserve"> attended the event. These comprised two members of staff, one parent, one governor, and representatives of four local schools.</w:t>
      </w:r>
    </w:p>
    <w:p w:rsidR="004561A1" w:rsidRDefault="00F57258">
      <w:pPr>
        <w:jc w:val="both"/>
      </w:pPr>
    </w:p>
    <w:p w:rsidR="004C7699" w:rsidRDefault="00F57258">
      <w:pPr>
        <w:jc w:val="both"/>
      </w:pPr>
      <w:r>
        <w:t>Local Authority staff in attendance were as follows: Senior Adviser for Special Educational Needs, Senior Adviser for the Monit</w:t>
      </w:r>
      <w:r>
        <w:t xml:space="preserve">oring and Intervention Team, Human Resources Services Manager (Schools), Schools' Financial Adviser, and Senior Manager for Alternative Provision. </w:t>
      </w:r>
    </w:p>
    <w:p w:rsidR="004C7699" w:rsidRDefault="00F57258">
      <w:pPr>
        <w:jc w:val="both"/>
      </w:pPr>
    </w:p>
    <w:p w:rsidR="004C7699" w:rsidRDefault="00F57258">
      <w:pPr>
        <w:jc w:val="both"/>
      </w:pPr>
      <w:r>
        <w:t>At the event, attendees were asked whether they would be in support of the school closing, or if they wishe</w:t>
      </w:r>
      <w:r>
        <w:t>d to raise issues about the potential impact of closure. All of those attending wished to raise issues about the impact of closure. The main points they raised were as follows:</w:t>
      </w:r>
    </w:p>
    <w:p w:rsidR="00663FED" w:rsidRDefault="00F57258">
      <w:pPr>
        <w:jc w:val="both"/>
      </w:pPr>
    </w:p>
    <w:p w:rsidR="00663FED" w:rsidRPr="00663FED" w:rsidRDefault="00F57258">
      <w:pPr>
        <w:pStyle w:val="ListParagraph"/>
        <w:numPr>
          <w:ilvl w:val="0"/>
          <w:numId w:val="4"/>
        </w:numPr>
        <w:jc w:val="both"/>
        <w:rPr>
          <w:u w:val="single"/>
        </w:rPr>
      </w:pPr>
      <w:r w:rsidRPr="00663FED">
        <w:rPr>
          <w:u w:val="single"/>
        </w:rPr>
        <w:t xml:space="preserve">The need for alternative provision for pupils who are permanently excluded or </w:t>
      </w:r>
      <w:r w:rsidRPr="00663FED">
        <w:rPr>
          <w:u w:val="single"/>
        </w:rPr>
        <w:t>at risk of exclusion</w:t>
      </w:r>
    </w:p>
    <w:p w:rsidR="004C7699" w:rsidRDefault="00F57258">
      <w:pPr>
        <w:jc w:val="both"/>
      </w:pPr>
    </w:p>
    <w:p w:rsidR="00663FED" w:rsidRDefault="00F57258">
      <w:pPr>
        <w:jc w:val="both"/>
      </w:pPr>
      <w:r>
        <w:t xml:space="preserve">Concern was expressed at the lack of information on proposals to provide suitable alternative places for (current and future) pupils should Hendon Brook close.   </w:t>
      </w:r>
    </w:p>
    <w:p w:rsidR="004C7699" w:rsidRDefault="00F57258">
      <w:pPr>
        <w:jc w:val="both"/>
      </w:pPr>
    </w:p>
    <w:p w:rsidR="004C7699" w:rsidRDefault="00F57258">
      <w:pPr>
        <w:jc w:val="both"/>
      </w:pPr>
      <w:r>
        <w:t>The Local Authority response to this concern is as follows:</w:t>
      </w:r>
    </w:p>
    <w:p w:rsidR="004C7699" w:rsidRDefault="00F57258">
      <w:pPr>
        <w:jc w:val="both"/>
      </w:pPr>
    </w:p>
    <w:p w:rsidR="004C7699" w:rsidRDefault="00F57258">
      <w:pPr>
        <w:jc w:val="both"/>
      </w:pPr>
      <w:r w:rsidRPr="00F25A73">
        <w:t xml:space="preserve">If </w:t>
      </w:r>
      <w:r>
        <w:t>Hendon</w:t>
      </w:r>
      <w:r>
        <w:t xml:space="preserve"> Brook</w:t>
      </w:r>
      <w:r w:rsidRPr="00F25A73">
        <w:t xml:space="preserve"> were to close, </w:t>
      </w:r>
      <w:r>
        <w:t>the authority's Commissioner for Alternative Provision would be able to secure places at existing providers with expertise in the field and the authority continues to work with schools in the region to reduce the level of exclusion.</w:t>
      </w:r>
    </w:p>
    <w:p w:rsidR="004C7699" w:rsidRDefault="00F57258">
      <w:pPr>
        <w:jc w:val="both"/>
      </w:pPr>
    </w:p>
    <w:p w:rsidR="00944C81" w:rsidRPr="00944C81" w:rsidRDefault="00F57258">
      <w:pPr>
        <w:pStyle w:val="ListParagraph"/>
        <w:numPr>
          <w:ilvl w:val="0"/>
          <w:numId w:val="4"/>
        </w:numPr>
        <w:jc w:val="both"/>
        <w:rPr>
          <w:u w:val="single"/>
        </w:rPr>
      </w:pPr>
      <w:r w:rsidRPr="00944C81">
        <w:rPr>
          <w:u w:val="single"/>
        </w:rPr>
        <w:t>The loss of staff specialist skills in meeting the needs of pupils</w:t>
      </w:r>
    </w:p>
    <w:p w:rsidR="00944C81" w:rsidRDefault="00F57258">
      <w:pPr>
        <w:jc w:val="both"/>
      </w:pPr>
    </w:p>
    <w:p w:rsidR="00944C81" w:rsidRDefault="00F57258">
      <w:pPr>
        <w:jc w:val="both"/>
      </w:pPr>
      <w:r>
        <w:t>Concern was expressed about the potential loss of the staff skills in meeting the needs of pupils who had not flourished in previous schools and who were often reluctant learners.</w:t>
      </w:r>
    </w:p>
    <w:p w:rsidR="00944C81" w:rsidRDefault="00F57258">
      <w:pPr>
        <w:jc w:val="both"/>
      </w:pPr>
    </w:p>
    <w:p w:rsidR="00944C81" w:rsidRDefault="00F57258">
      <w:pPr>
        <w:jc w:val="both"/>
      </w:pPr>
      <w:r>
        <w:t>The Loc</w:t>
      </w:r>
      <w:r>
        <w:t>al Authority response to this concern is as follows:</w:t>
      </w:r>
    </w:p>
    <w:p w:rsidR="00944C81" w:rsidRDefault="00F57258">
      <w:pPr>
        <w:jc w:val="both"/>
      </w:pPr>
    </w:p>
    <w:p w:rsidR="00944C81" w:rsidRDefault="00F57258">
      <w:pPr>
        <w:jc w:val="both"/>
      </w:pPr>
      <w:r>
        <w:lastRenderedPageBreak/>
        <w:t>If Hendon Brook were to close, the authority's Commissioner for Alternative Provision's quality assurance system will provide a mechanism to ensure pupils are placed with providers able to meet their ne</w:t>
      </w:r>
      <w:r>
        <w:t>eds.</w:t>
      </w:r>
    </w:p>
    <w:p w:rsidR="00944C81" w:rsidRDefault="00F57258">
      <w:pPr>
        <w:jc w:val="both"/>
      </w:pPr>
    </w:p>
    <w:p w:rsidR="00944C81" w:rsidRPr="00944C81" w:rsidRDefault="00F57258">
      <w:pPr>
        <w:pStyle w:val="ListParagraph"/>
        <w:numPr>
          <w:ilvl w:val="0"/>
          <w:numId w:val="4"/>
        </w:numPr>
        <w:jc w:val="both"/>
        <w:rPr>
          <w:u w:val="single"/>
        </w:rPr>
      </w:pPr>
      <w:r w:rsidRPr="00944C81">
        <w:rPr>
          <w:u w:val="single"/>
        </w:rPr>
        <w:t xml:space="preserve">The impact on Hendon Brook staff, which could involve them losing their jobs  </w:t>
      </w:r>
    </w:p>
    <w:p w:rsidR="00944C81" w:rsidRPr="00944C81" w:rsidRDefault="00F57258">
      <w:pPr>
        <w:jc w:val="both"/>
        <w:rPr>
          <w:u w:val="single"/>
        </w:rPr>
      </w:pPr>
    </w:p>
    <w:p w:rsidR="00FC7D3B" w:rsidRDefault="00F57258">
      <w:pPr>
        <w:jc w:val="both"/>
      </w:pPr>
      <w:r>
        <w:t>The Local Authority response to this concern is as follows:</w:t>
      </w:r>
    </w:p>
    <w:p w:rsidR="00FC7D3B" w:rsidRDefault="00F57258">
      <w:pPr>
        <w:jc w:val="both"/>
      </w:pPr>
    </w:p>
    <w:p w:rsidR="00944C81" w:rsidRDefault="00F57258">
      <w:pPr>
        <w:jc w:val="both"/>
      </w:pPr>
      <w:r>
        <w:t xml:space="preserve">Human Resources expertise is being made available to staff to support them in considering potential future options.     </w:t>
      </w:r>
    </w:p>
    <w:p w:rsidR="00944C81" w:rsidRDefault="00F57258">
      <w:pPr>
        <w:jc w:val="both"/>
      </w:pPr>
    </w:p>
    <w:p w:rsidR="004C7699" w:rsidRDefault="00F57258">
      <w:pPr>
        <w:jc w:val="both"/>
      </w:pPr>
      <w:r w:rsidRPr="00FC7D3B">
        <w:rPr>
          <w:u w:val="single"/>
        </w:rPr>
        <w:t>Please note</w:t>
      </w:r>
      <w:r>
        <w:t>: A formal consultation was not conducted with Hendon Brook pupils, because the expectation of short stay schools is that p</w:t>
      </w:r>
      <w:r>
        <w:t xml:space="preserve">upils are moved to a permanent place at another school after a maximum of two terms attendance, or as soon as possible thereafter. Consequently, very few current pupils, if any, are likely to be affected by the proposal. </w:t>
      </w:r>
    </w:p>
    <w:p w:rsidR="004C7699" w:rsidRDefault="00F57258" w:rsidP="002F5C15">
      <w:pPr>
        <w:pStyle w:val="Header"/>
        <w:jc w:val="both"/>
        <w:rPr>
          <w:rFonts w:ascii="Arial" w:hAnsi="Arial"/>
        </w:rPr>
      </w:pPr>
    </w:p>
    <w:p w:rsidR="004C7699" w:rsidRDefault="00F57258" w:rsidP="002F5C15">
      <w:pPr>
        <w:jc w:val="both"/>
      </w:pPr>
      <w:r>
        <w:rPr>
          <w:b/>
        </w:rPr>
        <w:t>Implications</w:t>
      </w:r>
      <w:r>
        <w:t xml:space="preserve">: </w:t>
      </w:r>
    </w:p>
    <w:p w:rsidR="004C7699" w:rsidRDefault="00F57258" w:rsidP="002F5C15">
      <w:pPr>
        <w:jc w:val="both"/>
      </w:pPr>
    </w:p>
    <w:p w:rsidR="004C7699" w:rsidRDefault="00F57258" w:rsidP="002F5C15">
      <w:pPr>
        <w:jc w:val="both"/>
      </w:pPr>
      <w:r>
        <w:t>This item has the</w:t>
      </w:r>
      <w:r>
        <w:t xml:space="preserve"> following implications:</w:t>
      </w:r>
    </w:p>
    <w:p w:rsidR="004C7699" w:rsidRDefault="00F57258" w:rsidP="002F5C15">
      <w:pPr>
        <w:jc w:val="both"/>
      </w:pPr>
    </w:p>
    <w:p w:rsidR="004C7699" w:rsidRPr="00777883" w:rsidRDefault="00F57258" w:rsidP="002F5C15">
      <w:pPr>
        <w:jc w:val="both"/>
        <w:rPr>
          <w:b/>
        </w:rPr>
      </w:pPr>
      <w:r w:rsidRPr="00777883">
        <w:rPr>
          <w:b/>
        </w:rPr>
        <w:t xml:space="preserve">Risk </w:t>
      </w:r>
      <w:r>
        <w:rPr>
          <w:b/>
        </w:rPr>
        <w:t>M</w:t>
      </w:r>
      <w:r w:rsidRPr="00777883">
        <w:rPr>
          <w:b/>
        </w:rPr>
        <w:t>anagement</w:t>
      </w:r>
    </w:p>
    <w:p w:rsidR="004C7699" w:rsidRPr="00777883" w:rsidRDefault="00F57258" w:rsidP="002F5C15">
      <w:pPr>
        <w:jc w:val="both"/>
      </w:pPr>
    </w:p>
    <w:p w:rsidR="004C7699" w:rsidRPr="009B2A2E" w:rsidRDefault="00F57258" w:rsidP="005D4491">
      <w:pPr>
        <w:jc w:val="both"/>
      </w:pPr>
      <w:r>
        <w:t>The a</w:t>
      </w:r>
      <w:r w:rsidRPr="00777883">
        <w:t>uthority has a statutory duty to secure high quality school places for its residents.</w:t>
      </w:r>
      <w:r>
        <w:t xml:space="preserve"> </w:t>
      </w:r>
      <w:r w:rsidRPr="0033459A">
        <w:t xml:space="preserve">Alternative school places can be secured for </w:t>
      </w:r>
      <w:r>
        <w:t xml:space="preserve">any </w:t>
      </w:r>
      <w:r w:rsidRPr="0033459A">
        <w:t xml:space="preserve">current pupils affected </w:t>
      </w:r>
      <w:r w:rsidRPr="009B2A2E">
        <w:t>by the proposed closure</w:t>
      </w:r>
      <w:r>
        <w:t>, and future placements ca</w:t>
      </w:r>
      <w:r>
        <w:t>n be secured at other types of alternative provision</w:t>
      </w:r>
      <w:r w:rsidRPr="009B2A2E">
        <w:t>.</w:t>
      </w:r>
    </w:p>
    <w:p w:rsidR="004C7699" w:rsidRPr="009B2A2E" w:rsidRDefault="00F57258" w:rsidP="004C7699">
      <w:pPr>
        <w:jc w:val="both"/>
      </w:pPr>
    </w:p>
    <w:p w:rsidR="004C7699" w:rsidRPr="00777883" w:rsidRDefault="00F57258" w:rsidP="004C7699">
      <w:pPr>
        <w:jc w:val="both"/>
      </w:pPr>
      <w:r w:rsidRPr="009B2A2E">
        <w:t>There are implications for staff employed in the school but the authority has</w:t>
      </w:r>
      <w:r w:rsidRPr="00777883">
        <w:t xml:space="preserve"> experience in staff redeployment and retraining and a good record in avoiding compulsory redundancies.</w:t>
      </w:r>
      <w:r>
        <w:t xml:space="preserve"> The Human Resources </w:t>
      </w:r>
      <w:r>
        <w:t>Service at Lancashire County Council is already supporting the school with staffing reduction procedures necessitated by the fall in pupil numbers.</w:t>
      </w:r>
    </w:p>
    <w:p w:rsidR="004C7699" w:rsidRPr="00777883" w:rsidRDefault="00F57258" w:rsidP="004C7699">
      <w:pPr>
        <w:jc w:val="both"/>
      </w:pPr>
    </w:p>
    <w:p w:rsidR="004C7699" w:rsidRPr="00777883" w:rsidRDefault="00F57258" w:rsidP="004C7699">
      <w:pPr>
        <w:jc w:val="both"/>
        <w:rPr>
          <w:b/>
        </w:rPr>
      </w:pPr>
      <w:r w:rsidRPr="00777883">
        <w:rPr>
          <w:b/>
        </w:rPr>
        <w:t>Financial</w:t>
      </w:r>
    </w:p>
    <w:p w:rsidR="004C7699" w:rsidRPr="00113AA0" w:rsidRDefault="00F57258" w:rsidP="004C7699">
      <w:pPr>
        <w:jc w:val="both"/>
      </w:pPr>
    </w:p>
    <w:p w:rsidR="004C7699" w:rsidRDefault="00F57258" w:rsidP="004C7699">
      <w:pPr>
        <w:jc w:val="both"/>
      </w:pPr>
      <w:r>
        <w:t>T</w:t>
      </w:r>
      <w:r w:rsidRPr="00700116">
        <w:t xml:space="preserve">he current </w:t>
      </w:r>
      <w:r>
        <w:t xml:space="preserve">and increasing budget deficit of £200k is unsustainable going forward.  When a </w:t>
      </w:r>
      <w:r w:rsidRPr="00113AA0">
        <w:t>schoo</w:t>
      </w:r>
      <w:r w:rsidRPr="00113AA0">
        <w:t>l</w:t>
      </w:r>
      <w:r>
        <w:t xml:space="preserve"> is</w:t>
      </w:r>
      <w:r w:rsidRPr="00113AA0">
        <w:t xml:space="preserve"> closed by an authority</w:t>
      </w:r>
      <w:r>
        <w:t>,</w:t>
      </w:r>
      <w:r w:rsidRPr="00113AA0">
        <w:t xml:space="preserve"> any balance </w:t>
      </w:r>
      <w:r>
        <w:t>or deficit</w:t>
      </w:r>
      <w:r w:rsidRPr="00777883">
        <w:t xml:space="preserve"> reverts to the </w:t>
      </w:r>
      <w:r>
        <w:t>a</w:t>
      </w:r>
      <w:r w:rsidRPr="00777883">
        <w:t xml:space="preserve">uthority.  </w:t>
      </w:r>
    </w:p>
    <w:p w:rsidR="004C7699" w:rsidRPr="00777883" w:rsidRDefault="00F57258" w:rsidP="004C7699">
      <w:pPr>
        <w:rPr>
          <w:rFonts w:cs="Arial"/>
        </w:rPr>
      </w:pPr>
    </w:p>
    <w:p w:rsidR="004C7699" w:rsidRPr="007F78B9" w:rsidRDefault="00F57258" w:rsidP="004C7699">
      <w:pPr>
        <w:pStyle w:val="Header"/>
        <w:rPr>
          <w:rFonts w:ascii="Arial" w:hAnsi="Arial" w:cs="Arial"/>
          <w:b/>
        </w:rPr>
      </w:pPr>
      <w:r w:rsidRPr="007F78B9">
        <w:rPr>
          <w:rFonts w:ascii="Arial" w:hAnsi="Arial" w:cs="Arial"/>
          <w:b/>
        </w:rPr>
        <w:t xml:space="preserve">Equality and </w:t>
      </w:r>
      <w:r>
        <w:rPr>
          <w:rFonts w:ascii="Arial" w:hAnsi="Arial" w:cs="Arial"/>
          <w:b/>
        </w:rPr>
        <w:t>Cohesion</w:t>
      </w:r>
    </w:p>
    <w:p w:rsidR="004C7699" w:rsidRPr="007F78B9" w:rsidRDefault="00F57258" w:rsidP="004C7699">
      <w:pPr>
        <w:rPr>
          <w:rFonts w:cs="Arial"/>
        </w:rPr>
      </w:pPr>
    </w:p>
    <w:p w:rsidR="004C7699" w:rsidRDefault="00F57258" w:rsidP="002F5C15">
      <w:pPr>
        <w:jc w:val="both"/>
      </w:pPr>
      <w:r w:rsidRPr="007F78B9">
        <w:rPr>
          <w:rFonts w:cs="Arial"/>
        </w:rPr>
        <w:t>A full Equality</w:t>
      </w:r>
      <w:r>
        <w:rPr>
          <w:rFonts w:cs="Arial"/>
        </w:rPr>
        <w:t xml:space="preserve"> Analysis </w:t>
      </w:r>
      <w:r w:rsidRPr="007F78B9">
        <w:rPr>
          <w:rFonts w:cs="Arial"/>
        </w:rPr>
        <w:t>will be completed and reported at the determination stage of the proposal.</w:t>
      </w:r>
    </w:p>
    <w:p w:rsidR="004C7699" w:rsidRDefault="00F57258"/>
    <w:p w:rsidR="004C7699" w:rsidRDefault="00F57258">
      <w:pPr>
        <w:pStyle w:val="Heading5"/>
        <w:rPr>
          <w:rFonts w:ascii="Arial" w:hAnsi="Arial"/>
          <w:u w:val="none"/>
        </w:rPr>
      </w:pPr>
      <w:r>
        <w:rPr>
          <w:rFonts w:ascii="Arial" w:hAnsi="Arial"/>
          <w:u w:val="none"/>
        </w:rPr>
        <w:t>List of Background Papers</w:t>
      </w:r>
    </w:p>
    <w:p w:rsidR="004C7699" w:rsidRDefault="00F57258"/>
    <w:tbl>
      <w:tblPr>
        <w:tblW w:w="9180" w:type="dxa"/>
        <w:tblInd w:w="-108" w:type="dxa"/>
        <w:tblLayout w:type="fixed"/>
        <w:tblLook w:val="0000" w:firstRow="0" w:lastRow="0" w:firstColumn="0" w:lastColumn="0" w:noHBand="0" w:noVBand="0"/>
      </w:tblPr>
      <w:tblGrid>
        <w:gridCol w:w="3227"/>
        <w:gridCol w:w="2775"/>
        <w:gridCol w:w="3178"/>
      </w:tblGrid>
      <w:tr w:rsidR="00D120A8" w:rsidTr="002F5C15">
        <w:trPr>
          <w:trHeight w:val="113"/>
        </w:trPr>
        <w:tc>
          <w:tcPr>
            <w:tcW w:w="3227" w:type="dxa"/>
          </w:tcPr>
          <w:p w:rsidR="004C7699" w:rsidRDefault="00F57258">
            <w:pPr>
              <w:pStyle w:val="Heading7"/>
              <w:rPr>
                <w:rFonts w:ascii="Arial" w:hAnsi="Arial"/>
                <w:u w:val="none"/>
              </w:rPr>
            </w:pPr>
            <w:r>
              <w:rPr>
                <w:rFonts w:ascii="Arial" w:hAnsi="Arial"/>
                <w:u w:val="none"/>
              </w:rPr>
              <w:t>Paper</w:t>
            </w:r>
          </w:p>
        </w:tc>
        <w:tc>
          <w:tcPr>
            <w:tcW w:w="2775" w:type="dxa"/>
          </w:tcPr>
          <w:p w:rsidR="004C7699" w:rsidRDefault="00F57258">
            <w:pPr>
              <w:pStyle w:val="Heading7"/>
              <w:rPr>
                <w:rFonts w:ascii="Arial" w:hAnsi="Arial"/>
                <w:u w:val="none"/>
              </w:rPr>
            </w:pPr>
            <w:r>
              <w:rPr>
                <w:rFonts w:ascii="Arial" w:hAnsi="Arial"/>
                <w:u w:val="none"/>
              </w:rPr>
              <w:t>Date</w:t>
            </w:r>
          </w:p>
        </w:tc>
        <w:tc>
          <w:tcPr>
            <w:tcW w:w="3178" w:type="dxa"/>
          </w:tcPr>
          <w:p w:rsidR="004C7699" w:rsidRDefault="00F57258" w:rsidP="004C7699">
            <w:pPr>
              <w:pStyle w:val="Heading7"/>
              <w:rPr>
                <w:rFonts w:ascii="Arial" w:hAnsi="Arial"/>
                <w:u w:val="none"/>
              </w:rPr>
            </w:pPr>
            <w:r>
              <w:rPr>
                <w:rFonts w:ascii="Arial" w:hAnsi="Arial"/>
                <w:u w:val="none"/>
              </w:rPr>
              <w:t>Contact/Tel</w:t>
            </w:r>
          </w:p>
        </w:tc>
      </w:tr>
      <w:tr w:rsidR="00D120A8" w:rsidTr="002F5C15">
        <w:tc>
          <w:tcPr>
            <w:tcW w:w="3227" w:type="dxa"/>
          </w:tcPr>
          <w:p w:rsidR="005D4491" w:rsidRDefault="00F57258" w:rsidP="00584C54"/>
          <w:p w:rsidR="004C7699" w:rsidRPr="007144E0" w:rsidRDefault="00F57258" w:rsidP="00584C54">
            <w:r>
              <w:t>None</w:t>
            </w:r>
          </w:p>
          <w:p w:rsidR="004C7699" w:rsidRDefault="00F57258"/>
        </w:tc>
        <w:tc>
          <w:tcPr>
            <w:tcW w:w="2775" w:type="dxa"/>
          </w:tcPr>
          <w:p w:rsidR="004C7699" w:rsidRDefault="00F57258"/>
        </w:tc>
        <w:tc>
          <w:tcPr>
            <w:tcW w:w="3178" w:type="dxa"/>
          </w:tcPr>
          <w:p w:rsidR="004C7699" w:rsidRDefault="00F57258" w:rsidP="004C7699"/>
        </w:tc>
      </w:tr>
      <w:tr w:rsidR="00D120A8" w:rsidTr="002F5C15">
        <w:tc>
          <w:tcPr>
            <w:tcW w:w="9180" w:type="dxa"/>
            <w:gridSpan w:val="3"/>
          </w:tcPr>
          <w:p w:rsidR="004C7699" w:rsidRDefault="00F57258">
            <w:pPr>
              <w:pStyle w:val="Heading7"/>
              <w:rPr>
                <w:rFonts w:ascii="Arial" w:hAnsi="Arial"/>
                <w:u w:val="none"/>
              </w:rPr>
            </w:pPr>
            <w:r>
              <w:rPr>
                <w:rFonts w:ascii="Arial" w:hAnsi="Arial"/>
                <w:u w:val="none"/>
              </w:rPr>
              <w:lastRenderedPageBreak/>
              <w:t>R</w:t>
            </w:r>
            <w:bookmarkStart w:id="0" w:name="_GoBack"/>
            <w:bookmarkEnd w:id="0"/>
            <w:r>
              <w:rPr>
                <w:rFonts w:ascii="Arial" w:hAnsi="Arial"/>
                <w:u w:val="none"/>
              </w:rPr>
              <w:t>eason for inclusion in Part II, if appropriate</w:t>
            </w:r>
          </w:p>
          <w:p w:rsidR="004C7699" w:rsidRDefault="00F57258"/>
          <w:p w:rsidR="004C7699" w:rsidRDefault="00F57258">
            <w:r>
              <w:t>N/A</w:t>
            </w:r>
          </w:p>
          <w:p w:rsidR="004C7699" w:rsidRDefault="00F57258"/>
        </w:tc>
      </w:tr>
    </w:tbl>
    <w:p w:rsidR="004C7699" w:rsidRDefault="00F57258"/>
    <w:sectPr w:rsidR="004C7699">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7258">
      <w:r>
        <w:separator/>
      </w:r>
    </w:p>
  </w:endnote>
  <w:endnote w:type="continuationSeparator" w:id="0">
    <w:p w:rsidR="00000000" w:rsidRDefault="00F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120A8">
      <w:tc>
        <w:tcPr>
          <w:tcW w:w="9243" w:type="dxa"/>
          <w:tcBorders>
            <w:top w:val="nil"/>
            <w:left w:val="nil"/>
            <w:bottom w:val="nil"/>
            <w:right w:val="nil"/>
          </w:tcBorders>
        </w:tcPr>
        <w:p w:rsidR="004C7699" w:rsidRDefault="00F57258">
          <w:pPr>
            <w:pStyle w:val="Footer"/>
            <w:tabs>
              <w:tab w:val="clear" w:pos="4153"/>
            </w:tabs>
            <w:ind w:right="-45"/>
            <w:jc w:val="right"/>
          </w:pPr>
        </w:p>
      </w:tc>
    </w:tr>
  </w:tbl>
  <w:p w:rsidR="004C7699" w:rsidRDefault="00F57258">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120A8">
      <w:tc>
        <w:tcPr>
          <w:tcW w:w="9243" w:type="dxa"/>
          <w:tcBorders>
            <w:top w:val="nil"/>
            <w:left w:val="nil"/>
            <w:bottom w:val="nil"/>
            <w:right w:val="nil"/>
          </w:tcBorders>
        </w:tcPr>
        <w:p w:rsidR="004C7699" w:rsidRDefault="00F57258" w:rsidP="004C7699">
          <w:pPr>
            <w:pStyle w:val="Footer"/>
            <w:tabs>
              <w:tab w:val="clear" w:pos="4153"/>
            </w:tabs>
            <w:ind w:right="-45"/>
            <w:jc w:val="right"/>
          </w:pPr>
          <w:r>
            <w:rPr>
              <w:noProof/>
            </w:rPr>
            <w:drawing>
              <wp:inline distT="0" distB="0" distL="0" distR="0">
                <wp:extent cx="1257935" cy="629285"/>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91295"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935" cy="629285"/>
                        </a:xfrm>
                        <a:prstGeom prst="rect">
                          <a:avLst/>
                        </a:prstGeom>
                        <a:noFill/>
                        <a:ln>
                          <a:noFill/>
                        </a:ln>
                      </pic:spPr>
                    </pic:pic>
                  </a:graphicData>
                </a:graphic>
              </wp:inline>
            </w:drawing>
          </w:r>
        </w:p>
      </w:tc>
    </w:tr>
  </w:tbl>
  <w:p w:rsidR="004C7699" w:rsidRPr="0036487C" w:rsidRDefault="00F57258" w:rsidP="004C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7258">
      <w:r>
        <w:separator/>
      </w:r>
    </w:p>
  </w:footnote>
  <w:footnote w:type="continuationSeparator" w:id="0">
    <w:p w:rsidR="00000000" w:rsidRDefault="00F57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6C6B"/>
    <w:multiLevelType w:val="hybridMultilevel"/>
    <w:tmpl w:val="05AA9CB4"/>
    <w:lvl w:ilvl="0" w:tplc="DD049518">
      <w:start w:val="1"/>
      <w:numFmt w:val="lowerRoman"/>
      <w:lvlText w:val="%1."/>
      <w:lvlJc w:val="right"/>
      <w:pPr>
        <w:ind w:left="720" w:hanging="360"/>
      </w:pPr>
    </w:lvl>
    <w:lvl w:ilvl="1" w:tplc="239CA2AC" w:tentative="1">
      <w:start w:val="1"/>
      <w:numFmt w:val="lowerLetter"/>
      <w:lvlText w:val="%2."/>
      <w:lvlJc w:val="left"/>
      <w:pPr>
        <w:ind w:left="1440" w:hanging="360"/>
      </w:pPr>
    </w:lvl>
    <w:lvl w:ilvl="2" w:tplc="3C9EECFA" w:tentative="1">
      <w:start w:val="1"/>
      <w:numFmt w:val="lowerRoman"/>
      <w:lvlText w:val="%3."/>
      <w:lvlJc w:val="right"/>
      <w:pPr>
        <w:ind w:left="2160" w:hanging="180"/>
      </w:pPr>
    </w:lvl>
    <w:lvl w:ilvl="3" w:tplc="EDB60020" w:tentative="1">
      <w:start w:val="1"/>
      <w:numFmt w:val="decimal"/>
      <w:lvlText w:val="%4."/>
      <w:lvlJc w:val="left"/>
      <w:pPr>
        <w:ind w:left="2880" w:hanging="360"/>
      </w:pPr>
    </w:lvl>
    <w:lvl w:ilvl="4" w:tplc="1248D4BA" w:tentative="1">
      <w:start w:val="1"/>
      <w:numFmt w:val="lowerLetter"/>
      <w:lvlText w:val="%5."/>
      <w:lvlJc w:val="left"/>
      <w:pPr>
        <w:ind w:left="3600" w:hanging="360"/>
      </w:pPr>
    </w:lvl>
    <w:lvl w:ilvl="5" w:tplc="7DAC93F0" w:tentative="1">
      <w:start w:val="1"/>
      <w:numFmt w:val="lowerRoman"/>
      <w:lvlText w:val="%6."/>
      <w:lvlJc w:val="right"/>
      <w:pPr>
        <w:ind w:left="4320" w:hanging="180"/>
      </w:pPr>
    </w:lvl>
    <w:lvl w:ilvl="6" w:tplc="F7EA785C" w:tentative="1">
      <w:start w:val="1"/>
      <w:numFmt w:val="decimal"/>
      <w:lvlText w:val="%7."/>
      <w:lvlJc w:val="left"/>
      <w:pPr>
        <w:ind w:left="5040" w:hanging="360"/>
      </w:pPr>
    </w:lvl>
    <w:lvl w:ilvl="7" w:tplc="F276275E" w:tentative="1">
      <w:start w:val="1"/>
      <w:numFmt w:val="lowerLetter"/>
      <w:lvlText w:val="%8."/>
      <w:lvlJc w:val="left"/>
      <w:pPr>
        <w:ind w:left="5760" w:hanging="360"/>
      </w:pPr>
    </w:lvl>
    <w:lvl w:ilvl="8" w:tplc="B3C29B7E" w:tentative="1">
      <w:start w:val="1"/>
      <w:numFmt w:val="lowerRoman"/>
      <w:lvlText w:val="%9."/>
      <w:lvlJc w:val="right"/>
      <w:pPr>
        <w:ind w:left="6480" w:hanging="180"/>
      </w:pPr>
    </w:lvl>
  </w:abstractNum>
  <w:abstractNum w:abstractNumId="1" w15:restartNumberingAfterBreak="0">
    <w:nsid w:val="23221ADF"/>
    <w:multiLevelType w:val="hybridMultilevel"/>
    <w:tmpl w:val="10F272C2"/>
    <w:lvl w:ilvl="0" w:tplc="A4000C1E">
      <w:start w:val="1"/>
      <w:numFmt w:val="lowerRoman"/>
      <w:lvlText w:val="(%1)"/>
      <w:lvlJc w:val="left"/>
      <w:pPr>
        <w:ind w:left="1080" w:hanging="720"/>
      </w:pPr>
      <w:rPr>
        <w:rFonts w:hint="default"/>
      </w:rPr>
    </w:lvl>
    <w:lvl w:ilvl="1" w:tplc="302ECE02" w:tentative="1">
      <w:start w:val="1"/>
      <w:numFmt w:val="lowerLetter"/>
      <w:lvlText w:val="%2."/>
      <w:lvlJc w:val="left"/>
      <w:pPr>
        <w:ind w:left="1440" w:hanging="360"/>
      </w:pPr>
    </w:lvl>
    <w:lvl w:ilvl="2" w:tplc="C486E0EE" w:tentative="1">
      <w:start w:val="1"/>
      <w:numFmt w:val="lowerRoman"/>
      <w:lvlText w:val="%3."/>
      <w:lvlJc w:val="right"/>
      <w:pPr>
        <w:ind w:left="2160" w:hanging="180"/>
      </w:pPr>
    </w:lvl>
    <w:lvl w:ilvl="3" w:tplc="91D6533A" w:tentative="1">
      <w:start w:val="1"/>
      <w:numFmt w:val="decimal"/>
      <w:lvlText w:val="%4."/>
      <w:lvlJc w:val="left"/>
      <w:pPr>
        <w:ind w:left="2880" w:hanging="360"/>
      </w:pPr>
    </w:lvl>
    <w:lvl w:ilvl="4" w:tplc="6B0C09AC" w:tentative="1">
      <w:start w:val="1"/>
      <w:numFmt w:val="lowerLetter"/>
      <w:lvlText w:val="%5."/>
      <w:lvlJc w:val="left"/>
      <w:pPr>
        <w:ind w:left="3600" w:hanging="360"/>
      </w:pPr>
    </w:lvl>
    <w:lvl w:ilvl="5" w:tplc="642E9FA8" w:tentative="1">
      <w:start w:val="1"/>
      <w:numFmt w:val="lowerRoman"/>
      <w:lvlText w:val="%6."/>
      <w:lvlJc w:val="right"/>
      <w:pPr>
        <w:ind w:left="4320" w:hanging="180"/>
      </w:pPr>
    </w:lvl>
    <w:lvl w:ilvl="6" w:tplc="6D9C95F8" w:tentative="1">
      <w:start w:val="1"/>
      <w:numFmt w:val="decimal"/>
      <w:lvlText w:val="%7."/>
      <w:lvlJc w:val="left"/>
      <w:pPr>
        <w:ind w:left="5040" w:hanging="360"/>
      </w:pPr>
    </w:lvl>
    <w:lvl w:ilvl="7" w:tplc="D256B356" w:tentative="1">
      <w:start w:val="1"/>
      <w:numFmt w:val="lowerLetter"/>
      <w:lvlText w:val="%8."/>
      <w:lvlJc w:val="left"/>
      <w:pPr>
        <w:ind w:left="5760" w:hanging="360"/>
      </w:pPr>
    </w:lvl>
    <w:lvl w:ilvl="8" w:tplc="8050EBC4" w:tentative="1">
      <w:start w:val="1"/>
      <w:numFmt w:val="lowerRoman"/>
      <w:lvlText w:val="%9."/>
      <w:lvlJc w:val="right"/>
      <w:pPr>
        <w:ind w:left="6480" w:hanging="180"/>
      </w:pPr>
    </w:lvl>
  </w:abstractNum>
  <w:abstractNum w:abstractNumId="2" w15:restartNumberingAfterBreak="0">
    <w:nsid w:val="31390C97"/>
    <w:multiLevelType w:val="hybridMultilevel"/>
    <w:tmpl w:val="2F60029E"/>
    <w:lvl w:ilvl="0" w:tplc="7ADA8AB4">
      <w:start w:val="1"/>
      <w:numFmt w:val="decimal"/>
      <w:lvlText w:val="%1."/>
      <w:lvlJc w:val="left"/>
      <w:pPr>
        <w:ind w:left="720" w:hanging="360"/>
      </w:pPr>
      <w:rPr>
        <w:rFonts w:hint="default"/>
      </w:rPr>
    </w:lvl>
    <w:lvl w:ilvl="1" w:tplc="94506468" w:tentative="1">
      <w:start w:val="1"/>
      <w:numFmt w:val="lowerLetter"/>
      <w:lvlText w:val="%2."/>
      <w:lvlJc w:val="left"/>
      <w:pPr>
        <w:ind w:left="1440" w:hanging="360"/>
      </w:pPr>
    </w:lvl>
    <w:lvl w:ilvl="2" w:tplc="73B08DC2" w:tentative="1">
      <w:start w:val="1"/>
      <w:numFmt w:val="lowerRoman"/>
      <w:lvlText w:val="%3."/>
      <w:lvlJc w:val="right"/>
      <w:pPr>
        <w:ind w:left="2160" w:hanging="180"/>
      </w:pPr>
    </w:lvl>
    <w:lvl w:ilvl="3" w:tplc="C5DC0D46" w:tentative="1">
      <w:start w:val="1"/>
      <w:numFmt w:val="decimal"/>
      <w:lvlText w:val="%4."/>
      <w:lvlJc w:val="left"/>
      <w:pPr>
        <w:ind w:left="2880" w:hanging="360"/>
      </w:pPr>
    </w:lvl>
    <w:lvl w:ilvl="4" w:tplc="95126076" w:tentative="1">
      <w:start w:val="1"/>
      <w:numFmt w:val="lowerLetter"/>
      <w:lvlText w:val="%5."/>
      <w:lvlJc w:val="left"/>
      <w:pPr>
        <w:ind w:left="3600" w:hanging="360"/>
      </w:pPr>
    </w:lvl>
    <w:lvl w:ilvl="5" w:tplc="18FA8A48" w:tentative="1">
      <w:start w:val="1"/>
      <w:numFmt w:val="lowerRoman"/>
      <w:lvlText w:val="%6."/>
      <w:lvlJc w:val="right"/>
      <w:pPr>
        <w:ind w:left="4320" w:hanging="180"/>
      </w:pPr>
    </w:lvl>
    <w:lvl w:ilvl="6" w:tplc="96D84E74" w:tentative="1">
      <w:start w:val="1"/>
      <w:numFmt w:val="decimal"/>
      <w:lvlText w:val="%7."/>
      <w:lvlJc w:val="left"/>
      <w:pPr>
        <w:ind w:left="5040" w:hanging="360"/>
      </w:pPr>
    </w:lvl>
    <w:lvl w:ilvl="7" w:tplc="0A1062F4" w:tentative="1">
      <w:start w:val="1"/>
      <w:numFmt w:val="lowerLetter"/>
      <w:lvlText w:val="%8."/>
      <w:lvlJc w:val="left"/>
      <w:pPr>
        <w:ind w:left="5760" w:hanging="360"/>
      </w:pPr>
    </w:lvl>
    <w:lvl w:ilvl="8" w:tplc="CB02A3E8" w:tentative="1">
      <w:start w:val="1"/>
      <w:numFmt w:val="lowerRoman"/>
      <w:lvlText w:val="%9."/>
      <w:lvlJc w:val="right"/>
      <w:pPr>
        <w:ind w:left="6480" w:hanging="180"/>
      </w:pPr>
    </w:lvl>
  </w:abstractNum>
  <w:abstractNum w:abstractNumId="3" w15:restartNumberingAfterBreak="0">
    <w:nsid w:val="5A077B02"/>
    <w:multiLevelType w:val="hybridMultilevel"/>
    <w:tmpl w:val="BB08D08C"/>
    <w:lvl w:ilvl="0" w:tplc="DE620D34">
      <w:start w:val="1"/>
      <w:numFmt w:val="lowerRoman"/>
      <w:lvlText w:val="(%1)"/>
      <w:lvlJc w:val="left"/>
      <w:pPr>
        <w:ind w:left="1080" w:hanging="720"/>
      </w:pPr>
      <w:rPr>
        <w:rFonts w:hint="default"/>
      </w:rPr>
    </w:lvl>
    <w:lvl w:ilvl="1" w:tplc="CD0E2EAC" w:tentative="1">
      <w:start w:val="1"/>
      <w:numFmt w:val="lowerLetter"/>
      <w:lvlText w:val="%2."/>
      <w:lvlJc w:val="left"/>
      <w:pPr>
        <w:ind w:left="1440" w:hanging="360"/>
      </w:pPr>
    </w:lvl>
    <w:lvl w:ilvl="2" w:tplc="E2D22BD4" w:tentative="1">
      <w:start w:val="1"/>
      <w:numFmt w:val="lowerRoman"/>
      <w:lvlText w:val="%3."/>
      <w:lvlJc w:val="right"/>
      <w:pPr>
        <w:ind w:left="2160" w:hanging="180"/>
      </w:pPr>
    </w:lvl>
    <w:lvl w:ilvl="3" w:tplc="C6AC4BD6" w:tentative="1">
      <w:start w:val="1"/>
      <w:numFmt w:val="decimal"/>
      <w:lvlText w:val="%4."/>
      <w:lvlJc w:val="left"/>
      <w:pPr>
        <w:ind w:left="2880" w:hanging="360"/>
      </w:pPr>
    </w:lvl>
    <w:lvl w:ilvl="4" w:tplc="D938CB1E" w:tentative="1">
      <w:start w:val="1"/>
      <w:numFmt w:val="lowerLetter"/>
      <w:lvlText w:val="%5."/>
      <w:lvlJc w:val="left"/>
      <w:pPr>
        <w:ind w:left="3600" w:hanging="360"/>
      </w:pPr>
    </w:lvl>
    <w:lvl w:ilvl="5" w:tplc="DFDA6936" w:tentative="1">
      <w:start w:val="1"/>
      <w:numFmt w:val="lowerRoman"/>
      <w:lvlText w:val="%6."/>
      <w:lvlJc w:val="right"/>
      <w:pPr>
        <w:ind w:left="4320" w:hanging="180"/>
      </w:pPr>
    </w:lvl>
    <w:lvl w:ilvl="6" w:tplc="ACD4C96C" w:tentative="1">
      <w:start w:val="1"/>
      <w:numFmt w:val="decimal"/>
      <w:lvlText w:val="%7."/>
      <w:lvlJc w:val="left"/>
      <w:pPr>
        <w:ind w:left="5040" w:hanging="360"/>
      </w:pPr>
    </w:lvl>
    <w:lvl w:ilvl="7" w:tplc="A854465A" w:tentative="1">
      <w:start w:val="1"/>
      <w:numFmt w:val="lowerLetter"/>
      <w:lvlText w:val="%8."/>
      <w:lvlJc w:val="left"/>
      <w:pPr>
        <w:ind w:left="5760" w:hanging="360"/>
      </w:pPr>
    </w:lvl>
    <w:lvl w:ilvl="8" w:tplc="6FEC4070" w:tentative="1">
      <w:start w:val="1"/>
      <w:numFmt w:val="lowerRoman"/>
      <w:lvlText w:val="%9."/>
      <w:lvlJc w:val="right"/>
      <w:pPr>
        <w:ind w:left="6480" w:hanging="180"/>
      </w:pPr>
    </w:lvl>
  </w:abstractNum>
  <w:abstractNum w:abstractNumId="4" w15:restartNumberingAfterBreak="0">
    <w:nsid w:val="61DE5FD9"/>
    <w:multiLevelType w:val="hybridMultilevel"/>
    <w:tmpl w:val="BCB4E158"/>
    <w:lvl w:ilvl="0" w:tplc="9756457E">
      <w:start w:val="1"/>
      <w:numFmt w:val="bullet"/>
      <w:lvlText w:val=""/>
      <w:lvlJc w:val="left"/>
      <w:pPr>
        <w:ind w:left="720" w:hanging="360"/>
      </w:pPr>
      <w:rPr>
        <w:rFonts w:ascii="Symbol" w:hAnsi="Symbol" w:hint="default"/>
      </w:rPr>
    </w:lvl>
    <w:lvl w:ilvl="1" w:tplc="776CCB1A" w:tentative="1">
      <w:start w:val="1"/>
      <w:numFmt w:val="bullet"/>
      <w:lvlText w:val="o"/>
      <w:lvlJc w:val="left"/>
      <w:pPr>
        <w:ind w:left="1440" w:hanging="360"/>
      </w:pPr>
      <w:rPr>
        <w:rFonts w:ascii="Courier New" w:hAnsi="Courier New" w:cs="Courier New" w:hint="default"/>
      </w:rPr>
    </w:lvl>
    <w:lvl w:ilvl="2" w:tplc="39F84E30" w:tentative="1">
      <w:start w:val="1"/>
      <w:numFmt w:val="bullet"/>
      <w:lvlText w:val=""/>
      <w:lvlJc w:val="left"/>
      <w:pPr>
        <w:ind w:left="2160" w:hanging="360"/>
      </w:pPr>
      <w:rPr>
        <w:rFonts w:ascii="Wingdings" w:hAnsi="Wingdings" w:hint="default"/>
      </w:rPr>
    </w:lvl>
    <w:lvl w:ilvl="3" w:tplc="E5BAC8EC" w:tentative="1">
      <w:start w:val="1"/>
      <w:numFmt w:val="bullet"/>
      <w:lvlText w:val=""/>
      <w:lvlJc w:val="left"/>
      <w:pPr>
        <w:ind w:left="2880" w:hanging="360"/>
      </w:pPr>
      <w:rPr>
        <w:rFonts w:ascii="Symbol" w:hAnsi="Symbol" w:hint="default"/>
      </w:rPr>
    </w:lvl>
    <w:lvl w:ilvl="4" w:tplc="A83802C8" w:tentative="1">
      <w:start w:val="1"/>
      <w:numFmt w:val="bullet"/>
      <w:lvlText w:val="o"/>
      <w:lvlJc w:val="left"/>
      <w:pPr>
        <w:ind w:left="3600" w:hanging="360"/>
      </w:pPr>
      <w:rPr>
        <w:rFonts w:ascii="Courier New" w:hAnsi="Courier New" w:cs="Courier New" w:hint="default"/>
      </w:rPr>
    </w:lvl>
    <w:lvl w:ilvl="5" w:tplc="1F6E2F58" w:tentative="1">
      <w:start w:val="1"/>
      <w:numFmt w:val="bullet"/>
      <w:lvlText w:val=""/>
      <w:lvlJc w:val="left"/>
      <w:pPr>
        <w:ind w:left="4320" w:hanging="360"/>
      </w:pPr>
      <w:rPr>
        <w:rFonts w:ascii="Wingdings" w:hAnsi="Wingdings" w:hint="default"/>
      </w:rPr>
    </w:lvl>
    <w:lvl w:ilvl="6" w:tplc="A23A1BD6" w:tentative="1">
      <w:start w:val="1"/>
      <w:numFmt w:val="bullet"/>
      <w:lvlText w:val=""/>
      <w:lvlJc w:val="left"/>
      <w:pPr>
        <w:ind w:left="5040" w:hanging="360"/>
      </w:pPr>
      <w:rPr>
        <w:rFonts w:ascii="Symbol" w:hAnsi="Symbol" w:hint="default"/>
      </w:rPr>
    </w:lvl>
    <w:lvl w:ilvl="7" w:tplc="57782682" w:tentative="1">
      <w:start w:val="1"/>
      <w:numFmt w:val="bullet"/>
      <w:lvlText w:val="o"/>
      <w:lvlJc w:val="left"/>
      <w:pPr>
        <w:ind w:left="5760" w:hanging="360"/>
      </w:pPr>
      <w:rPr>
        <w:rFonts w:ascii="Courier New" w:hAnsi="Courier New" w:cs="Courier New" w:hint="default"/>
      </w:rPr>
    </w:lvl>
    <w:lvl w:ilvl="8" w:tplc="BB7C045E" w:tentative="1">
      <w:start w:val="1"/>
      <w:numFmt w:val="bullet"/>
      <w:lvlText w:val=""/>
      <w:lvlJc w:val="left"/>
      <w:pPr>
        <w:ind w:left="6480" w:hanging="360"/>
      </w:pPr>
      <w:rPr>
        <w:rFonts w:ascii="Wingdings" w:hAnsi="Wingdings" w:hint="default"/>
      </w:rPr>
    </w:lvl>
  </w:abstractNum>
  <w:abstractNum w:abstractNumId="5" w15:restartNumberingAfterBreak="0">
    <w:nsid w:val="649B4A5D"/>
    <w:multiLevelType w:val="hybridMultilevel"/>
    <w:tmpl w:val="961ACC9E"/>
    <w:lvl w:ilvl="0" w:tplc="CA92C1BC">
      <w:start w:val="1"/>
      <w:numFmt w:val="lowerLetter"/>
      <w:lvlText w:val="%1)"/>
      <w:lvlJc w:val="left"/>
      <w:pPr>
        <w:ind w:left="720" w:hanging="360"/>
      </w:pPr>
      <w:rPr>
        <w:rFonts w:ascii="Arial" w:hAnsi="Arial" w:cs="Times New Roman" w:hint="default"/>
      </w:rPr>
    </w:lvl>
    <w:lvl w:ilvl="1" w:tplc="042A295A" w:tentative="1">
      <w:start w:val="1"/>
      <w:numFmt w:val="lowerLetter"/>
      <w:lvlText w:val="%2."/>
      <w:lvlJc w:val="left"/>
      <w:pPr>
        <w:ind w:left="1440" w:hanging="360"/>
      </w:pPr>
    </w:lvl>
    <w:lvl w:ilvl="2" w:tplc="BE729DD0" w:tentative="1">
      <w:start w:val="1"/>
      <w:numFmt w:val="lowerRoman"/>
      <w:lvlText w:val="%3."/>
      <w:lvlJc w:val="right"/>
      <w:pPr>
        <w:ind w:left="2160" w:hanging="180"/>
      </w:pPr>
    </w:lvl>
    <w:lvl w:ilvl="3" w:tplc="ACD4D192" w:tentative="1">
      <w:start w:val="1"/>
      <w:numFmt w:val="decimal"/>
      <w:lvlText w:val="%4."/>
      <w:lvlJc w:val="left"/>
      <w:pPr>
        <w:ind w:left="2880" w:hanging="360"/>
      </w:pPr>
    </w:lvl>
    <w:lvl w:ilvl="4" w:tplc="6D860D78" w:tentative="1">
      <w:start w:val="1"/>
      <w:numFmt w:val="lowerLetter"/>
      <w:lvlText w:val="%5."/>
      <w:lvlJc w:val="left"/>
      <w:pPr>
        <w:ind w:left="3600" w:hanging="360"/>
      </w:pPr>
    </w:lvl>
    <w:lvl w:ilvl="5" w:tplc="224079FA" w:tentative="1">
      <w:start w:val="1"/>
      <w:numFmt w:val="lowerRoman"/>
      <w:lvlText w:val="%6."/>
      <w:lvlJc w:val="right"/>
      <w:pPr>
        <w:ind w:left="4320" w:hanging="180"/>
      </w:pPr>
    </w:lvl>
    <w:lvl w:ilvl="6" w:tplc="EAE859F0" w:tentative="1">
      <w:start w:val="1"/>
      <w:numFmt w:val="decimal"/>
      <w:lvlText w:val="%7."/>
      <w:lvlJc w:val="left"/>
      <w:pPr>
        <w:ind w:left="5040" w:hanging="360"/>
      </w:pPr>
    </w:lvl>
    <w:lvl w:ilvl="7" w:tplc="BC9679DE" w:tentative="1">
      <w:start w:val="1"/>
      <w:numFmt w:val="lowerLetter"/>
      <w:lvlText w:val="%8."/>
      <w:lvlJc w:val="left"/>
      <w:pPr>
        <w:ind w:left="5760" w:hanging="360"/>
      </w:pPr>
    </w:lvl>
    <w:lvl w:ilvl="8" w:tplc="DC80C056"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A8"/>
    <w:rsid w:val="00D120A8"/>
    <w:rsid w:val="00F5725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FEC71"/>
  <w15:docId w15:val="{1F2623A5-6404-4E0C-B213-386788D0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character" w:styleId="Hyperlink">
    <w:name w:val="Hyperlink"/>
    <w:uiPriority w:val="99"/>
    <w:unhideWhenUsed/>
    <w:rsid w:val="001C78DC"/>
    <w:rPr>
      <w:color w:val="0563C1"/>
      <w:u w:val="single"/>
    </w:rPr>
  </w:style>
  <w:style w:type="character" w:customStyle="1" w:styleId="HeaderChar">
    <w:name w:val="Header Char"/>
    <w:link w:val="Header"/>
    <w:uiPriority w:val="99"/>
    <w:rsid w:val="00A23AED"/>
    <w:rPr>
      <w:rFonts w:ascii="Universal" w:hAnsi="Universal"/>
      <w:sz w:val="24"/>
    </w:rPr>
  </w:style>
  <w:style w:type="character" w:styleId="CommentReference">
    <w:name w:val="annotation reference"/>
    <w:uiPriority w:val="99"/>
    <w:semiHidden/>
    <w:unhideWhenUsed/>
    <w:rsid w:val="00D66ACB"/>
    <w:rPr>
      <w:sz w:val="16"/>
      <w:szCs w:val="16"/>
    </w:rPr>
  </w:style>
  <w:style w:type="paragraph" w:styleId="CommentText">
    <w:name w:val="annotation text"/>
    <w:basedOn w:val="Normal"/>
    <w:link w:val="CommentTextChar"/>
    <w:uiPriority w:val="99"/>
    <w:semiHidden/>
    <w:unhideWhenUsed/>
    <w:rsid w:val="00D66ACB"/>
    <w:rPr>
      <w:sz w:val="20"/>
    </w:rPr>
  </w:style>
  <w:style w:type="character" w:customStyle="1" w:styleId="CommentTextChar">
    <w:name w:val="Comment Text Char"/>
    <w:link w:val="CommentText"/>
    <w:uiPriority w:val="99"/>
    <w:semiHidden/>
    <w:rsid w:val="00D66ACB"/>
    <w:rPr>
      <w:rFonts w:ascii="Arial" w:hAnsi="Arial"/>
    </w:rPr>
  </w:style>
  <w:style w:type="paragraph" w:styleId="CommentSubject">
    <w:name w:val="annotation subject"/>
    <w:basedOn w:val="CommentText"/>
    <w:next w:val="CommentText"/>
    <w:link w:val="CommentSubjectChar"/>
    <w:uiPriority w:val="99"/>
    <w:semiHidden/>
    <w:unhideWhenUsed/>
    <w:rsid w:val="00D66ACB"/>
    <w:rPr>
      <w:b/>
      <w:bCs/>
    </w:rPr>
  </w:style>
  <w:style w:type="character" w:customStyle="1" w:styleId="CommentSubjectChar">
    <w:name w:val="Comment Subject Char"/>
    <w:link w:val="CommentSubject"/>
    <w:uiPriority w:val="99"/>
    <w:semiHidden/>
    <w:rsid w:val="00D66ACB"/>
    <w:rPr>
      <w:rFonts w:ascii="Arial" w:hAnsi="Arial"/>
      <w:b/>
      <w:bCs/>
    </w:rPr>
  </w:style>
  <w:style w:type="paragraph" w:styleId="ListParagraph">
    <w:name w:val="List Paragraph"/>
    <w:basedOn w:val="Normal"/>
    <w:uiPriority w:val="34"/>
    <w:qFormat/>
    <w:rsid w:val="00C1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5C4D-C1CF-4309-B194-0E877684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67</TotalTime>
  <Pages>6</Pages>
  <Words>1729</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Gorman, Dave</cp:lastModifiedBy>
  <cp:revision>10</cp:revision>
  <cp:lastPrinted>2002-06-26T14:27:00Z</cp:lastPrinted>
  <dcterms:created xsi:type="dcterms:W3CDTF">2019-12-12T17:50:00Z</dcterms:created>
  <dcterms:modified xsi:type="dcterms:W3CDTF">2020-01-08T07:51:00Z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Future of Bleasdale Church of England Primary School</vt:lpwstr>
  </property>
  <property fmtid="{D5CDD505-2E9C-101B-9397-08002B2CF9AE}" pid="5" name="LeadOfficer">
    <vt:lpwstr>Paul Duckworth</vt:lpwstr>
  </property>
  <property fmtid="{D5CDD505-2E9C-101B-9397-08002B2CF9AE}" pid="6" name="LeadOfficerEmail">
    <vt:lpwstr>paul.duckworth@lancashire.gov.uk</vt:lpwstr>
  </property>
  <property fmtid="{D5CDD505-2E9C-101B-9397-08002B2CF9AE}" pid="7" name="LeadOfficerTel">
    <vt:lpwstr>Tel: 01772 516166</vt:lpwstr>
  </property>
  <property fmtid="{D5CDD505-2E9C-101B-9397-08002B2CF9AE}" pid="8" name="MeetingDate">
    <vt:lpwstr>Thursday, 11 April 2019</vt:lpwstr>
  </property>
  <property fmtid="{D5CDD505-2E9C-101B-9397-08002B2CF9AE}" pid="9" name="Wards">
    <vt:lpwstr>Wyre Rural East;</vt:lpwstr>
  </property>
  <property fmtid="{D5CDD505-2E9C-101B-9397-08002B2CF9AE}" pid="10" name="_AdHocReviewCycleID">
    <vt:i4>545019566</vt:i4>
  </property>
  <property fmtid="{D5CDD505-2E9C-101B-9397-08002B2CF9AE}" pid="11" name="_AuthorEmail">
    <vt:lpwstr>Chris.Mather@css.lancscc.gov.uk</vt:lpwstr>
  </property>
  <property fmtid="{D5CDD505-2E9C-101B-9397-08002B2CF9AE}" pid="12" name="_AuthorEmailDisplayName">
    <vt:lpwstr>Mather, Chris</vt:lpwstr>
  </property>
  <property fmtid="{D5CDD505-2E9C-101B-9397-08002B2CF9AE}" pid="13" name="_EmailSubject">
    <vt:lpwstr>New Committee templates</vt:lpwstr>
  </property>
  <property fmtid="{D5CDD505-2E9C-101B-9397-08002B2CF9AE}" pid="14" name="_ReviewingToolsShownOnce">
    <vt:lpwstr/>
  </property>
</Properties>
</file>