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5E" w:rsidRPr="008A0882" w:rsidRDefault="007C5C6B">
      <w:pPr>
        <w:rPr>
          <w:rFonts w:cs="Arial"/>
          <w:b/>
        </w:rPr>
      </w:pPr>
      <w:r w:rsidRPr="008A0882">
        <w:rPr>
          <w:rFonts w:cs="Arial"/>
          <w:b/>
        </w:rPr>
        <w:t>Report to the Education Scrutiny Committee</w:t>
      </w:r>
    </w:p>
    <w:p w:rsidR="0024215E" w:rsidRPr="008A0882" w:rsidRDefault="0024215E">
      <w:pPr>
        <w:rPr>
          <w:rFonts w:cs="Arial"/>
        </w:rPr>
      </w:pPr>
      <w:r w:rsidRPr="008A0882">
        <w:rPr>
          <w:rFonts w:cs="Arial"/>
        </w:rPr>
        <w:t xml:space="preserve">Meeting to be held on </w:t>
      </w:r>
      <w:r w:rsidR="007C5C6B" w:rsidRPr="008A0882">
        <w:rPr>
          <w:rFonts w:cs="Arial"/>
        </w:rPr>
        <w:fldChar w:fldCharType="begin"/>
      </w:r>
      <w:r w:rsidR="007C5C6B" w:rsidRPr="008A0882">
        <w:rPr>
          <w:rFonts w:cs="Arial"/>
        </w:rPr>
        <w:instrText xml:space="preserve"> DOCPROPERTY  MeetingDate  \* MERGEFORMAT </w:instrText>
      </w:r>
      <w:r w:rsidR="007C5C6B" w:rsidRPr="008A0882">
        <w:rPr>
          <w:rFonts w:cs="Arial"/>
        </w:rPr>
        <w:fldChar w:fldCharType="separate"/>
      </w:r>
      <w:r w:rsidR="00E54BF9" w:rsidRPr="008A0882">
        <w:rPr>
          <w:rFonts w:cs="Arial"/>
        </w:rPr>
        <w:t>Wedne</w:t>
      </w:r>
      <w:r w:rsidRPr="008A0882">
        <w:rPr>
          <w:rFonts w:cs="Arial"/>
        </w:rPr>
        <w:t xml:space="preserve">sday, </w:t>
      </w:r>
      <w:r w:rsidR="004B2165" w:rsidRPr="008A0882">
        <w:rPr>
          <w:rFonts w:cs="Arial"/>
        </w:rPr>
        <w:t>5</w:t>
      </w:r>
      <w:r w:rsidR="00A50CA7" w:rsidRPr="008A0882">
        <w:rPr>
          <w:rFonts w:cs="Arial"/>
        </w:rPr>
        <w:t xml:space="preserve"> </w:t>
      </w:r>
      <w:r w:rsidR="00E54BF9" w:rsidRPr="008A0882">
        <w:rPr>
          <w:rFonts w:cs="Arial"/>
        </w:rPr>
        <w:t>February</w:t>
      </w:r>
      <w:r w:rsidRPr="008A0882">
        <w:rPr>
          <w:rFonts w:cs="Arial"/>
        </w:rPr>
        <w:t xml:space="preserve"> 20</w:t>
      </w:r>
      <w:r w:rsidR="00E54BF9" w:rsidRPr="008A0882">
        <w:rPr>
          <w:rFonts w:cs="Arial"/>
        </w:rPr>
        <w:t>20</w:t>
      </w:r>
      <w:r w:rsidR="007C5C6B" w:rsidRPr="008A0882">
        <w:rPr>
          <w:rFonts w:cs="Arial"/>
        </w:rPr>
        <w:fldChar w:fldCharType="end"/>
      </w:r>
    </w:p>
    <w:p w:rsidR="0024215E" w:rsidRPr="008A0882" w:rsidRDefault="0024215E">
      <w:pPr>
        <w:rPr>
          <w:rFonts w:cs="Arial"/>
        </w:rPr>
      </w:pPr>
    </w:p>
    <w:p w:rsidR="00DF15E4" w:rsidRPr="008A0882" w:rsidRDefault="00DF15E4">
      <w:pPr>
        <w:rPr>
          <w:rFonts w:cs="Arial"/>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24215E" w:rsidRPr="008A0882" w:rsidTr="0024215E">
        <w:tc>
          <w:tcPr>
            <w:tcW w:w="3402" w:type="dxa"/>
            <w:tcBorders>
              <w:bottom w:val="single" w:sz="4" w:space="0" w:color="auto"/>
            </w:tcBorders>
          </w:tcPr>
          <w:p w:rsidR="0024215E" w:rsidRPr="008A0882" w:rsidRDefault="0024215E">
            <w:pPr>
              <w:pStyle w:val="BodyText"/>
              <w:rPr>
                <w:rFonts w:cs="Arial"/>
                <w:b/>
              </w:rPr>
            </w:pPr>
            <w:r w:rsidRPr="008A0882">
              <w:rPr>
                <w:rFonts w:cs="Arial"/>
                <w:b/>
              </w:rPr>
              <w:fldChar w:fldCharType="begin"/>
            </w:r>
            <w:r w:rsidRPr="008A0882">
              <w:rPr>
                <w:rFonts w:cs="Arial"/>
                <w:b/>
              </w:rPr>
              <w:instrText xml:space="preserve"> DOCPROPERTY  IssueExemptionClassTitle  \* MERGEFORMAT </w:instrText>
            </w:r>
            <w:r w:rsidRPr="008A0882">
              <w:rPr>
                <w:rFonts w:cs="Arial"/>
                <w:b/>
              </w:rPr>
              <w:fldChar w:fldCharType="separate"/>
            </w:r>
            <w:r w:rsidRPr="008A0882">
              <w:rPr>
                <w:rFonts w:cs="Arial"/>
                <w:b/>
              </w:rPr>
              <w:t>Part I</w:t>
            </w:r>
            <w:r w:rsidRPr="008A0882">
              <w:rPr>
                <w:rFonts w:cs="Arial"/>
                <w:b/>
              </w:rPr>
              <w:fldChar w:fldCharType="end"/>
            </w:r>
          </w:p>
        </w:tc>
      </w:tr>
      <w:tr w:rsidR="0024215E" w:rsidRPr="008A0882" w:rsidTr="0024215E">
        <w:tc>
          <w:tcPr>
            <w:tcW w:w="3402" w:type="dxa"/>
            <w:tcBorders>
              <w:left w:val="nil"/>
              <w:right w:val="nil"/>
            </w:tcBorders>
          </w:tcPr>
          <w:p w:rsidR="0024215E" w:rsidRPr="008A0882" w:rsidRDefault="0024215E">
            <w:pPr>
              <w:pStyle w:val="BodyText"/>
              <w:rPr>
                <w:rFonts w:cs="Arial"/>
              </w:rPr>
            </w:pPr>
            <w:r w:rsidRPr="008A0882">
              <w:rPr>
                <w:rFonts w:cs="Arial"/>
              </w:rPr>
              <w:t xml:space="preserve">  </w:t>
            </w:r>
          </w:p>
        </w:tc>
      </w:tr>
      <w:tr w:rsidR="0024215E" w:rsidRPr="008A0882">
        <w:tc>
          <w:tcPr>
            <w:tcW w:w="3402" w:type="dxa"/>
          </w:tcPr>
          <w:p w:rsidR="0024215E" w:rsidRPr="008A0882" w:rsidRDefault="0024215E">
            <w:pPr>
              <w:pStyle w:val="BodyText"/>
              <w:rPr>
                <w:rFonts w:cs="Arial"/>
              </w:rPr>
            </w:pPr>
            <w:r w:rsidRPr="008A0882">
              <w:rPr>
                <w:rFonts w:cs="Arial"/>
              </w:rPr>
              <w:t>Electoral Divisions affected:</w:t>
            </w:r>
          </w:p>
          <w:p w:rsidR="0024215E" w:rsidRPr="008A0882" w:rsidRDefault="00E54BF9" w:rsidP="00DF15E4">
            <w:pPr>
              <w:ind w:right="-250"/>
              <w:rPr>
                <w:rFonts w:cs="Arial"/>
              </w:rPr>
            </w:pPr>
            <w:r w:rsidRPr="008A0882">
              <w:rPr>
                <w:rFonts w:cs="Arial"/>
              </w:rPr>
              <w:t>All Divisions</w:t>
            </w:r>
          </w:p>
        </w:tc>
      </w:tr>
    </w:tbl>
    <w:p w:rsidR="0024215E" w:rsidRPr="008A0882" w:rsidRDefault="0024215E">
      <w:pPr>
        <w:rPr>
          <w:rFonts w:cs="Arial"/>
          <w:b/>
          <w:u w:val="single"/>
        </w:rPr>
      </w:pPr>
    </w:p>
    <w:p w:rsidR="00E54BF9" w:rsidRPr="008A0882" w:rsidRDefault="00E54BF9" w:rsidP="00E54BF9">
      <w:pPr>
        <w:autoSpaceDE w:val="0"/>
        <w:autoSpaceDN w:val="0"/>
        <w:adjustRightInd w:val="0"/>
        <w:rPr>
          <w:rFonts w:cs="Arial"/>
          <w:b/>
          <w:bCs/>
          <w:szCs w:val="24"/>
        </w:rPr>
      </w:pPr>
      <w:r w:rsidRPr="008A0882">
        <w:rPr>
          <w:rFonts w:cs="Arial"/>
          <w:b/>
          <w:bCs/>
          <w:szCs w:val="24"/>
        </w:rPr>
        <w:t xml:space="preserve">Lancashire Schools </w:t>
      </w:r>
      <w:r w:rsidR="00AA2104" w:rsidRPr="008A0882">
        <w:rPr>
          <w:rFonts w:cs="Arial"/>
          <w:b/>
          <w:bCs/>
          <w:szCs w:val="24"/>
        </w:rPr>
        <w:t>Attainment</w:t>
      </w:r>
    </w:p>
    <w:p w:rsidR="00AA2104" w:rsidRPr="008A0882" w:rsidRDefault="007C5C6B" w:rsidP="00E54BF9">
      <w:pPr>
        <w:autoSpaceDE w:val="0"/>
        <w:autoSpaceDN w:val="0"/>
        <w:adjustRightInd w:val="0"/>
        <w:rPr>
          <w:rFonts w:cs="Arial"/>
          <w:bCs/>
          <w:szCs w:val="24"/>
        </w:rPr>
      </w:pPr>
      <w:r w:rsidRPr="008A0882">
        <w:rPr>
          <w:rFonts w:cs="Arial"/>
          <w:bCs/>
          <w:szCs w:val="24"/>
        </w:rPr>
        <w:t>(</w:t>
      </w:r>
      <w:r w:rsidR="00AA2104" w:rsidRPr="008A0882">
        <w:rPr>
          <w:rFonts w:cs="Arial"/>
          <w:bCs/>
          <w:szCs w:val="24"/>
        </w:rPr>
        <w:t xml:space="preserve">Appendix </w:t>
      </w:r>
      <w:r w:rsidRPr="008A0882">
        <w:rPr>
          <w:rFonts w:cs="Arial"/>
          <w:bCs/>
          <w:szCs w:val="24"/>
        </w:rPr>
        <w:t>'</w:t>
      </w:r>
      <w:r w:rsidR="00AA2104" w:rsidRPr="008A0882">
        <w:rPr>
          <w:rFonts w:cs="Arial"/>
          <w:bCs/>
          <w:szCs w:val="24"/>
        </w:rPr>
        <w:t>A</w:t>
      </w:r>
      <w:r w:rsidRPr="008A0882">
        <w:rPr>
          <w:rFonts w:cs="Arial"/>
          <w:bCs/>
          <w:szCs w:val="24"/>
        </w:rPr>
        <w:t>'</w:t>
      </w:r>
      <w:r w:rsidR="00AA2104" w:rsidRPr="008A0882">
        <w:rPr>
          <w:rFonts w:cs="Arial"/>
          <w:bCs/>
          <w:szCs w:val="24"/>
        </w:rPr>
        <w:t xml:space="preserve"> refers</w:t>
      </w:r>
      <w:r w:rsidRPr="008A0882">
        <w:rPr>
          <w:rFonts w:cs="Arial"/>
          <w:bCs/>
          <w:szCs w:val="24"/>
        </w:rPr>
        <w:t>)</w:t>
      </w:r>
    </w:p>
    <w:p w:rsidR="00E54BF9" w:rsidRPr="008A0882" w:rsidRDefault="00E54BF9" w:rsidP="00E54BF9">
      <w:pPr>
        <w:autoSpaceDE w:val="0"/>
        <w:autoSpaceDN w:val="0"/>
        <w:adjustRightInd w:val="0"/>
        <w:rPr>
          <w:rFonts w:cs="Arial"/>
          <w:b/>
          <w:bCs/>
          <w:szCs w:val="24"/>
        </w:rPr>
      </w:pPr>
    </w:p>
    <w:p w:rsidR="00E54BF9" w:rsidRPr="008A0882" w:rsidRDefault="00E54BF9" w:rsidP="00E54BF9">
      <w:pPr>
        <w:autoSpaceDE w:val="0"/>
        <w:autoSpaceDN w:val="0"/>
        <w:adjustRightInd w:val="0"/>
        <w:rPr>
          <w:rFonts w:cs="Arial"/>
          <w:szCs w:val="24"/>
        </w:rPr>
      </w:pPr>
      <w:r w:rsidRPr="008A0882">
        <w:rPr>
          <w:rFonts w:cs="Arial"/>
          <w:szCs w:val="24"/>
        </w:rPr>
        <w:t>Contact for further information:</w:t>
      </w:r>
    </w:p>
    <w:p w:rsidR="00E0068F" w:rsidRPr="008A0882" w:rsidRDefault="00E0068F" w:rsidP="00E54BF9">
      <w:pPr>
        <w:autoSpaceDE w:val="0"/>
        <w:autoSpaceDN w:val="0"/>
        <w:adjustRightInd w:val="0"/>
        <w:rPr>
          <w:rFonts w:cs="Arial"/>
          <w:szCs w:val="24"/>
        </w:rPr>
      </w:pPr>
      <w:r w:rsidRPr="008A0882">
        <w:rPr>
          <w:rFonts w:cs="Arial"/>
          <w:szCs w:val="24"/>
        </w:rPr>
        <w:t>Sarah Callaghan</w:t>
      </w:r>
      <w:r w:rsidR="00636255" w:rsidRPr="008A0882">
        <w:rPr>
          <w:rFonts w:cs="Arial"/>
          <w:szCs w:val="24"/>
        </w:rPr>
        <w:t>, D</w:t>
      </w:r>
      <w:r w:rsidRPr="008A0882">
        <w:rPr>
          <w:rFonts w:cs="Arial"/>
          <w:szCs w:val="24"/>
        </w:rPr>
        <w:t>irector of Education</w:t>
      </w:r>
      <w:r w:rsidR="00AA3EFD" w:rsidRPr="008A0882">
        <w:rPr>
          <w:rFonts w:cs="Arial"/>
          <w:szCs w:val="24"/>
        </w:rPr>
        <w:t xml:space="preserve"> and</w:t>
      </w:r>
      <w:r w:rsidR="00C926D3" w:rsidRPr="008A0882">
        <w:rPr>
          <w:rFonts w:cs="Arial"/>
          <w:szCs w:val="24"/>
        </w:rPr>
        <w:t xml:space="preserve"> Skills</w:t>
      </w:r>
    </w:p>
    <w:p w:rsidR="00E54BF9" w:rsidRPr="008A0882" w:rsidRDefault="00C926D3" w:rsidP="00E54BF9">
      <w:pPr>
        <w:autoSpaceDE w:val="0"/>
        <w:autoSpaceDN w:val="0"/>
        <w:adjustRightInd w:val="0"/>
        <w:rPr>
          <w:rFonts w:cs="Arial"/>
          <w:szCs w:val="24"/>
        </w:rPr>
      </w:pPr>
      <w:r w:rsidRPr="008A0882">
        <w:rPr>
          <w:rFonts w:cs="Arial"/>
          <w:szCs w:val="24"/>
        </w:rPr>
        <w:t>Sarah.Callaghan</w:t>
      </w:r>
      <w:r w:rsidR="00E54BF9" w:rsidRPr="008A0882">
        <w:rPr>
          <w:rFonts w:cs="Arial"/>
          <w:szCs w:val="24"/>
        </w:rPr>
        <w:t>@lancashire.gov.uk</w:t>
      </w:r>
    </w:p>
    <w:p w:rsidR="00E54BF9" w:rsidRPr="008A0882" w:rsidRDefault="00E54BF9" w:rsidP="00E54BF9">
      <w:pPr>
        <w:autoSpaceDE w:val="0"/>
        <w:autoSpaceDN w:val="0"/>
        <w:adjustRightInd w:val="0"/>
        <w:rPr>
          <w:rFonts w:cs="Arial"/>
          <w:b/>
          <w:bCs/>
          <w:szCs w:val="24"/>
        </w:rPr>
      </w:pPr>
    </w:p>
    <w:p w:rsidR="00E54BF9" w:rsidRP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4"/>
        </w:rPr>
      </w:pPr>
    </w:p>
    <w:p w:rsidR="00E54BF9" w:rsidRP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4"/>
        </w:rPr>
      </w:pPr>
      <w:r w:rsidRPr="008A0882">
        <w:rPr>
          <w:rFonts w:cs="Arial"/>
          <w:b/>
          <w:bCs/>
          <w:szCs w:val="24"/>
        </w:rPr>
        <w:t>Executive Summary</w:t>
      </w:r>
    </w:p>
    <w:p w:rsidR="00E54BF9" w:rsidRP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4"/>
        </w:rPr>
      </w:pPr>
    </w:p>
    <w:p w:rsidR="00E54BF9" w:rsidRP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8A0882">
        <w:rPr>
          <w:rFonts w:cs="Arial"/>
          <w:szCs w:val="24"/>
        </w:rPr>
        <w:t>The report provides detail of standards in Lancashire schools, together with a</w:t>
      </w:r>
      <w:r w:rsidR="007C5C6B" w:rsidRPr="008A0882">
        <w:rPr>
          <w:rFonts w:cs="Arial"/>
          <w:szCs w:val="24"/>
        </w:rPr>
        <w:t xml:space="preserve"> </w:t>
      </w:r>
      <w:r w:rsidRPr="008A0882">
        <w:rPr>
          <w:rFonts w:cs="Arial"/>
          <w:szCs w:val="24"/>
        </w:rPr>
        <w:t>summary of judgements by Ofsted.</w:t>
      </w:r>
    </w:p>
    <w:p w:rsidR="00E54BF9" w:rsidRP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rsidR="00E54BF9" w:rsidRP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4"/>
        </w:rPr>
      </w:pPr>
      <w:r w:rsidRPr="008A0882">
        <w:rPr>
          <w:rFonts w:cs="Arial"/>
          <w:b/>
          <w:bCs/>
          <w:szCs w:val="24"/>
        </w:rPr>
        <w:t>Recommendation</w:t>
      </w:r>
    </w:p>
    <w:p w:rsidR="00E54BF9" w:rsidRP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4"/>
        </w:rPr>
      </w:pPr>
    </w:p>
    <w:p w:rsidR="008A0882" w:rsidRDefault="00E54BF9"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8A0882">
        <w:rPr>
          <w:rFonts w:cs="Arial"/>
          <w:szCs w:val="24"/>
        </w:rPr>
        <w:t>The Education Scrutiny Committee is asked to</w:t>
      </w:r>
      <w:r w:rsidR="008A0882" w:rsidRPr="008A0882">
        <w:rPr>
          <w:rFonts w:cs="Arial"/>
          <w:szCs w:val="24"/>
        </w:rPr>
        <w:t>:</w:t>
      </w:r>
    </w:p>
    <w:p w:rsidR="00132E1A" w:rsidRPr="008A0882" w:rsidRDefault="00132E1A" w:rsidP="00E54BF9">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rsidR="00132E1A" w:rsidRPr="0019496E" w:rsidRDefault="0019496E" w:rsidP="0019496E">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roofErr w:type="spellStart"/>
      <w:r w:rsidRPr="0019496E">
        <w:rPr>
          <w:rFonts w:cs="Arial"/>
          <w:szCs w:val="24"/>
        </w:rPr>
        <w:t>i</w:t>
      </w:r>
      <w:proofErr w:type="spellEnd"/>
      <w:r w:rsidRPr="0019496E">
        <w:rPr>
          <w:rFonts w:cs="Arial"/>
          <w:szCs w:val="24"/>
        </w:rPr>
        <w:t>.</w:t>
      </w:r>
      <w:r>
        <w:rPr>
          <w:rFonts w:cs="Arial"/>
          <w:szCs w:val="24"/>
        </w:rPr>
        <w:t xml:space="preserve">   </w:t>
      </w:r>
      <w:r w:rsidR="00132E1A" w:rsidRPr="0019496E">
        <w:rPr>
          <w:rFonts w:cs="Arial"/>
          <w:szCs w:val="24"/>
        </w:rPr>
        <w:t>Note the standards of achievement by Lancashire children</w:t>
      </w:r>
    </w:p>
    <w:p w:rsidR="00E54BF9" w:rsidRDefault="0019496E" w:rsidP="00132E1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Pr>
          <w:rFonts w:cs="Arial"/>
          <w:szCs w:val="24"/>
        </w:rPr>
        <w:t>ii</w:t>
      </w:r>
      <w:proofErr w:type="gramStart"/>
      <w:r>
        <w:rPr>
          <w:rFonts w:cs="Arial"/>
          <w:szCs w:val="24"/>
        </w:rPr>
        <w:t xml:space="preserve">.  </w:t>
      </w:r>
      <w:r w:rsidR="00132E1A" w:rsidRPr="00132E1A">
        <w:rPr>
          <w:rFonts w:cs="Arial"/>
          <w:szCs w:val="24"/>
        </w:rPr>
        <w:t>Review</w:t>
      </w:r>
      <w:proofErr w:type="gramEnd"/>
      <w:r w:rsidR="00132E1A" w:rsidRPr="00132E1A">
        <w:rPr>
          <w:rFonts w:cs="Arial"/>
          <w:szCs w:val="24"/>
        </w:rPr>
        <w:t xml:space="preserve"> and comment on the work undertaken to address any issues and sustain improvement.</w:t>
      </w:r>
    </w:p>
    <w:p w:rsidR="0019496E" w:rsidRPr="008A0882" w:rsidRDefault="0019496E" w:rsidP="00132E1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rsidR="00132E1A" w:rsidRDefault="00132E1A" w:rsidP="00E54BF9">
      <w:pPr>
        <w:autoSpaceDE w:val="0"/>
        <w:autoSpaceDN w:val="0"/>
        <w:adjustRightInd w:val="0"/>
        <w:rPr>
          <w:rFonts w:cs="Arial"/>
          <w:b/>
          <w:bCs/>
          <w:szCs w:val="24"/>
        </w:rPr>
      </w:pPr>
    </w:p>
    <w:p w:rsidR="00E54BF9" w:rsidRPr="008A0882" w:rsidRDefault="00E54BF9" w:rsidP="00E54BF9">
      <w:pPr>
        <w:autoSpaceDE w:val="0"/>
        <w:autoSpaceDN w:val="0"/>
        <w:adjustRightInd w:val="0"/>
        <w:rPr>
          <w:rFonts w:cs="Arial"/>
          <w:b/>
          <w:bCs/>
          <w:szCs w:val="24"/>
        </w:rPr>
      </w:pPr>
      <w:r w:rsidRPr="008A0882">
        <w:rPr>
          <w:rFonts w:cs="Arial"/>
          <w:b/>
          <w:bCs/>
          <w:szCs w:val="24"/>
        </w:rPr>
        <w:t>Background and Advice</w:t>
      </w:r>
    </w:p>
    <w:p w:rsidR="00E54BF9" w:rsidRPr="008A0882" w:rsidRDefault="00E54BF9" w:rsidP="00E54BF9">
      <w:pPr>
        <w:autoSpaceDE w:val="0"/>
        <w:autoSpaceDN w:val="0"/>
        <w:adjustRightInd w:val="0"/>
        <w:rPr>
          <w:rFonts w:cs="Arial"/>
          <w:color w:val="FF0000"/>
          <w:szCs w:val="24"/>
        </w:rPr>
      </w:pPr>
    </w:p>
    <w:p w:rsidR="00381D04" w:rsidRPr="008A0882" w:rsidRDefault="00E54BF9" w:rsidP="00E54BF9">
      <w:pPr>
        <w:spacing w:after="160" w:line="259" w:lineRule="auto"/>
        <w:rPr>
          <w:rFonts w:cs="Arial"/>
          <w:szCs w:val="24"/>
        </w:rPr>
      </w:pPr>
      <w:r w:rsidRPr="008A0882">
        <w:rPr>
          <w:rFonts w:cs="Arial"/>
          <w:szCs w:val="24"/>
        </w:rPr>
        <w:t>Lancashire is a diverse county and this is reflected in the differential in outcomes for children and young people living in less affluent areas and also for particular groups of children who are more vulnerable</w:t>
      </w:r>
      <w:r w:rsidR="003B1BCE" w:rsidRPr="008A0882">
        <w:rPr>
          <w:rFonts w:cs="Arial"/>
          <w:szCs w:val="24"/>
        </w:rPr>
        <w:t xml:space="preserve">. </w:t>
      </w:r>
      <w:r w:rsidR="00271019">
        <w:rPr>
          <w:rFonts w:cs="Arial"/>
          <w:szCs w:val="24"/>
        </w:rPr>
        <w:t xml:space="preserve">Background </w:t>
      </w:r>
      <w:r w:rsidR="00B5723B">
        <w:rPr>
          <w:rFonts w:cs="Arial"/>
          <w:szCs w:val="24"/>
        </w:rPr>
        <w:t xml:space="preserve">information </w:t>
      </w:r>
      <w:r w:rsidR="00271019">
        <w:rPr>
          <w:rFonts w:cs="Arial"/>
          <w:szCs w:val="24"/>
        </w:rPr>
        <w:t>has been provided through a</w:t>
      </w:r>
      <w:r w:rsidR="00B5723B">
        <w:rPr>
          <w:rFonts w:cs="Arial"/>
          <w:szCs w:val="24"/>
        </w:rPr>
        <w:t xml:space="preserve"> published annual report from 2018</w:t>
      </w:r>
      <w:r w:rsidR="007F2BDA">
        <w:rPr>
          <w:rFonts w:cs="Arial"/>
          <w:szCs w:val="24"/>
        </w:rPr>
        <w:t xml:space="preserve"> (titled </w:t>
      </w:r>
      <w:r w:rsidR="007F2BDA">
        <w:rPr>
          <w:rFonts w:cs="Arial"/>
          <w:szCs w:val="24"/>
        </w:rPr>
        <w:t xml:space="preserve">'Key </w:t>
      </w:r>
      <w:r w:rsidR="007F2BDA">
        <w:rPr>
          <w:rFonts w:cs="Arial"/>
          <w:szCs w:val="24"/>
        </w:rPr>
        <w:t>drivers of the disadvantage gap') which summarises the key drivers of the disadvantage gap in attainment among pupils in England</w:t>
      </w:r>
      <w:r w:rsidR="00B5723B">
        <w:rPr>
          <w:rFonts w:cs="Arial"/>
          <w:szCs w:val="24"/>
        </w:rPr>
        <w:t xml:space="preserve"> </w:t>
      </w:r>
      <w:r w:rsidR="00271019">
        <w:rPr>
          <w:rFonts w:cs="Arial"/>
          <w:szCs w:val="24"/>
        </w:rPr>
        <w:t xml:space="preserve">(excerpt of this report </w:t>
      </w:r>
      <w:r w:rsidR="00B5723B">
        <w:rPr>
          <w:rFonts w:cs="Arial"/>
          <w:szCs w:val="24"/>
        </w:rPr>
        <w:t>attached at Appendix 'A'</w:t>
      </w:r>
      <w:r w:rsidR="00271019">
        <w:rPr>
          <w:rFonts w:cs="Arial"/>
          <w:szCs w:val="24"/>
        </w:rPr>
        <w:t>)</w:t>
      </w:r>
      <w:r w:rsidR="00B5723B">
        <w:rPr>
          <w:rFonts w:cs="Arial"/>
          <w:szCs w:val="24"/>
        </w:rPr>
        <w:t>.</w:t>
      </w:r>
    </w:p>
    <w:p w:rsidR="00381D04" w:rsidRPr="008A0882" w:rsidRDefault="00F8595C" w:rsidP="00E54BF9">
      <w:pPr>
        <w:spacing w:after="160" w:line="259" w:lineRule="auto"/>
        <w:rPr>
          <w:rFonts w:cs="Arial"/>
          <w:szCs w:val="24"/>
        </w:rPr>
      </w:pPr>
      <w:r w:rsidRPr="008A0882">
        <w:rPr>
          <w:rFonts w:cs="Arial"/>
          <w:szCs w:val="24"/>
        </w:rPr>
        <w:t xml:space="preserve">This report summarises the educational attainment and progress for children and young people across the age phases from reception to post 16. The data within it will drive the priorities for the service to address some of the areas where performance is less positive and supports the developing new system led model for school improvement. </w:t>
      </w:r>
    </w:p>
    <w:p w:rsidR="007624A1" w:rsidRDefault="00F8595C" w:rsidP="00E54BF9">
      <w:pPr>
        <w:spacing w:after="160" w:line="259" w:lineRule="auto"/>
        <w:rPr>
          <w:rFonts w:cs="Arial"/>
          <w:color w:val="FF0000"/>
          <w:szCs w:val="24"/>
        </w:rPr>
      </w:pPr>
      <w:r w:rsidRPr="008A0882">
        <w:rPr>
          <w:rFonts w:cs="Arial"/>
          <w:szCs w:val="24"/>
        </w:rPr>
        <w:t>The new delivery model will harness the expertise within schools to drive and sustain improvement. It is recognised that facilita</w:t>
      </w:r>
      <w:r w:rsidR="00636255" w:rsidRPr="008A0882">
        <w:rPr>
          <w:rFonts w:cs="Arial"/>
          <w:szCs w:val="24"/>
        </w:rPr>
        <w:t xml:space="preserve">ting swift and easy access to a </w:t>
      </w:r>
      <w:r w:rsidRPr="008A0882">
        <w:rPr>
          <w:rFonts w:cs="Arial"/>
          <w:szCs w:val="24"/>
        </w:rPr>
        <w:t xml:space="preserve">range of support services from early help, inclusion and health is key to addressing the issues </w:t>
      </w:r>
      <w:r w:rsidRPr="008A0882">
        <w:rPr>
          <w:rFonts w:cs="Arial"/>
          <w:szCs w:val="24"/>
        </w:rPr>
        <w:lastRenderedPageBreak/>
        <w:t>that impact on performance set out within this report. Access to key services is a feature of the proposed new approach and this will help to ensure</w:t>
      </w:r>
      <w:r w:rsidR="00FA3449" w:rsidRPr="008A0882">
        <w:rPr>
          <w:rFonts w:cs="Arial"/>
          <w:szCs w:val="24"/>
        </w:rPr>
        <w:t xml:space="preserve"> that children and young people </w:t>
      </w:r>
      <w:r w:rsidRPr="008A0882">
        <w:rPr>
          <w:rFonts w:cs="Arial"/>
          <w:szCs w:val="24"/>
        </w:rPr>
        <w:t>in more challenging circumstances are not</w:t>
      </w:r>
      <w:r w:rsidR="00795A31" w:rsidRPr="008A0882">
        <w:rPr>
          <w:rFonts w:cs="Arial"/>
          <w:szCs w:val="24"/>
        </w:rPr>
        <w:t xml:space="preserve"> prohibited from reaching their full potential.</w:t>
      </w:r>
      <w:r w:rsidRPr="008A0882">
        <w:rPr>
          <w:rFonts w:cs="Arial"/>
          <w:szCs w:val="24"/>
        </w:rPr>
        <w:t xml:space="preserve"> </w:t>
      </w:r>
      <w:r w:rsidRPr="008A0882">
        <w:rPr>
          <w:rFonts w:cs="Arial"/>
          <w:color w:val="FF0000"/>
          <w:szCs w:val="24"/>
        </w:rPr>
        <w:t xml:space="preserve"> </w:t>
      </w:r>
    </w:p>
    <w:p w:rsidR="00E54BF9" w:rsidRPr="008A0882" w:rsidRDefault="00502D4A" w:rsidP="00E54BF9">
      <w:pPr>
        <w:spacing w:after="160" w:line="259" w:lineRule="auto"/>
        <w:rPr>
          <w:rFonts w:cs="Arial"/>
          <w:color w:val="FF0000"/>
          <w:szCs w:val="24"/>
        </w:rPr>
      </w:pPr>
      <w:r w:rsidRPr="008A0882">
        <w:rPr>
          <w:rFonts w:cs="Arial"/>
          <w:szCs w:val="24"/>
        </w:rPr>
        <w:t>O</w:t>
      </w:r>
      <w:r w:rsidR="00E54BF9" w:rsidRPr="008A0882">
        <w:rPr>
          <w:rFonts w:cs="Arial"/>
          <w:szCs w:val="24"/>
        </w:rPr>
        <w:t>utcomes for children with S</w:t>
      </w:r>
      <w:r w:rsidR="00FA3449" w:rsidRPr="008A0882">
        <w:rPr>
          <w:rFonts w:cs="Arial"/>
          <w:szCs w:val="24"/>
        </w:rPr>
        <w:t xml:space="preserve">pecial </w:t>
      </w:r>
      <w:r w:rsidR="00E54BF9" w:rsidRPr="008A0882">
        <w:rPr>
          <w:rFonts w:cs="Arial"/>
          <w:szCs w:val="24"/>
        </w:rPr>
        <w:t>E</w:t>
      </w:r>
      <w:r w:rsidR="00FA3449" w:rsidRPr="008A0882">
        <w:rPr>
          <w:rFonts w:cs="Arial"/>
          <w:szCs w:val="24"/>
        </w:rPr>
        <w:t xml:space="preserve">ducational </w:t>
      </w:r>
      <w:r w:rsidR="00E54BF9" w:rsidRPr="008A0882">
        <w:rPr>
          <w:rFonts w:cs="Arial"/>
          <w:szCs w:val="24"/>
        </w:rPr>
        <w:t>N</w:t>
      </w:r>
      <w:r w:rsidR="00FA3449" w:rsidRPr="008A0882">
        <w:rPr>
          <w:rFonts w:cs="Arial"/>
          <w:szCs w:val="24"/>
        </w:rPr>
        <w:t xml:space="preserve">eeds and </w:t>
      </w:r>
      <w:r w:rsidR="00E54BF9" w:rsidRPr="008A0882">
        <w:rPr>
          <w:rFonts w:cs="Arial"/>
          <w:szCs w:val="24"/>
        </w:rPr>
        <w:t>D</w:t>
      </w:r>
      <w:r w:rsidR="007624A1">
        <w:rPr>
          <w:rFonts w:cs="Arial"/>
          <w:szCs w:val="24"/>
        </w:rPr>
        <w:t>isabilities (SEND), for D</w:t>
      </w:r>
      <w:r w:rsidR="00124B9F" w:rsidRPr="008A0882">
        <w:rPr>
          <w:rFonts w:cs="Arial"/>
          <w:szCs w:val="24"/>
        </w:rPr>
        <w:t>isadvantaged pupils, Children Looked After (CLA) and Children in Need (CIN),</w:t>
      </w:r>
      <w:r w:rsidR="00E54BF9" w:rsidRPr="008A0882">
        <w:rPr>
          <w:rFonts w:cs="Arial"/>
          <w:szCs w:val="24"/>
        </w:rPr>
        <w:t xml:space="preserve"> and </w:t>
      </w:r>
      <w:r w:rsidRPr="008A0882">
        <w:rPr>
          <w:rFonts w:cs="Arial"/>
          <w:szCs w:val="24"/>
        </w:rPr>
        <w:t>for White British Boys</w:t>
      </w:r>
      <w:r w:rsidR="00124B9F" w:rsidRPr="008A0882">
        <w:rPr>
          <w:rFonts w:cs="Arial"/>
          <w:szCs w:val="24"/>
        </w:rPr>
        <w:t>,</w:t>
      </w:r>
      <w:r w:rsidR="00E54BF9" w:rsidRPr="008A0882">
        <w:rPr>
          <w:rFonts w:cs="Arial"/>
          <w:szCs w:val="24"/>
        </w:rPr>
        <w:t xml:space="preserve"> are not currently good enough and are key priorities for the service moving forward</w:t>
      </w:r>
      <w:r w:rsidR="00FA3449" w:rsidRPr="008A0882">
        <w:rPr>
          <w:rFonts w:cs="Arial"/>
          <w:szCs w:val="24"/>
        </w:rPr>
        <w:t>.</w:t>
      </w:r>
    </w:p>
    <w:p w:rsidR="00E54BF9" w:rsidRPr="008A0882" w:rsidRDefault="00E54BF9" w:rsidP="00E54BF9">
      <w:pPr>
        <w:spacing w:after="160" w:line="259" w:lineRule="auto"/>
        <w:rPr>
          <w:rFonts w:cs="Arial"/>
          <w:szCs w:val="24"/>
        </w:rPr>
      </w:pPr>
      <w:r w:rsidRPr="008A0882">
        <w:rPr>
          <w:rFonts w:cs="Arial"/>
          <w:szCs w:val="24"/>
        </w:rPr>
        <w:t>The proportion of pupils reaching age related expectations in Early Years Foundation Stage (EYFS), Key Stage 1 (KS1) and Key Stage 2 (KS2) is below the national average</w:t>
      </w:r>
      <w:r w:rsidR="00E0068F" w:rsidRPr="008A0882">
        <w:rPr>
          <w:rFonts w:cs="Arial"/>
          <w:szCs w:val="24"/>
        </w:rPr>
        <w:t xml:space="preserve"> and</w:t>
      </w:r>
      <w:r w:rsidR="00636255" w:rsidRPr="008A0882">
        <w:rPr>
          <w:rFonts w:cs="Arial"/>
          <w:szCs w:val="24"/>
        </w:rPr>
        <w:t xml:space="preserve"> (except at KS2) </w:t>
      </w:r>
      <w:r w:rsidR="00E0068F" w:rsidRPr="008A0882">
        <w:rPr>
          <w:rFonts w:cs="Arial"/>
          <w:szCs w:val="24"/>
        </w:rPr>
        <w:t>ha</w:t>
      </w:r>
      <w:r w:rsidR="00F8595C" w:rsidRPr="008A0882">
        <w:rPr>
          <w:rFonts w:cs="Arial"/>
          <w:szCs w:val="24"/>
        </w:rPr>
        <w:t>s been persistently below for</w:t>
      </w:r>
      <w:r w:rsidR="00E0068F" w:rsidRPr="008A0882">
        <w:rPr>
          <w:rFonts w:cs="Arial"/>
          <w:szCs w:val="24"/>
        </w:rPr>
        <w:t xml:space="preserve"> the last 4 years.</w:t>
      </w:r>
      <w:r w:rsidRPr="008A0882">
        <w:rPr>
          <w:rFonts w:cs="Arial"/>
          <w:szCs w:val="24"/>
        </w:rPr>
        <w:t xml:space="preserve"> Headline progress measures show that Writing outcomes are stronger, progress in Maths is in line with national and progress in Reading is low.</w:t>
      </w:r>
      <w:r w:rsidR="00E0068F" w:rsidRPr="008A0882">
        <w:rPr>
          <w:rFonts w:cs="Arial"/>
          <w:szCs w:val="24"/>
        </w:rPr>
        <w:t xml:space="preserve"> </w:t>
      </w:r>
      <w:r w:rsidR="00124B9F" w:rsidRPr="008A0882">
        <w:rPr>
          <w:rFonts w:cs="Arial"/>
          <w:szCs w:val="24"/>
        </w:rPr>
        <w:t xml:space="preserve">The combined </w:t>
      </w:r>
      <w:r w:rsidR="00E0068F" w:rsidRPr="008A0882">
        <w:rPr>
          <w:rFonts w:cs="Arial"/>
          <w:szCs w:val="24"/>
        </w:rPr>
        <w:t xml:space="preserve">Reading, </w:t>
      </w:r>
      <w:r w:rsidR="00124B9F" w:rsidRPr="008A0882">
        <w:rPr>
          <w:rFonts w:cs="Arial"/>
          <w:szCs w:val="24"/>
        </w:rPr>
        <w:t>W</w:t>
      </w:r>
      <w:r w:rsidR="00E0068F" w:rsidRPr="008A0882">
        <w:rPr>
          <w:rFonts w:cs="Arial"/>
          <w:szCs w:val="24"/>
        </w:rPr>
        <w:t xml:space="preserve">riting and Maths </w:t>
      </w:r>
      <w:r w:rsidR="00124B9F" w:rsidRPr="008A0882">
        <w:rPr>
          <w:rFonts w:cs="Arial"/>
          <w:szCs w:val="24"/>
        </w:rPr>
        <w:t xml:space="preserve">measure </w:t>
      </w:r>
      <w:r w:rsidR="00E0068F" w:rsidRPr="008A0882">
        <w:rPr>
          <w:rFonts w:cs="Arial"/>
          <w:szCs w:val="24"/>
        </w:rPr>
        <w:t>at the end of KS2 this year is below national.</w:t>
      </w:r>
      <w:r w:rsidR="00124B9F" w:rsidRPr="008A0882">
        <w:rPr>
          <w:rFonts w:cs="Arial"/>
          <w:szCs w:val="24"/>
        </w:rPr>
        <w:t xml:space="preserve"> Pupils with SEND and CLA perform well below the average for all pupils, and gaps are generally larger than national.</w:t>
      </w:r>
    </w:p>
    <w:p w:rsidR="007624A1" w:rsidRDefault="00E54BF9" w:rsidP="00E54BF9">
      <w:pPr>
        <w:spacing w:after="160" w:line="259" w:lineRule="auto"/>
        <w:rPr>
          <w:rFonts w:cs="Arial"/>
          <w:szCs w:val="24"/>
        </w:rPr>
      </w:pPr>
      <w:r w:rsidRPr="008A0882">
        <w:rPr>
          <w:rFonts w:cs="Arial"/>
          <w:szCs w:val="24"/>
        </w:rPr>
        <w:t>KS4 attainment is in line with national data.  Attainment is above national at standard and higher grades in English and for Maths; below for</w:t>
      </w:r>
      <w:r w:rsidR="00FA3449" w:rsidRPr="008A0882">
        <w:rPr>
          <w:rFonts w:cs="Arial"/>
          <w:szCs w:val="24"/>
        </w:rPr>
        <w:t xml:space="preserve"> English Baccalaureate</w:t>
      </w:r>
      <w:r w:rsidRPr="008A0882">
        <w:rPr>
          <w:rFonts w:cs="Arial"/>
          <w:szCs w:val="24"/>
        </w:rPr>
        <w:t xml:space="preserve"> </w:t>
      </w:r>
      <w:r w:rsidR="00FA3449" w:rsidRPr="008A0882">
        <w:rPr>
          <w:rFonts w:cs="Arial"/>
          <w:szCs w:val="24"/>
        </w:rPr>
        <w:t>(</w:t>
      </w:r>
      <w:proofErr w:type="spellStart"/>
      <w:r w:rsidRPr="008A0882">
        <w:rPr>
          <w:rFonts w:cs="Arial"/>
          <w:szCs w:val="24"/>
        </w:rPr>
        <w:t>EBac</w:t>
      </w:r>
      <w:proofErr w:type="spellEnd"/>
      <w:r w:rsidR="00FA3449" w:rsidRPr="008A0882">
        <w:rPr>
          <w:rFonts w:cs="Arial"/>
          <w:szCs w:val="24"/>
        </w:rPr>
        <w:t>)</w:t>
      </w:r>
      <w:r w:rsidRPr="008A0882">
        <w:rPr>
          <w:rFonts w:cs="Arial"/>
          <w:szCs w:val="24"/>
        </w:rPr>
        <w:t xml:space="preserve"> measures (gap closing over time, including provisional 2019 data). </w:t>
      </w:r>
      <w:r w:rsidR="00124B9F" w:rsidRPr="008A0882">
        <w:rPr>
          <w:rFonts w:cs="Arial"/>
          <w:szCs w:val="24"/>
        </w:rPr>
        <w:t xml:space="preserve">Pupils with SEND and CLA achieve well below the averages for all pupils and gaps are expected to remain generally larger than national. </w:t>
      </w:r>
    </w:p>
    <w:p w:rsidR="00E54BF9" w:rsidRPr="008A0882" w:rsidRDefault="00E54BF9" w:rsidP="00E54BF9">
      <w:pPr>
        <w:spacing w:after="160" w:line="259" w:lineRule="auto"/>
        <w:rPr>
          <w:rFonts w:cs="Arial"/>
          <w:szCs w:val="24"/>
        </w:rPr>
      </w:pPr>
      <w:r w:rsidRPr="008A0882">
        <w:rPr>
          <w:rFonts w:cs="Arial"/>
          <w:szCs w:val="24"/>
        </w:rPr>
        <w:t xml:space="preserve">There are wide variations in outcomes by </w:t>
      </w:r>
      <w:r w:rsidR="00C44047" w:rsidRPr="008A0882">
        <w:rPr>
          <w:rFonts w:cs="Arial"/>
          <w:szCs w:val="24"/>
        </w:rPr>
        <w:t>local d</w:t>
      </w:r>
      <w:r w:rsidRPr="008A0882">
        <w:rPr>
          <w:rFonts w:cs="Arial"/>
          <w:szCs w:val="24"/>
        </w:rPr>
        <w:t>istrict (Burnley, Pendle, Hyndburn lowest) – Burnley improved faster than any other in 2019</w:t>
      </w:r>
      <w:r w:rsidR="00E0068F" w:rsidRPr="008A0882">
        <w:rPr>
          <w:rFonts w:cs="Arial"/>
          <w:szCs w:val="24"/>
        </w:rPr>
        <w:t>. Whilst the rate of improvement is positive to see, the differential of experience across the County where results are less positive for our most vulnerable groups of children and young people is a concern and so is identified as a key priority for the service over the next 12 months.</w:t>
      </w:r>
    </w:p>
    <w:p w:rsidR="00E54BF9" w:rsidRPr="008A0882" w:rsidRDefault="00E54BF9" w:rsidP="00502D4A">
      <w:pPr>
        <w:spacing w:after="160" w:line="259" w:lineRule="auto"/>
        <w:rPr>
          <w:rFonts w:cs="Arial"/>
          <w:szCs w:val="24"/>
        </w:rPr>
      </w:pPr>
      <w:r w:rsidRPr="008A0882">
        <w:rPr>
          <w:rFonts w:cs="Arial"/>
          <w:szCs w:val="24"/>
        </w:rPr>
        <w:t>KS4 Progress 8 is below average over time. A key priority for the service moving forward is to address the inequities of experience for some of our most vulnerable children so that background does not become a determinant of poor outcomes.</w:t>
      </w:r>
    </w:p>
    <w:p w:rsidR="00C44047" w:rsidRPr="0019496E" w:rsidRDefault="00636255" w:rsidP="0019496E">
      <w:pPr>
        <w:spacing w:after="160" w:line="259" w:lineRule="auto"/>
        <w:rPr>
          <w:rFonts w:cs="Arial"/>
          <w:szCs w:val="24"/>
        </w:rPr>
      </w:pPr>
      <w:r w:rsidRPr="008A0882">
        <w:rPr>
          <w:rFonts w:cs="Arial"/>
          <w:szCs w:val="24"/>
        </w:rPr>
        <w:t xml:space="preserve">At KS5, attainment in academic subjects is above average over time, currently below average in the new </w:t>
      </w:r>
      <w:r w:rsidR="00C44047" w:rsidRPr="008A0882">
        <w:rPr>
          <w:rFonts w:cs="Arial"/>
          <w:szCs w:val="24"/>
        </w:rPr>
        <w:t>Technical Awards. Outcomes for d</w:t>
      </w:r>
      <w:r w:rsidRPr="008A0882">
        <w:rPr>
          <w:rFonts w:cs="Arial"/>
          <w:szCs w:val="24"/>
        </w:rPr>
        <w:t>isadvantaged young people and those with SEND are well below other pupils, and whilst improving, the proportion of school leavers moving into education, employment and training is below the national average.</w:t>
      </w:r>
    </w:p>
    <w:p w:rsidR="00C44047" w:rsidRPr="008A0882" w:rsidRDefault="00FA3449" w:rsidP="00E54BF9">
      <w:pPr>
        <w:autoSpaceDE w:val="0"/>
        <w:autoSpaceDN w:val="0"/>
        <w:adjustRightInd w:val="0"/>
        <w:rPr>
          <w:rFonts w:cs="Arial"/>
          <w:szCs w:val="24"/>
        </w:rPr>
      </w:pPr>
      <w:r w:rsidRPr="008A0882">
        <w:rPr>
          <w:rFonts w:cs="Arial"/>
          <w:szCs w:val="24"/>
        </w:rPr>
        <w:t>Our key priorities remain to:</w:t>
      </w:r>
    </w:p>
    <w:p w:rsidR="00502D4A" w:rsidRPr="008A0882" w:rsidRDefault="00502D4A" w:rsidP="00502D4A">
      <w:pPr>
        <w:pStyle w:val="ListParagraph"/>
        <w:numPr>
          <w:ilvl w:val="0"/>
          <w:numId w:val="5"/>
        </w:numPr>
        <w:rPr>
          <w:rFonts w:cs="Arial"/>
        </w:rPr>
      </w:pPr>
      <w:r w:rsidRPr="008A0882">
        <w:rPr>
          <w:rFonts w:cs="Arial"/>
        </w:rPr>
        <w:t>Improve reading and vocabulary across all KS and especially early language</w:t>
      </w:r>
      <w:r w:rsidR="00FA3449" w:rsidRPr="008A0882">
        <w:rPr>
          <w:rFonts w:cs="Arial"/>
        </w:rPr>
        <w:t xml:space="preserve"> development in the Early Years;</w:t>
      </w:r>
    </w:p>
    <w:p w:rsidR="00502D4A" w:rsidRPr="008A0882" w:rsidRDefault="00502D4A" w:rsidP="00502D4A">
      <w:pPr>
        <w:pStyle w:val="ListParagraph"/>
        <w:numPr>
          <w:ilvl w:val="0"/>
          <w:numId w:val="5"/>
        </w:numPr>
        <w:rPr>
          <w:rFonts w:cs="Arial"/>
        </w:rPr>
      </w:pPr>
      <w:r w:rsidRPr="008A0882">
        <w:rPr>
          <w:rFonts w:cs="Arial"/>
        </w:rPr>
        <w:t xml:space="preserve">Address the inequity of outcomes for vulnerable groups evidenced in educational outcomes for children and young people, including for </w:t>
      </w:r>
      <w:r w:rsidR="00447E56" w:rsidRPr="008A0882">
        <w:rPr>
          <w:rFonts w:cs="Arial"/>
        </w:rPr>
        <w:t xml:space="preserve">pupils with SEND, Children Looked After and Children in Need, and for </w:t>
      </w:r>
      <w:r w:rsidRPr="008A0882">
        <w:rPr>
          <w:rFonts w:cs="Arial"/>
        </w:rPr>
        <w:t>White Bri</w:t>
      </w:r>
      <w:r w:rsidR="00FA3449" w:rsidRPr="008A0882">
        <w:rPr>
          <w:rFonts w:cs="Arial"/>
        </w:rPr>
        <w:t>tish Boys across all Key Stages;</w:t>
      </w:r>
    </w:p>
    <w:p w:rsidR="007624A1" w:rsidRPr="0019496E" w:rsidRDefault="00502D4A" w:rsidP="0019496E">
      <w:pPr>
        <w:pStyle w:val="ListParagraph"/>
        <w:numPr>
          <w:ilvl w:val="0"/>
          <w:numId w:val="5"/>
        </w:numPr>
        <w:rPr>
          <w:rFonts w:cs="Arial"/>
        </w:rPr>
      </w:pPr>
      <w:r w:rsidRPr="008A0882">
        <w:rPr>
          <w:rFonts w:cs="Arial"/>
        </w:rPr>
        <w:lastRenderedPageBreak/>
        <w:t>Increase the percentage of good or outstanding schools, especially secondary by increasing the quality of leadership and provision by challenging and supporting targeted outcomes.</w:t>
      </w:r>
    </w:p>
    <w:p w:rsidR="00E54BF9" w:rsidRPr="008A0882" w:rsidRDefault="00502D4A" w:rsidP="00E54BF9">
      <w:pPr>
        <w:autoSpaceDE w:val="0"/>
        <w:autoSpaceDN w:val="0"/>
        <w:adjustRightInd w:val="0"/>
        <w:rPr>
          <w:rFonts w:cs="Arial"/>
          <w:b/>
          <w:bCs/>
          <w:szCs w:val="24"/>
        </w:rPr>
      </w:pPr>
      <w:r w:rsidRPr="008A0882">
        <w:rPr>
          <w:rFonts w:cs="Arial"/>
          <w:b/>
          <w:bCs/>
          <w:szCs w:val="24"/>
        </w:rPr>
        <w:t>Primary Schools</w:t>
      </w:r>
    </w:p>
    <w:p w:rsidR="00502D4A" w:rsidRPr="008A0882" w:rsidRDefault="00502D4A" w:rsidP="00E54BF9">
      <w:pPr>
        <w:autoSpaceDE w:val="0"/>
        <w:autoSpaceDN w:val="0"/>
        <w:adjustRightInd w:val="0"/>
        <w:rPr>
          <w:rFonts w:cs="Arial"/>
          <w:b/>
          <w:bCs/>
          <w:color w:val="FF0000"/>
          <w:szCs w:val="24"/>
        </w:rPr>
      </w:pPr>
    </w:p>
    <w:p w:rsidR="00FA3449" w:rsidRPr="007F5E53" w:rsidRDefault="00AB543E" w:rsidP="00AB543E">
      <w:pPr>
        <w:autoSpaceDE w:val="0"/>
        <w:autoSpaceDN w:val="0"/>
        <w:adjustRightInd w:val="0"/>
        <w:spacing w:after="120"/>
        <w:jc w:val="both"/>
        <w:rPr>
          <w:rFonts w:cs="Arial"/>
          <w:color w:val="FF0000"/>
        </w:rPr>
      </w:pPr>
      <w:r w:rsidRPr="008A0882">
        <w:rPr>
          <w:rFonts w:cs="Arial"/>
          <w:color w:val="000000"/>
        </w:rPr>
        <w:t>The proportion of pupils reaching age related expectations in Early Years Foundation Stage (EYFS), Key Stage 1 (KS1) and Key Stage 2 (KS2) is below the national average</w:t>
      </w:r>
      <w:r w:rsidR="00E0068F" w:rsidRPr="008A0882">
        <w:rPr>
          <w:rFonts w:cs="Arial"/>
          <w:color w:val="000000"/>
        </w:rPr>
        <w:t>.</w:t>
      </w:r>
      <w:bookmarkStart w:id="0" w:name="_GoBack"/>
      <w:bookmarkEnd w:id="0"/>
    </w:p>
    <w:p w:rsidR="00AB543E" w:rsidRPr="008A0882" w:rsidRDefault="00AB543E" w:rsidP="00AB543E">
      <w:pPr>
        <w:autoSpaceDE w:val="0"/>
        <w:autoSpaceDN w:val="0"/>
        <w:adjustRightInd w:val="0"/>
        <w:spacing w:after="120"/>
        <w:jc w:val="both"/>
        <w:rPr>
          <w:rFonts w:cs="Arial"/>
          <w:b/>
        </w:rPr>
      </w:pPr>
      <w:r w:rsidRPr="008A0882">
        <w:rPr>
          <w:rFonts w:cs="Arial"/>
          <w:b/>
        </w:rPr>
        <w:t>Early Years Foundation Stage (EYFS) – All pupils</w:t>
      </w:r>
    </w:p>
    <w:tbl>
      <w:tblPr>
        <w:tblW w:w="9209" w:type="dxa"/>
        <w:tblLayout w:type="fixed"/>
        <w:tblLook w:val="04A0" w:firstRow="1" w:lastRow="0" w:firstColumn="1" w:lastColumn="0" w:noHBand="0" w:noVBand="1"/>
      </w:tblPr>
      <w:tblGrid>
        <w:gridCol w:w="1129"/>
        <w:gridCol w:w="2038"/>
        <w:gridCol w:w="2063"/>
        <w:gridCol w:w="1989"/>
        <w:gridCol w:w="1990"/>
      </w:tblGrid>
      <w:tr w:rsidR="00AB543E" w:rsidRPr="008A0882" w:rsidTr="00AB543E">
        <w:trPr>
          <w:trHeight w:val="288"/>
        </w:trPr>
        <w:tc>
          <w:tcPr>
            <w:tcW w:w="1129"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4"/>
                <w:szCs w:val="24"/>
                <w:lang w:eastAsia="en-GB"/>
              </w:rPr>
            </w:pPr>
            <w:r w:rsidRPr="008A0882">
              <w:rPr>
                <w:rFonts w:ascii="Arial" w:hAnsi="Arial" w:cs="Arial"/>
                <w:b/>
                <w:sz w:val="24"/>
                <w:szCs w:val="24"/>
                <w:lang w:eastAsia="en-GB"/>
              </w:rPr>
              <w:t>EYFS Results</w:t>
            </w:r>
          </w:p>
        </w:tc>
        <w:tc>
          <w:tcPr>
            <w:tcW w:w="4101"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bCs/>
                <w:sz w:val="24"/>
                <w:szCs w:val="24"/>
                <w:lang w:eastAsia="en-GB"/>
              </w:rPr>
            </w:pPr>
            <w:r w:rsidRPr="008A0882">
              <w:rPr>
                <w:rFonts w:ascii="Arial" w:hAnsi="Arial" w:cs="Arial"/>
                <w:b/>
                <w:bCs/>
                <w:sz w:val="24"/>
                <w:szCs w:val="24"/>
                <w:lang w:eastAsia="en-GB"/>
              </w:rPr>
              <w:t>Lancashire (%)</w:t>
            </w:r>
          </w:p>
        </w:tc>
        <w:tc>
          <w:tcPr>
            <w:tcW w:w="3979"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bCs/>
                <w:sz w:val="24"/>
                <w:szCs w:val="24"/>
                <w:lang w:eastAsia="en-GB"/>
              </w:rPr>
            </w:pPr>
            <w:r w:rsidRPr="008A0882">
              <w:rPr>
                <w:rFonts w:ascii="Arial" w:hAnsi="Arial" w:cs="Arial"/>
                <w:b/>
                <w:bCs/>
                <w:sz w:val="24"/>
                <w:szCs w:val="24"/>
                <w:lang w:eastAsia="en-GB"/>
              </w:rPr>
              <w:t>England (%)</w:t>
            </w:r>
          </w:p>
        </w:tc>
      </w:tr>
      <w:tr w:rsidR="00AB543E" w:rsidRPr="008A0882" w:rsidTr="00AB543E">
        <w:trPr>
          <w:trHeight w:hRule="exact" w:val="284"/>
        </w:trPr>
        <w:tc>
          <w:tcPr>
            <w:tcW w:w="1129" w:type="dxa"/>
            <w:tcBorders>
              <w:top w:val="single" w:sz="6"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Year</w:t>
            </w:r>
          </w:p>
        </w:tc>
        <w:tc>
          <w:tcPr>
            <w:tcW w:w="2038" w:type="dxa"/>
            <w:tcBorders>
              <w:top w:val="single" w:sz="6" w:space="0" w:color="auto"/>
              <w:left w:val="single" w:sz="6" w:space="0" w:color="auto"/>
              <w:bottom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GLD</w:t>
            </w:r>
          </w:p>
        </w:tc>
        <w:tc>
          <w:tcPr>
            <w:tcW w:w="2063" w:type="dxa"/>
            <w:tcBorders>
              <w:top w:val="single" w:sz="6"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Ave FSP</w:t>
            </w:r>
          </w:p>
        </w:tc>
        <w:tc>
          <w:tcPr>
            <w:tcW w:w="1989" w:type="dxa"/>
            <w:tcBorders>
              <w:top w:val="single" w:sz="6" w:space="0" w:color="auto"/>
              <w:left w:val="single" w:sz="6" w:space="0" w:color="auto"/>
              <w:bottom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GLD</w:t>
            </w:r>
          </w:p>
        </w:tc>
        <w:tc>
          <w:tcPr>
            <w:tcW w:w="1990" w:type="dxa"/>
            <w:tcBorders>
              <w:top w:val="single" w:sz="6"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Ave FSP</w:t>
            </w:r>
          </w:p>
        </w:tc>
      </w:tr>
      <w:tr w:rsidR="00AB543E" w:rsidRPr="008A0882" w:rsidTr="00AB543E">
        <w:trPr>
          <w:trHeight w:hRule="exact" w:val="284"/>
        </w:trPr>
        <w:tc>
          <w:tcPr>
            <w:tcW w:w="1129" w:type="dxa"/>
            <w:tcBorders>
              <w:top w:val="single" w:sz="4" w:space="0" w:color="auto"/>
              <w:left w:val="single" w:sz="4" w:space="0" w:color="auto"/>
              <w:bottom w:val="nil"/>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2018/19</w:t>
            </w:r>
          </w:p>
        </w:tc>
        <w:tc>
          <w:tcPr>
            <w:tcW w:w="2038" w:type="dxa"/>
            <w:tcBorders>
              <w:top w:val="single" w:sz="6" w:space="0" w:color="auto"/>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69.2</w:t>
            </w:r>
          </w:p>
        </w:tc>
        <w:tc>
          <w:tcPr>
            <w:tcW w:w="2063" w:type="dxa"/>
            <w:tcBorders>
              <w:top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34.1</w:t>
            </w:r>
          </w:p>
        </w:tc>
        <w:tc>
          <w:tcPr>
            <w:tcW w:w="1989" w:type="dxa"/>
            <w:tcBorders>
              <w:top w:val="single" w:sz="6" w:space="0" w:color="auto"/>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71.8</w:t>
            </w:r>
          </w:p>
        </w:tc>
        <w:tc>
          <w:tcPr>
            <w:tcW w:w="1990" w:type="dxa"/>
            <w:tcBorders>
              <w:top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34.6</w:t>
            </w:r>
          </w:p>
        </w:tc>
      </w:tr>
      <w:tr w:rsidR="00AB543E" w:rsidRPr="008A0882" w:rsidTr="00AB543E">
        <w:trPr>
          <w:trHeight w:hRule="exact" w:val="284"/>
        </w:trPr>
        <w:tc>
          <w:tcPr>
            <w:tcW w:w="1129" w:type="dxa"/>
            <w:tcBorders>
              <w:top w:val="nil"/>
              <w:left w:val="single" w:sz="4" w:space="0" w:color="auto"/>
              <w:bottom w:val="nil"/>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2017/18</w:t>
            </w:r>
          </w:p>
        </w:tc>
        <w:tc>
          <w:tcPr>
            <w:tcW w:w="2038"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69.7</w:t>
            </w:r>
          </w:p>
        </w:tc>
        <w:tc>
          <w:tcPr>
            <w:tcW w:w="2063"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34.3</w:t>
            </w:r>
          </w:p>
        </w:tc>
        <w:tc>
          <w:tcPr>
            <w:tcW w:w="1989"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71.5</w:t>
            </w:r>
          </w:p>
        </w:tc>
        <w:tc>
          <w:tcPr>
            <w:tcW w:w="1990"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34.6</w:t>
            </w:r>
          </w:p>
        </w:tc>
      </w:tr>
      <w:tr w:rsidR="00AB543E" w:rsidRPr="008A0882" w:rsidTr="00AB543E">
        <w:trPr>
          <w:trHeight w:hRule="exact" w:val="284"/>
        </w:trPr>
        <w:tc>
          <w:tcPr>
            <w:tcW w:w="1129" w:type="dxa"/>
            <w:tcBorders>
              <w:top w:val="nil"/>
              <w:left w:val="single" w:sz="4" w:space="0" w:color="auto"/>
              <w:bottom w:val="nil"/>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2016/17</w:t>
            </w:r>
          </w:p>
        </w:tc>
        <w:tc>
          <w:tcPr>
            <w:tcW w:w="2038"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69.4</w:t>
            </w:r>
          </w:p>
        </w:tc>
        <w:tc>
          <w:tcPr>
            <w:tcW w:w="2063"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34.6</w:t>
            </w:r>
          </w:p>
        </w:tc>
        <w:tc>
          <w:tcPr>
            <w:tcW w:w="1989"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70.7</w:t>
            </w:r>
          </w:p>
        </w:tc>
        <w:tc>
          <w:tcPr>
            <w:tcW w:w="1990"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34.5</w:t>
            </w:r>
          </w:p>
        </w:tc>
      </w:tr>
      <w:tr w:rsidR="00AB543E" w:rsidRPr="008A0882" w:rsidTr="00AB543E">
        <w:trPr>
          <w:trHeight w:hRule="exact" w:val="284"/>
        </w:trPr>
        <w:tc>
          <w:tcPr>
            <w:tcW w:w="1129" w:type="dxa"/>
            <w:tcBorders>
              <w:top w:val="nil"/>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2015/16</w:t>
            </w:r>
          </w:p>
        </w:tc>
        <w:tc>
          <w:tcPr>
            <w:tcW w:w="2038" w:type="dxa"/>
            <w:tcBorders>
              <w:left w:val="single" w:sz="6" w:space="0" w:color="auto"/>
              <w:bottom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69.3</w:t>
            </w:r>
          </w:p>
        </w:tc>
        <w:tc>
          <w:tcPr>
            <w:tcW w:w="2063" w:type="dxa"/>
            <w:tcBorders>
              <w:bottom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34.9</w:t>
            </w:r>
          </w:p>
        </w:tc>
        <w:tc>
          <w:tcPr>
            <w:tcW w:w="1989" w:type="dxa"/>
            <w:tcBorders>
              <w:left w:val="single" w:sz="6" w:space="0" w:color="auto"/>
              <w:bottom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69.3</w:t>
            </w:r>
          </w:p>
        </w:tc>
        <w:tc>
          <w:tcPr>
            <w:tcW w:w="1990" w:type="dxa"/>
            <w:tcBorders>
              <w:bottom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34.5</w:t>
            </w:r>
          </w:p>
        </w:tc>
      </w:tr>
    </w:tbl>
    <w:p w:rsidR="00AB543E" w:rsidRPr="008A0882" w:rsidRDefault="00AB543E" w:rsidP="00AB543E">
      <w:pPr>
        <w:autoSpaceDE w:val="0"/>
        <w:autoSpaceDN w:val="0"/>
        <w:adjustRightInd w:val="0"/>
        <w:jc w:val="center"/>
        <w:rPr>
          <w:rFonts w:cs="Arial"/>
          <w:i/>
          <w:sz w:val="22"/>
          <w:szCs w:val="24"/>
        </w:rPr>
      </w:pPr>
      <w:r w:rsidRPr="008A0882">
        <w:rPr>
          <w:rFonts w:cs="Arial"/>
          <w:i/>
          <w:sz w:val="22"/>
          <w:szCs w:val="24"/>
        </w:rPr>
        <w:t>GLD = good level of development, the expected standard at the end of Reception.</w:t>
      </w:r>
    </w:p>
    <w:p w:rsidR="00AB543E" w:rsidRPr="008A0882" w:rsidRDefault="00AB543E" w:rsidP="00AB543E">
      <w:pPr>
        <w:autoSpaceDE w:val="0"/>
        <w:autoSpaceDN w:val="0"/>
        <w:adjustRightInd w:val="0"/>
        <w:spacing w:after="120"/>
        <w:jc w:val="both"/>
        <w:rPr>
          <w:rFonts w:cs="Arial"/>
          <w:i/>
          <w:color w:val="000000"/>
        </w:rPr>
      </w:pPr>
    </w:p>
    <w:p w:rsidR="00AB543E" w:rsidRPr="008A0882" w:rsidRDefault="00AB543E" w:rsidP="00AB543E">
      <w:pPr>
        <w:pStyle w:val="ListParagraph"/>
        <w:numPr>
          <w:ilvl w:val="0"/>
          <w:numId w:val="6"/>
        </w:numPr>
        <w:contextualSpacing w:val="0"/>
        <w:rPr>
          <w:rFonts w:cs="Arial"/>
        </w:rPr>
      </w:pPr>
      <w:r w:rsidRPr="008A0882">
        <w:rPr>
          <w:rFonts w:cs="Arial"/>
        </w:rPr>
        <w:t>The proportion of children</w:t>
      </w:r>
      <w:r w:rsidR="007624A1">
        <w:rPr>
          <w:rFonts w:cs="Arial"/>
        </w:rPr>
        <w:t xml:space="preserve"> making a Good Level of D</w:t>
      </w:r>
      <w:r w:rsidRPr="008A0882">
        <w:rPr>
          <w:rFonts w:cs="Arial"/>
        </w:rPr>
        <w:t>evelopment (GLD) is below the 2019 National Average and below the 2018 Lancashire figure.</w:t>
      </w:r>
    </w:p>
    <w:p w:rsidR="00AB543E" w:rsidRPr="008A0882" w:rsidRDefault="00AB543E" w:rsidP="00AB543E">
      <w:pPr>
        <w:pStyle w:val="ListParagraph"/>
        <w:numPr>
          <w:ilvl w:val="0"/>
          <w:numId w:val="6"/>
        </w:numPr>
        <w:contextualSpacing w:val="0"/>
        <w:rPr>
          <w:rFonts w:cs="Arial"/>
          <w:b/>
        </w:rPr>
      </w:pPr>
      <w:r w:rsidRPr="008A0882">
        <w:rPr>
          <w:rFonts w:cs="Arial"/>
        </w:rPr>
        <w:t>The 2019 Lancashire Early Years Foundation Stage Profile (FSP) is below the Lancashire 2018 average with an average point score</w:t>
      </w:r>
      <w:r w:rsidR="007624A1">
        <w:rPr>
          <w:rFonts w:cs="Arial"/>
        </w:rPr>
        <w:t xml:space="preserve"> of 34.1 against 34.6 at n</w:t>
      </w:r>
      <w:r w:rsidRPr="008A0882">
        <w:rPr>
          <w:rFonts w:cs="Arial"/>
        </w:rPr>
        <w:t>ational. This represents a 4 year falling trend.</w:t>
      </w:r>
    </w:p>
    <w:p w:rsidR="00851EA8" w:rsidRPr="008A0882" w:rsidRDefault="00851EA8" w:rsidP="00AB543E">
      <w:pPr>
        <w:autoSpaceDE w:val="0"/>
        <w:autoSpaceDN w:val="0"/>
        <w:adjustRightInd w:val="0"/>
        <w:spacing w:after="120"/>
        <w:jc w:val="both"/>
        <w:rPr>
          <w:rFonts w:cs="Arial"/>
          <w:b/>
        </w:rPr>
      </w:pPr>
    </w:p>
    <w:p w:rsidR="00AB543E" w:rsidRPr="008A0882" w:rsidRDefault="00AB543E" w:rsidP="00AB543E">
      <w:pPr>
        <w:autoSpaceDE w:val="0"/>
        <w:autoSpaceDN w:val="0"/>
        <w:adjustRightInd w:val="0"/>
        <w:spacing w:after="120"/>
        <w:jc w:val="both"/>
        <w:rPr>
          <w:rFonts w:cs="Arial"/>
          <w:b/>
        </w:rPr>
      </w:pPr>
      <w:r w:rsidRPr="008A0882">
        <w:rPr>
          <w:rFonts w:cs="Arial"/>
          <w:b/>
        </w:rPr>
        <w:t xml:space="preserve">Early Years Foundation Stage (EYFS) – Disadvantaged Pupils (FSM) </w:t>
      </w:r>
    </w:p>
    <w:tbl>
      <w:tblPr>
        <w:tblW w:w="9209" w:type="dxa"/>
        <w:tblLayout w:type="fixed"/>
        <w:tblLook w:val="04A0" w:firstRow="1" w:lastRow="0" w:firstColumn="1" w:lastColumn="0" w:noHBand="0" w:noVBand="1"/>
      </w:tblPr>
      <w:tblGrid>
        <w:gridCol w:w="1129"/>
        <w:gridCol w:w="2038"/>
        <w:gridCol w:w="2063"/>
        <w:gridCol w:w="1989"/>
        <w:gridCol w:w="1990"/>
      </w:tblGrid>
      <w:tr w:rsidR="00AB543E" w:rsidRPr="008A0882" w:rsidTr="00AB543E">
        <w:trPr>
          <w:trHeight w:val="288"/>
        </w:trPr>
        <w:tc>
          <w:tcPr>
            <w:tcW w:w="1129"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4"/>
                <w:szCs w:val="24"/>
                <w:lang w:eastAsia="en-GB"/>
              </w:rPr>
            </w:pPr>
            <w:r w:rsidRPr="008A0882">
              <w:rPr>
                <w:rFonts w:ascii="Arial" w:hAnsi="Arial" w:cs="Arial"/>
                <w:b/>
                <w:sz w:val="24"/>
                <w:szCs w:val="24"/>
                <w:lang w:eastAsia="en-GB"/>
              </w:rPr>
              <w:t>EYFS (FSM)</w:t>
            </w:r>
          </w:p>
        </w:tc>
        <w:tc>
          <w:tcPr>
            <w:tcW w:w="4101"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bCs/>
                <w:sz w:val="24"/>
                <w:szCs w:val="24"/>
                <w:lang w:eastAsia="en-GB"/>
              </w:rPr>
            </w:pPr>
            <w:r w:rsidRPr="008A0882">
              <w:rPr>
                <w:rFonts w:ascii="Arial" w:hAnsi="Arial" w:cs="Arial"/>
                <w:b/>
                <w:bCs/>
                <w:sz w:val="24"/>
                <w:szCs w:val="24"/>
                <w:lang w:eastAsia="en-GB"/>
              </w:rPr>
              <w:t>Lancashire</w:t>
            </w:r>
          </w:p>
        </w:tc>
        <w:tc>
          <w:tcPr>
            <w:tcW w:w="3979"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bCs/>
                <w:sz w:val="24"/>
                <w:szCs w:val="24"/>
                <w:lang w:eastAsia="en-GB"/>
              </w:rPr>
            </w:pPr>
            <w:r w:rsidRPr="008A0882">
              <w:rPr>
                <w:rFonts w:ascii="Arial" w:hAnsi="Arial" w:cs="Arial"/>
                <w:b/>
                <w:bCs/>
                <w:sz w:val="24"/>
                <w:szCs w:val="24"/>
                <w:lang w:eastAsia="en-GB"/>
              </w:rPr>
              <w:t>England</w:t>
            </w:r>
          </w:p>
        </w:tc>
      </w:tr>
      <w:tr w:rsidR="00AB543E" w:rsidRPr="008A0882" w:rsidTr="00AB543E">
        <w:trPr>
          <w:trHeight w:hRule="exact" w:val="284"/>
        </w:trPr>
        <w:tc>
          <w:tcPr>
            <w:tcW w:w="1129" w:type="dxa"/>
            <w:tcBorders>
              <w:top w:val="single" w:sz="6"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Year</w:t>
            </w:r>
          </w:p>
        </w:tc>
        <w:tc>
          <w:tcPr>
            <w:tcW w:w="2038" w:type="dxa"/>
            <w:tcBorders>
              <w:top w:val="single" w:sz="6" w:space="0" w:color="auto"/>
              <w:left w:val="single" w:sz="6" w:space="0" w:color="auto"/>
              <w:bottom w:val="single" w:sz="6" w:space="0" w:color="auto"/>
            </w:tcBorders>
            <w:shd w:val="clear" w:color="auto" w:fill="D9D9D9" w:themeFill="background1" w:themeFillShade="D9"/>
            <w:noWrap/>
            <w:vAlign w:val="center"/>
            <w:hideMark/>
          </w:tcPr>
          <w:p w:rsidR="00AB543E" w:rsidRPr="008A0882" w:rsidRDefault="00FD59EE" w:rsidP="00AB543E">
            <w:pPr>
              <w:pStyle w:val="NoSpacing"/>
              <w:jc w:val="center"/>
              <w:rPr>
                <w:rFonts w:ascii="Arial" w:hAnsi="Arial" w:cs="Arial"/>
                <w:sz w:val="24"/>
                <w:szCs w:val="24"/>
              </w:rPr>
            </w:pPr>
            <w:r w:rsidRPr="008A0882">
              <w:rPr>
                <w:rFonts w:ascii="Arial" w:hAnsi="Arial" w:cs="Arial"/>
                <w:sz w:val="24"/>
                <w:szCs w:val="24"/>
              </w:rPr>
              <w:t xml:space="preserve">% </w:t>
            </w:r>
            <w:r w:rsidR="00AB543E" w:rsidRPr="008A0882">
              <w:rPr>
                <w:rFonts w:ascii="Arial" w:hAnsi="Arial" w:cs="Arial"/>
                <w:sz w:val="24"/>
                <w:szCs w:val="24"/>
              </w:rPr>
              <w:t>GLD</w:t>
            </w:r>
          </w:p>
        </w:tc>
        <w:tc>
          <w:tcPr>
            <w:tcW w:w="2063" w:type="dxa"/>
            <w:tcBorders>
              <w:top w:val="single" w:sz="6"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Ave FSP</w:t>
            </w:r>
          </w:p>
        </w:tc>
        <w:tc>
          <w:tcPr>
            <w:tcW w:w="1989" w:type="dxa"/>
            <w:tcBorders>
              <w:top w:val="single" w:sz="6" w:space="0" w:color="auto"/>
              <w:left w:val="single" w:sz="6" w:space="0" w:color="auto"/>
              <w:bottom w:val="single" w:sz="6" w:space="0" w:color="auto"/>
            </w:tcBorders>
            <w:shd w:val="clear" w:color="auto" w:fill="D9D9D9" w:themeFill="background1" w:themeFillShade="D9"/>
            <w:noWrap/>
            <w:vAlign w:val="center"/>
            <w:hideMark/>
          </w:tcPr>
          <w:p w:rsidR="00AB543E" w:rsidRPr="008A0882" w:rsidRDefault="00FD59EE" w:rsidP="00AB543E">
            <w:pPr>
              <w:pStyle w:val="NoSpacing"/>
              <w:jc w:val="center"/>
              <w:rPr>
                <w:rFonts w:ascii="Arial" w:hAnsi="Arial" w:cs="Arial"/>
                <w:sz w:val="24"/>
                <w:szCs w:val="24"/>
              </w:rPr>
            </w:pPr>
            <w:r w:rsidRPr="008A0882">
              <w:rPr>
                <w:rFonts w:ascii="Arial" w:hAnsi="Arial" w:cs="Arial"/>
                <w:sz w:val="24"/>
                <w:szCs w:val="24"/>
              </w:rPr>
              <w:t xml:space="preserve">% </w:t>
            </w:r>
            <w:r w:rsidR="00AB543E" w:rsidRPr="008A0882">
              <w:rPr>
                <w:rFonts w:ascii="Arial" w:hAnsi="Arial" w:cs="Arial"/>
                <w:sz w:val="24"/>
                <w:szCs w:val="24"/>
              </w:rPr>
              <w:t>GLD</w:t>
            </w:r>
          </w:p>
        </w:tc>
        <w:tc>
          <w:tcPr>
            <w:tcW w:w="1990" w:type="dxa"/>
            <w:tcBorders>
              <w:top w:val="single" w:sz="6"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Ave FSP</w:t>
            </w:r>
          </w:p>
        </w:tc>
      </w:tr>
      <w:tr w:rsidR="00AB543E" w:rsidRPr="008A0882" w:rsidTr="00AB543E">
        <w:trPr>
          <w:trHeight w:hRule="exact" w:val="284"/>
        </w:trPr>
        <w:tc>
          <w:tcPr>
            <w:tcW w:w="1129" w:type="dxa"/>
            <w:tcBorders>
              <w:top w:val="single" w:sz="4" w:space="0" w:color="auto"/>
              <w:left w:val="single" w:sz="4" w:space="0" w:color="auto"/>
              <w:bottom w:val="nil"/>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2018/19</w:t>
            </w:r>
          </w:p>
        </w:tc>
        <w:tc>
          <w:tcPr>
            <w:tcW w:w="2038" w:type="dxa"/>
            <w:tcBorders>
              <w:top w:val="single" w:sz="6" w:space="0" w:color="auto"/>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52.0</w:t>
            </w:r>
          </w:p>
        </w:tc>
        <w:tc>
          <w:tcPr>
            <w:tcW w:w="2063" w:type="dxa"/>
            <w:tcBorders>
              <w:top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30.5</w:t>
            </w:r>
          </w:p>
        </w:tc>
        <w:tc>
          <w:tcPr>
            <w:tcW w:w="1989" w:type="dxa"/>
            <w:tcBorders>
              <w:top w:val="single" w:sz="6" w:space="0" w:color="auto"/>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56.3</w:t>
            </w:r>
          </w:p>
        </w:tc>
        <w:tc>
          <w:tcPr>
            <w:tcW w:w="1990" w:type="dxa"/>
            <w:tcBorders>
              <w:top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31.4</w:t>
            </w:r>
          </w:p>
        </w:tc>
      </w:tr>
      <w:tr w:rsidR="00AB543E" w:rsidRPr="008A0882" w:rsidTr="00AB543E">
        <w:trPr>
          <w:trHeight w:hRule="exact" w:val="284"/>
        </w:trPr>
        <w:tc>
          <w:tcPr>
            <w:tcW w:w="1129" w:type="dxa"/>
            <w:tcBorders>
              <w:top w:val="nil"/>
              <w:left w:val="single" w:sz="4" w:space="0" w:color="auto"/>
              <w:bottom w:val="nil"/>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2017/18</w:t>
            </w:r>
          </w:p>
        </w:tc>
        <w:tc>
          <w:tcPr>
            <w:tcW w:w="2038"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54.1</w:t>
            </w:r>
          </w:p>
        </w:tc>
        <w:tc>
          <w:tcPr>
            <w:tcW w:w="2063"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30.9</w:t>
            </w:r>
          </w:p>
        </w:tc>
        <w:tc>
          <w:tcPr>
            <w:tcW w:w="1989"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57.0</w:t>
            </w:r>
          </w:p>
        </w:tc>
        <w:tc>
          <w:tcPr>
            <w:tcW w:w="1990"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31.5</w:t>
            </w:r>
          </w:p>
        </w:tc>
      </w:tr>
      <w:tr w:rsidR="00AB543E" w:rsidRPr="008A0882" w:rsidTr="00AB543E">
        <w:trPr>
          <w:trHeight w:hRule="exact" w:val="284"/>
        </w:trPr>
        <w:tc>
          <w:tcPr>
            <w:tcW w:w="1129" w:type="dxa"/>
            <w:tcBorders>
              <w:top w:val="nil"/>
              <w:left w:val="single" w:sz="4" w:space="0" w:color="auto"/>
              <w:bottom w:val="nil"/>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2016/17</w:t>
            </w:r>
          </w:p>
        </w:tc>
        <w:tc>
          <w:tcPr>
            <w:tcW w:w="2038"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53.1</w:t>
            </w:r>
          </w:p>
        </w:tc>
        <w:tc>
          <w:tcPr>
            <w:tcW w:w="2063"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31.2</w:t>
            </w:r>
          </w:p>
        </w:tc>
        <w:tc>
          <w:tcPr>
            <w:tcW w:w="1989" w:type="dxa"/>
            <w:tcBorders>
              <w:lef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56.0</w:t>
            </w:r>
          </w:p>
        </w:tc>
        <w:tc>
          <w:tcPr>
            <w:tcW w:w="1990" w:type="dxa"/>
            <w:tcBorders>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31.5</w:t>
            </w:r>
          </w:p>
        </w:tc>
      </w:tr>
      <w:tr w:rsidR="00AB543E" w:rsidRPr="008A0882" w:rsidTr="00AB543E">
        <w:trPr>
          <w:trHeight w:hRule="exact" w:val="284"/>
        </w:trPr>
        <w:tc>
          <w:tcPr>
            <w:tcW w:w="1129" w:type="dxa"/>
            <w:tcBorders>
              <w:top w:val="nil"/>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2015/16</w:t>
            </w:r>
          </w:p>
        </w:tc>
        <w:tc>
          <w:tcPr>
            <w:tcW w:w="2038" w:type="dxa"/>
            <w:tcBorders>
              <w:left w:val="single" w:sz="6" w:space="0" w:color="auto"/>
              <w:bottom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52.2</w:t>
            </w:r>
          </w:p>
        </w:tc>
        <w:tc>
          <w:tcPr>
            <w:tcW w:w="2063" w:type="dxa"/>
            <w:tcBorders>
              <w:bottom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31.2</w:t>
            </w:r>
          </w:p>
        </w:tc>
        <w:tc>
          <w:tcPr>
            <w:tcW w:w="1989" w:type="dxa"/>
            <w:tcBorders>
              <w:left w:val="single" w:sz="6" w:space="0" w:color="auto"/>
              <w:bottom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54.0</w:t>
            </w:r>
          </w:p>
        </w:tc>
        <w:tc>
          <w:tcPr>
            <w:tcW w:w="1990" w:type="dxa"/>
            <w:tcBorders>
              <w:bottom w:val="single" w:sz="6" w:space="0" w:color="auto"/>
              <w:right w:val="single" w:sz="6"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31.5</w:t>
            </w:r>
          </w:p>
        </w:tc>
      </w:tr>
    </w:tbl>
    <w:p w:rsidR="00AB543E" w:rsidRPr="008A0882" w:rsidRDefault="00AB543E" w:rsidP="00AB543E">
      <w:pPr>
        <w:pStyle w:val="ListParagraph"/>
        <w:ind w:left="436"/>
        <w:contextualSpacing w:val="0"/>
        <w:rPr>
          <w:rFonts w:cs="Arial"/>
          <w:sz w:val="10"/>
          <w:szCs w:val="10"/>
        </w:rPr>
      </w:pPr>
    </w:p>
    <w:p w:rsidR="00AB543E" w:rsidRPr="008A0882" w:rsidRDefault="00AB543E" w:rsidP="00AB543E">
      <w:pPr>
        <w:pStyle w:val="ListParagraph"/>
        <w:numPr>
          <w:ilvl w:val="0"/>
          <w:numId w:val="6"/>
        </w:numPr>
        <w:contextualSpacing w:val="0"/>
        <w:rPr>
          <w:rFonts w:cs="Arial"/>
        </w:rPr>
      </w:pPr>
      <w:r w:rsidRPr="008A0882">
        <w:rPr>
          <w:rFonts w:cs="Arial"/>
        </w:rPr>
        <w:t xml:space="preserve">The proportion of FSM </w:t>
      </w:r>
      <w:r w:rsidR="007624A1">
        <w:rPr>
          <w:rFonts w:cs="Arial"/>
        </w:rPr>
        <w:t xml:space="preserve">(free school meal) </w:t>
      </w:r>
      <w:r w:rsidRPr="008A0882">
        <w:rPr>
          <w:rFonts w:cs="Arial"/>
        </w:rPr>
        <w:t>children</w:t>
      </w:r>
      <w:r w:rsidR="007624A1">
        <w:rPr>
          <w:rFonts w:cs="Arial"/>
        </w:rPr>
        <w:t xml:space="preserve"> making a Good Level of D</w:t>
      </w:r>
      <w:r w:rsidRPr="008A0882">
        <w:rPr>
          <w:rFonts w:cs="Arial"/>
        </w:rPr>
        <w:t>evelopment (GLD) is below the 2019 National Average and below the 2018 Lancashire figure.</w:t>
      </w:r>
    </w:p>
    <w:p w:rsidR="00AB543E" w:rsidRPr="008A0882" w:rsidRDefault="00AB543E" w:rsidP="00AB543E">
      <w:pPr>
        <w:pStyle w:val="ListParagraph"/>
        <w:numPr>
          <w:ilvl w:val="0"/>
          <w:numId w:val="6"/>
        </w:numPr>
        <w:contextualSpacing w:val="0"/>
        <w:rPr>
          <w:rFonts w:cs="Arial"/>
          <w:b/>
        </w:rPr>
      </w:pPr>
      <w:r w:rsidRPr="008A0882">
        <w:rPr>
          <w:rFonts w:cs="Arial"/>
        </w:rPr>
        <w:t>The 2019 Lancashire Early Years Foundation Stage Profile (FSP) is below the Lancashire 2018 average with an average point</w:t>
      </w:r>
      <w:r w:rsidR="007624A1">
        <w:rPr>
          <w:rFonts w:cs="Arial"/>
        </w:rPr>
        <w:t xml:space="preserve"> score of 30.5 against 31.4 at n</w:t>
      </w:r>
      <w:r w:rsidRPr="008A0882">
        <w:rPr>
          <w:rFonts w:cs="Arial"/>
        </w:rPr>
        <w:t>ational. This represents a 3 year falling trend.</w:t>
      </w:r>
    </w:p>
    <w:p w:rsidR="00AB543E" w:rsidRPr="008A0882" w:rsidRDefault="00AB543E" w:rsidP="00AB543E">
      <w:pPr>
        <w:autoSpaceDE w:val="0"/>
        <w:autoSpaceDN w:val="0"/>
        <w:adjustRightInd w:val="0"/>
        <w:spacing w:after="120"/>
        <w:ind w:left="76"/>
        <w:jc w:val="both"/>
        <w:rPr>
          <w:rFonts w:cs="Arial"/>
          <w:color w:val="000000"/>
          <w:sz w:val="10"/>
          <w:szCs w:val="10"/>
        </w:rPr>
      </w:pPr>
    </w:p>
    <w:p w:rsidR="00AB543E" w:rsidRPr="008A0882" w:rsidRDefault="00AB543E" w:rsidP="00AB543E">
      <w:pPr>
        <w:autoSpaceDE w:val="0"/>
        <w:autoSpaceDN w:val="0"/>
        <w:adjustRightInd w:val="0"/>
        <w:spacing w:after="120"/>
        <w:ind w:left="76"/>
        <w:jc w:val="both"/>
        <w:rPr>
          <w:rFonts w:cs="Arial"/>
          <w:color w:val="000000"/>
        </w:rPr>
      </w:pPr>
      <w:r w:rsidRPr="008A0882">
        <w:rPr>
          <w:rFonts w:cs="Arial"/>
          <w:color w:val="000000"/>
        </w:rPr>
        <w:t>A decline in attainment is evident in Good Level of Development (GLD), Communication Language and Literacy (CLL) and Early Years Foundation Stage Profile (EYFSP) average points scores for all pupils and the disadvantaged cohort (FSM), with both below their National Average respective figures.</w:t>
      </w:r>
    </w:p>
    <w:p w:rsidR="0039422E" w:rsidRPr="008A0882" w:rsidRDefault="0039422E" w:rsidP="00AB543E">
      <w:pPr>
        <w:autoSpaceDE w:val="0"/>
        <w:autoSpaceDN w:val="0"/>
        <w:adjustRightInd w:val="0"/>
        <w:spacing w:after="120"/>
        <w:ind w:left="76"/>
        <w:jc w:val="both"/>
        <w:rPr>
          <w:rFonts w:cs="Arial"/>
          <w:color w:val="000000"/>
        </w:rPr>
      </w:pPr>
    </w:p>
    <w:p w:rsidR="00851EA8" w:rsidRPr="008A0882" w:rsidRDefault="00851EA8" w:rsidP="00AB543E">
      <w:pPr>
        <w:autoSpaceDE w:val="0"/>
        <w:autoSpaceDN w:val="0"/>
        <w:adjustRightInd w:val="0"/>
        <w:spacing w:after="120"/>
        <w:ind w:left="76"/>
        <w:jc w:val="both"/>
        <w:rPr>
          <w:rFonts w:cs="Arial"/>
          <w:color w:val="000000"/>
        </w:rPr>
      </w:pPr>
    </w:p>
    <w:p w:rsidR="00851EA8" w:rsidRPr="008A0882" w:rsidRDefault="00851EA8" w:rsidP="00AB543E">
      <w:pPr>
        <w:autoSpaceDE w:val="0"/>
        <w:autoSpaceDN w:val="0"/>
        <w:adjustRightInd w:val="0"/>
        <w:spacing w:after="120"/>
        <w:ind w:left="76"/>
        <w:jc w:val="both"/>
        <w:rPr>
          <w:rFonts w:cs="Arial"/>
          <w:color w:val="000000"/>
        </w:rPr>
      </w:pPr>
    </w:p>
    <w:p w:rsidR="0039422E" w:rsidRPr="008A0882" w:rsidRDefault="0039422E" w:rsidP="0039422E">
      <w:pPr>
        <w:autoSpaceDE w:val="0"/>
        <w:autoSpaceDN w:val="0"/>
        <w:adjustRightInd w:val="0"/>
        <w:spacing w:after="120"/>
        <w:jc w:val="both"/>
        <w:rPr>
          <w:rFonts w:cs="Arial"/>
          <w:b/>
        </w:rPr>
      </w:pPr>
      <w:r w:rsidRPr="008A0882">
        <w:rPr>
          <w:rFonts w:cs="Arial"/>
          <w:b/>
        </w:rPr>
        <w:lastRenderedPageBreak/>
        <w:t>Early Years Foundation Stage (EYFS) – Children Looked After (CLA) and Children in Need (CIN)</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180"/>
        <w:gridCol w:w="1424"/>
        <w:gridCol w:w="1424"/>
        <w:gridCol w:w="1424"/>
        <w:gridCol w:w="1424"/>
      </w:tblGrid>
      <w:tr w:rsidR="0039422E" w:rsidRPr="008A0882" w:rsidTr="0039422E">
        <w:trPr>
          <w:trHeight w:val="290"/>
        </w:trPr>
        <w:tc>
          <w:tcPr>
            <w:tcW w:w="1141" w:type="dxa"/>
            <w:shd w:val="clear" w:color="auto" w:fill="auto"/>
            <w:noWrap/>
            <w:vAlign w:val="bottom"/>
            <w:hideMark/>
          </w:tcPr>
          <w:p w:rsidR="0039422E" w:rsidRPr="008A0882" w:rsidRDefault="0039422E" w:rsidP="0039422E">
            <w:pPr>
              <w:rPr>
                <w:rFonts w:cs="Arial"/>
                <w:szCs w:val="24"/>
              </w:rPr>
            </w:pPr>
          </w:p>
        </w:tc>
        <w:tc>
          <w:tcPr>
            <w:tcW w:w="2180" w:type="dxa"/>
            <w:shd w:val="clear" w:color="auto" w:fill="auto"/>
            <w:noWrap/>
            <w:vAlign w:val="bottom"/>
            <w:hideMark/>
          </w:tcPr>
          <w:p w:rsidR="0039422E" w:rsidRPr="008A0882" w:rsidRDefault="0039422E" w:rsidP="0039422E">
            <w:pPr>
              <w:rPr>
                <w:rFonts w:cs="Arial"/>
              </w:rPr>
            </w:pPr>
          </w:p>
        </w:tc>
        <w:tc>
          <w:tcPr>
            <w:tcW w:w="2848" w:type="dxa"/>
            <w:gridSpan w:val="2"/>
            <w:shd w:val="clear" w:color="auto" w:fill="D9D9D9" w:themeFill="background1" w:themeFillShade="D9"/>
            <w:noWrap/>
            <w:vAlign w:val="bottom"/>
            <w:hideMark/>
          </w:tcPr>
          <w:p w:rsidR="0039422E" w:rsidRPr="008A0882" w:rsidRDefault="0039422E" w:rsidP="0039422E">
            <w:pPr>
              <w:jc w:val="center"/>
              <w:rPr>
                <w:rFonts w:cs="Arial"/>
                <w:b/>
                <w:szCs w:val="22"/>
              </w:rPr>
            </w:pPr>
            <w:r w:rsidRPr="008A0882">
              <w:rPr>
                <w:rFonts w:cs="Arial"/>
                <w:b/>
                <w:szCs w:val="22"/>
              </w:rPr>
              <w:t>CLA</w:t>
            </w:r>
          </w:p>
        </w:tc>
        <w:tc>
          <w:tcPr>
            <w:tcW w:w="2848" w:type="dxa"/>
            <w:gridSpan w:val="2"/>
            <w:shd w:val="clear" w:color="auto" w:fill="D9D9D9" w:themeFill="background1" w:themeFillShade="D9"/>
          </w:tcPr>
          <w:p w:rsidR="0039422E" w:rsidRPr="008A0882" w:rsidRDefault="0039422E" w:rsidP="0039422E">
            <w:pPr>
              <w:jc w:val="center"/>
              <w:rPr>
                <w:rFonts w:cs="Arial"/>
                <w:b/>
                <w:szCs w:val="22"/>
              </w:rPr>
            </w:pPr>
            <w:r w:rsidRPr="008A0882">
              <w:rPr>
                <w:rFonts w:cs="Arial"/>
                <w:b/>
                <w:szCs w:val="22"/>
              </w:rPr>
              <w:t>CIN</w:t>
            </w:r>
          </w:p>
        </w:tc>
      </w:tr>
      <w:tr w:rsidR="0039422E" w:rsidRPr="008A0882" w:rsidTr="0039422E">
        <w:trPr>
          <w:trHeight w:val="290"/>
        </w:trPr>
        <w:tc>
          <w:tcPr>
            <w:tcW w:w="1141" w:type="dxa"/>
            <w:shd w:val="clear" w:color="auto" w:fill="auto"/>
            <w:noWrap/>
            <w:vAlign w:val="bottom"/>
            <w:hideMark/>
          </w:tcPr>
          <w:p w:rsidR="0039422E" w:rsidRPr="008A0882" w:rsidRDefault="0039422E" w:rsidP="0039422E">
            <w:pPr>
              <w:jc w:val="center"/>
              <w:rPr>
                <w:rFonts w:cs="Arial"/>
                <w:szCs w:val="22"/>
              </w:rPr>
            </w:pPr>
          </w:p>
        </w:tc>
        <w:tc>
          <w:tcPr>
            <w:tcW w:w="2180" w:type="dxa"/>
            <w:shd w:val="clear" w:color="auto" w:fill="auto"/>
            <w:noWrap/>
            <w:vAlign w:val="bottom"/>
            <w:hideMark/>
          </w:tcPr>
          <w:p w:rsidR="0039422E" w:rsidRPr="008A0882" w:rsidRDefault="0039422E" w:rsidP="0039422E">
            <w:pPr>
              <w:rPr>
                <w:rFonts w:cs="Arial"/>
              </w:rPr>
            </w:pPr>
          </w:p>
        </w:tc>
        <w:tc>
          <w:tcPr>
            <w:tcW w:w="1424" w:type="dxa"/>
            <w:shd w:val="clear" w:color="auto" w:fill="D9D9D9" w:themeFill="background1" w:themeFillShade="D9"/>
            <w:noWrap/>
            <w:vAlign w:val="bottom"/>
            <w:hideMark/>
          </w:tcPr>
          <w:p w:rsidR="0039422E" w:rsidRPr="008A0882" w:rsidRDefault="0039422E" w:rsidP="0039422E">
            <w:pPr>
              <w:jc w:val="center"/>
              <w:rPr>
                <w:rFonts w:cs="Arial"/>
                <w:b/>
                <w:szCs w:val="22"/>
              </w:rPr>
            </w:pPr>
            <w:r w:rsidRPr="008A0882">
              <w:rPr>
                <w:rFonts w:cs="Arial"/>
                <w:b/>
                <w:szCs w:val="22"/>
              </w:rPr>
              <w:t>No</w:t>
            </w:r>
          </w:p>
        </w:tc>
        <w:tc>
          <w:tcPr>
            <w:tcW w:w="1424" w:type="dxa"/>
            <w:shd w:val="clear" w:color="auto" w:fill="D9D9D9" w:themeFill="background1" w:themeFillShade="D9"/>
            <w:noWrap/>
            <w:vAlign w:val="bottom"/>
            <w:hideMark/>
          </w:tcPr>
          <w:p w:rsidR="0039422E" w:rsidRPr="008A0882" w:rsidRDefault="0039422E" w:rsidP="0039422E">
            <w:pPr>
              <w:jc w:val="center"/>
              <w:rPr>
                <w:rFonts w:cs="Arial"/>
                <w:b/>
                <w:szCs w:val="22"/>
              </w:rPr>
            </w:pPr>
            <w:r w:rsidRPr="008A0882">
              <w:rPr>
                <w:rFonts w:cs="Arial"/>
                <w:b/>
                <w:szCs w:val="22"/>
              </w:rPr>
              <w:t>% GLD</w:t>
            </w:r>
          </w:p>
        </w:tc>
        <w:tc>
          <w:tcPr>
            <w:tcW w:w="1424" w:type="dxa"/>
            <w:shd w:val="clear" w:color="auto" w:fill="D9D9D9" w:themeFill="background1" w:themeFillShade="D9"/>
            <w:vAlign w:val="bottom"/>
          </w:tcPr>
          <w:p w:rsidR="0039422E" w:rsidRPr="008A0882" w:rsidRDefault="0039422E" w:rsidP="0039422E">
            <w:pPr>
              <w:jc w:val="center"/>
              <w:rPr>
                <w:rFonts w:cs="Arial"/>
                <w:b/>
                <w:szCs w:val="22"/>
              </w:rPr>
            </w:pPr>
            <w:r w:rsidRPr="008A0882">
              <w:rPr>
                <w:rFonts w:cs="Arial"/>
                <w:b/>
                <w:szCs w:val="22"/>
              </w:rPr>
              <w:t>No</w:t>
            </w:r>
          </w:p>
        </w:tc>
        <w:tc>
          <w:tcPr>
            <w:tcW w:w="1424" w:type="dxa"/>
            <w:shd w:val="clear" w:color="auto" w:fill="D9D9D9" w:themeFill="background1" w:themeFillShade="D9"/>
            <w:vAlign w:val="bottom"/>
          </w:tcPr>
          <w:p w:rsidR="0039422E" w:rsidRPr="008A0882" w:rsidRDefault="0039422E" w:rsidP="0039422E">
            <w:pPr>
              <w:jc w:val="center"/>
              <w:rPr>
                <w:rFonts w:cs="Arial"/>
                <w:b/>
                <w:szCs w:val="22"/>
              </w:rPr>
            </w:pPr>
            <w:r w:rsidRPr="008A0882">
              <w:rPr>
                <w:rFonts w:cs="Arial"/>
                <w:b/>
                <w:szCs w:val="22"/>
              </w:rPr>
              <w:t>% GLD</w:t>
            </w:r>
          </w:p>
        </w:tc>
      </w:tr>
      <w:tr w:rsidR="0039422E" w:rsidRPr="008A0882" w:rsidTr="0039422E">
        <w:trPr>
          <w:trHeight w:val="290"/>
        </w:trPr>
        <w:tc>
          <w:tcPr>
            <w:tcW w:w="1141" w:type="dxa"/>
            <w:shd w:val="clear" w:color="auto" w:fill="D9D9D9" w:themeFill="background1" w:themeFillShade="D9"/>
            <w:noWrap/>
            <w:vAlign w:val="bottom"/>
            <w:hideMark/>
          </w:tcPr>
          <w:p w:rsidR="0039422E" w:rsidRPr="008A0882" w:rsidRDefault="0039422E" w:rsidP="0039422E">
            <w:pPr>
              <w:rPr>
                <w:rFonts w:cs="Arial"/>
                <w:szCs w:val="22"/>
              </w:rPr>
            </w:pPr>
            <w:r w:rsidRPr="008A0882">
              <w:rPr>
                <w:rFonts w:cs="Arial"/>
                <w:szCs w:val="22"/>
              </w:rPr>
              <w:t>2018/19</w:t>
            </w:r>
          </w:p>
        </w:tc>
        <w:tc>
          <w:tcPr>
            <w:tcW w:w="2180" w:type="dxa"/>
            <w:shd w:val="clear" w:color="auto" w:fill="D9D9D9" w:themeFill="background1" w:themeFillShade="D9"/>
            <w:noWrap/>
            <w:vAlign w:val="bottom"/>
            <w:hideMark/>
          </w:tcPr>
          <w:p w:rsidR="0039422E" w:rsidRPr="008A0882" w:rsidRDefault="0039422E" w:rsidP="0039422E">
            <w:pPr>
              <w:rPr>
                <w:rFonts w:cs="Arial"/>
                <w:szCs w:val="22"/>
              </w:rPr>
            </w:pPr>
            <w:r w:rsidRPr="008A0882">
              <w:rPr>
                <w:rFonts w:cs="Arial"/>
                <w:szCs w:val="22"/>
              </w:rPr>
              <w:t>England</w:t>
            </w:r>
          </w:p>
        </w:tc>
        <w:tc>
          <w:tcPr>
            <w:tcW w:w="1424" w:type="dxa"/>
            <w:shd w:val="clear" w:color="auto" w:fill="auto"/>
            <w:noWrap/>
            <w:vAlign w:val="bottom"/>
            <w:hideMark/>
          </w:tcPr>
          <w:p w:rsidR="0039422E" w:rsidRPr="008A0882" w:rsidRDefault="0039422E" w:rsidP="0039422E">
            <w:pPr>
              <w:jc w:val="center"/>
              <w:rPr>
                <w:rFonts w:cs="Arial"/>
                <w:szCs w:val="22"/>
              </w:rPr>
            </w:pPr>
            <w:r w:rsidRPr="008A0882">
              <w:rPr>
                <w:rFonts w:cs="Arial"/>
                <w:szCs w:val="22"/>
              </w:rPr>
              <w:t>1090</w:t>
            </w:r>
          </w:p>
        </w:tc>
        <w:tc>
          <w:tcPr>
            <w:tcW w:w="1424" w:type="dxa"/>
            <w:shd w:val="clear" w:color="auto" w:fill="auto"/>
            <w:noWrap/>
            <w:vAlign w:val="bottom"/>
            <w:hideMark/>
          </w:tcPr>
          <w:p w:rsidR="0039422E" w:rsidRPr="008A0882" w:rsidRDefault="0039422E" w:rsidP="0039422E">
            <w:pPr>
              <w:jc w:val="center"/>
              <w:rPr>
                <w:rFonts w:cs="Arial"/>
                <w:b/>
                <w:szCs w:val="22"/>
              </w:rPr>
            </w:pPr>
            <w:r w:rsidRPr="008A0882">
              <w:rPr>
                <w:rFonts w:cs="Arial"/>
                <w:b/>
                <w:szCs w:val="22"/>
              </w:rPr>
              <w:t>48</w:t>
            </w:r>
          </w:p>
        </w:tc>
        <w:tc>
          <w:tcPr>
            <w:tcW w:w="1424" w:type="dxa"/>
          </w:tcPr>
          <w:p w:rsidR="0039422E" w:rsidRPr="008A0882" w:rsidRDefault="0039422E" w:rsidP="0039422E">
            <w:pPr>
              <w:jc w:val="center"/>
              <w:rPr>
                <w:rFonts w:cs="Arial"/>
                <w:szCs w:val="22"/>
              </w:rPr>
            </w:pPr>
          </w:p>
        </w:tc>
        <w:tc>
          <w:tcPr>
            <w:tcW w:w="1424" w:type="dxa"/>
          </w:tcPr>
          <w:p w:rsidR="0039422E" w:rsidRPr="008A0882" w:rsidRDefault="0039422E" w:rsidP="0039422E">
            <w:pPr>
              <w:jc w:val="center"/>
              <w:rPr>
                <w:rFonts w:cs="Arial"/>
                <w:b/>
                <w:szCs w:val="22"/>
              </w:rPr>
            </w:pPr>
          </w:p>
        </w:tc>
      </w:tr>
      <w:tr w:rsidR="0039422E" w:rsidRPr="008A0882" w:rsidTr="0039422E">
        <w:trPr>
          <w:trHeight w:val="290"/>
        </w:trPr>
        <w:tc>
          <w:tcPr>
            <w:tcW w:w="1141" w:type="dxa"/>
            <w:shd w:val="clear" w:color="auto" w:fill="D9D9D9" w:themeFill="background1" w:themeFillShade="D9"/>
            <w:noWrap/>
            <w:vAlign w:val="bottom"/>
            <w:hideMark/>
          </w:tcPr>
          <w:p w:rsidR="0039422E" w:rsidRPr="008A0882" w:rsidRDefault="0039422E" w:rsidP="00636255">
            <w:pPr>
              <w:rPr>
                <w:rFonts w:cs="Arial"/>
                <w:szCs w:val="22"/>
              </w:rPr>
            </w:pPr>
            <w:r w:rsidRPr="008A0882">
              <w:rPr>
                <w:rFonts w:cs="Arial"/>
                <w:szCs w:val="22"/>
              </w:rPr>
              <w:t>2017/18</w:t>
            </w:r>
          </w:p>
        </w:tc>
        <w:tc>
          <w:tcPr>
            <w:tcW w:w="2180" w:type="dxa"/>
            <w:shd w:val="clear" w:color="auto" w:fill="D9D9D9" w:themeFill="background1" w:themeFillShade="D9"/>
            <w:noWrap/>
            <w:vAlign w:val="bottom"/>
            <w:hideMark/>
          </w:tcPr>
          <w:p w:rsidR="0039422E" w:rsidRPr="008A0882" w:rsidRDefault="0039422E" w:rsidP="00636255">
            <w:pPr>
              <w:rPr>
                <w:rFonts w:cs="Arial"/>
                <w:szCs w:val="22"/>
              </w:rPr>
            </w:pPr>
            <w:r w:rsidRPr="008A0882">
              <w:rPr>
                <w:rFonts w:cs="Arial"/>
                <w:szCs w:val="22"/>
              </w:rPr>
              <w:t>England</w:t>
            </w:r>
          </w:p>
        </w:tc>
        <w:tc>
          <w:tcPr>
            <w:tcW w:w="1424" w:type="dxa"/>
            <w:shd w:val="clear" w:color="auto" w:fill="auto"/>
            <w:noWrap/>
            <w:vAlign w:val="bottom"/>
            <w:hideMark/>
          </w:tcPr>
          <w:p w:rsidR="0039422E" w:rsidRPr="008A0882" w:rsidRDefault="0039422E" w:rsidP="0039422E">
            <w:pPr>
              <w:jc w:val="center"/>
              <w:rPr>
                <w:rFonts w:cs="Arial"/>
                <w:szCs w:val="22"/>
              </w:rPr>
            </w:pPr>
            <w:r w:rsidRPr="008A0882">
              <w:rPr>
                <w:rFonts w:cs="Arial"/>
                <w:szCs w:val="22"/>
              </w:rPr>
              <w:t>950</w:t>
            </w:r>
          </w:p>
        </w:tc>
        <w:tc>
          <w:tcPr>
            <w:tcW w:w="1424" w:type="dxa"/>
            <w:shd w:val="clear" w:color="auto" w:fill="auto"/>
            <w:noWrap/>
            <w:vAlign w:val="bottom"/>
            <w:hideMark/>
          </w:tcPr>
          <w:p w:rsidR="0039422E" w:rsidRPr="008A0882" w:rsidRDefault="0039422E" w:rsidP="0039422E">
            <w:pPr>
              <w:jc w:val="center"/>
              <w:rPr>
                <w:rFonts w:cs="Arial"/>
                <w:b/>
                <w:szCs w:val="22"/>
              </w:rPr>
            </w:pPr>
            <w:r w:rsidRPr="008A0882">
              <w:rPr>
                <w:rFonts w:cs="Arial"/>
                <w:b/>
                <w:szCs w:val="22"/>
              </w:rPr>
              <w:t>46</w:t>
            </w:r>
          </w:p>
        </w:tc>
        <w:tc>
          <w:tcPr>
            <w:tcW w:w="1424" w:type="dxa"/>
          </w:tcPr>
          <w:p w:rsidR="0039422E" w:rsidRPr="008A0882" w:rsidRDefault="0039422E" w:rsidP="0039422E">
            <w:pPr>
              <w:jc w:val="center"/>
              <w:rPr>
                <w:rFonts w:cs="Arial"/>
                <w:szCs w:val="22"/>
              </w:rPr>
            </w:pPr>
          </w:p>
        </w:tc>
        <w:tc>
          <w:tcPr>
            <w:tcW w:w="1424" w:type="dxa"/>
          </w:tcPr>
          <w:p w:rsidR="0039422E" w:rsidRPr="008A0882" w:rsidRDefault="0039422E" w:rsidP="0039422E">
            <w:pPr>
              <w:jc w:val="center"/>
              <w:rPr>
                <w:rFonts w:cs="Arial"/>
                <w:b/>
                <w:szCs w:val="22"/>
              </w:rPr>
            </w:pPr>
          </w:p>
        </w:tc>
      </w:tr>
      <w:tr w:rsidR="0039422E" w:rsidRPr="008A0882" w:rsidTr="0039422E">
        <w:trPr>
          <w:trHeight w:val="290"/>
        </w:trPr>
        <w:tc>
          <w:tcPr>
            <w:tcW w:w="1141" w:type="dxa"/>
            <w:shd w:val="clear" w:color="auto" w:fill="D9D9D9" w:themeFill="background1" w:themeFillShade="D9"/>
            <w:noWrap/>
            <w:vAlign w:val="bottom"/>
            <w:hideMark/>
          </w:tcPr>
          <w:p w:rsidR="0039422E" w:rsidRPr="008A0882" w:rsidRDefault="0039422E" w:rsidP="0039422E">
            <w:pPr>
              <w:rPr>
                <w:rFonts w:cs="Arial"/>
                <w:szCs w:val="22"/>
              </w:rPr>
            </w:pPr>
            <w:r w:rsidRPr="008A0882">
              <w:rPr>
                <w:rFonts w:cs="Arial"/>
                <w:szCs w:val="22"/>
              </w:rPr>
              <w:t>2018/19</w:t>
            </w:r>
          </w:p>
        </w:tc>
        <w:tc>
          <w:tcPr>
            <w:tcW w:w="2180" w:type="dxa"/>
            <w:shd w:val="clear" w:color="auto" w:fill="D9D9D9" w:themeFill="background1" w:themeFillShade="D9"/>
            <w:noWrap/>
            <w:vAlign w:val="bottom"/>
            <w:hideMark/>
          </w:tcPr>
          <w:p w:rsidR="0039422E" w:rsidRPr="008A0882" w:rsidRDefault="0039422E" w:rsidP="0039422E">
            <w:pPr>
              <w:rPr>
                <w:rFonts w:cs="Arial"/>
                <w:szCs w:val="22"/>
              </w:rPr>
            </w:pPr>
            <w:r w:rsidRPr="008A0882">
              <w:rPr>
                <w:rFonts w:cs="Arial"/>
                <w:szCs w:val="22"/>
              </w:rPr>
              <w:t>Lancashire</w:t>
            </w:r>
          </w:p>
        </w:tc>
        <w:tc>
          <w:tcPr>
            <w:tcW w:w="1424" w:type="dxa"/>
            <w:shd w:val="clear" w:color="auto" w:fill="auto"/>
            <w:noWrap/>
            <w:vAlign w:val="bottom"/>
            <w:hideMark/>
          </w:tcPr>
          <w:p w:rsidR="0039422E" w:rsidRPr="008A0882" w:rsidRDefault="0039422E" w:rsidP="0039422E">
            <w:pPr>
              <w:jc w:val="center"/>
              <w:rPr>
                <w:rFonts w:cs="Arial"/>
                <w:szCs w:val="22"/>
              </w:rPr>
            </w:pPr>
            <w:r w:rsidRPr="008A0882">
              <w:rPr>
                <w:rFonts w:cs="Arial"/>
                <w:szCs w:val="22"/>
              </w:rPr>
              <w:t>51</w:t>
            </w:r>
          </w:p>
        </w:tc>
        <w:tc>
          <w:tcPr>
            <w:tcW w:w="1424" w:type="dxa"/>
            <w:shd w:val="clear" w:color="auto" w:fill="auto"/>
            <w:noWrap/>
            <w:vAlign w:val="bottom"/>
            <w:hideMark/>
          </w:tcPr>
          <w:p w:rsidR="0039422E" w:rsidRPr="008A0882" w:rsidRDefault="0039422E" w:rsidP="0039422E">
            <w:pPr>
              <w:jc w:val="center"/>
              <w:rPr>
                <w:rFonts w:cs="Arial"/>
                <w:b/>
                <w:szCs w:val="22"/>
              </w:rPr>
            </w:pPr>
            <w:r w:rsidRPr="008A0882">
              <w:rPr>
                <w:rFonts w:cs="Arial"/>
                <w:b/>
                <w:szCs w:val="22"/>
              </w:rPr>
              <w:t>39.2</w:t>
            </w:r>
          </w:p>
        </w:tc>
        <w:tc>
          <w:tcPr>
            <w:tcW w:w="1424" w:type="dxa"/>
            <w:vAlign w:val="bottom"/>
          </w:tcPr>
          <w:p w:rsidR="0039422E" w:rsidRPr="008A0882" w:rsidRDefault="0039422E" w:rsidP="0039422E">
            <w:pPr>
              <w:jc w:val="center"/>
              <w:rPr>
                <w:rFonts w:cs="Arial"/>
                <w:szCs w:val="22"/>
              </w:rPr>
            </w:pPr>
            <w:r w:rsidRPr="008A0882">
              <w:rPr>
                <w:rFonts w:cs="Arial"/>
                <w:szCs w:val="22"/>
              </w:rPr>
              <w:t>28</w:t>
            </w:r>
          </w:p>
        </w:tc>
        <w:tc>
          <w:tcPr>
            <w:tcW w:w="1424" w:type="dxa"/>
            <w:vAlign w:val="bottom"/>
          </w:tcPr>
          <w:p w:rsidR="0039422E" w:rsidRPr="008A0882" w:rsidRDefault="0039422E" w:rsidP="0039422E">
            <w:pPr>
              <w:jc w:val="center"/>
              <w:rPr>
                <w:rFonts w:cs="Arial"/>
                <w:b/>
                <w:szCs w:val="22"/>
              </w:rPr>
            </w:pPr>
            <w:r w:rsidRPr="008A0882">
              <w:rPr>
                <w:rFonts w:cs="Arial"/>
                <w:b/>
                <w:szCs w:val="22"/>
              </w:rPr>
              <w:t>42.9</w:t>
            </w:r>
          </w:p>
        </w:tc>
      </w:tr>
      <w:tr w:rsidR="0039422E" w:rsidRPr="008A0882" w:rsidTr="0039422E">
        <w:trPr>
          <w:trHeight w:val="290"/>
        </w:trPr>
        <w:tc>
          <w:tcPr>
            <w:tcW w:w="1141" w:type="dxa"/>
            <w:shd w:val="clear" w:color="auto" w:fill="D9D9D9" w:themeFill="background1" w:themeFillShade="D9"/>
            <w:noWrap/>
            <w:vAlign w:val="bottom"/>
            <w:hideMark/>
          </w:tcPr>
          <w:p w:rsidR="0039422E" w:rsidRPr="008A0882" w:rsidRDefault="0039422E" w:rsidP="0039422E">
            <w:pPr>
              <w:rPr>
                <w:rFonts w:cs="Arial"/>
                <w:szCs w:val="22"/>
              </w:rPr>
            </w:pPr>
            <w:r w:rsidRPr="008A0882">
              <w:rPr>
                <w:rFonts w:cs="Arial"/>
                <w:szCs w:val="22"/>
              </w:rPr>
              <w:t>2017/18</w:t>
            </w:r>
          </w:p>
        </w:tc>
        <w:tc>
          <w:tcPr>
            <w:tcW w:w="2180" w:type="dxa"/>
            <w:shd w:val="clear" w:color="auto" w:fill="D9D9D9" w:themeFill="background1" w:themeFillShade="D9"/>
            <w:noWrap/>
            <w:vAlign w:val="bottom"/>
            <w:hideMark/>
          </w:tcPr>
          <w:p w:rsidR="0039422E" w:rsidRPr="008A0882" w:rsidRDefault="0039422E" w:rsidP="0039422E">
            <w:pPr>
              <w:rPr>
                <w:rFonts w:cs="Arial"/>
                <w:szCs w:val="22"/>
              </w:rPr>
            </w:pPr>
            <w:r w:rsidRPr="008A0882">
              <w:rPr>
                <w:rFonts w:cs="Arial"/>
                <w:szCs w:val="22"/>
              </w:rPr>
              <w:t>Lancashire</w:t>
            </w:r>
          </w:p>
        </w:tc>
        <w:tc>
          <w:tcPr>
            <w:tcW w:w="1424" w:type="dxa"/>
            <w:shd w:val="clear" w:color="auto" w:fill="auto"/>
            <w:noWrap/>
            <w:vAlign w:val="bottom"/>
            <w:hideMark/>
          </w:tcPr>
          <w:p w:rsidR="0039422E" w:rsidRPr="008A0882" w:rsidRDefault="0039422E" w:rsidP="0039422E">
            <w:pPr>
              <w:jc w:val="center"/>
              <w:rPr>
                <w:rFonts w:cs="Arial"/>
                <w:szCs w:val="22"/>
              </w:rPr>
            </w:pPr>
            <w:r w:rsidRPr="008A0882">
              <w:rPr>
                <w:rFonts w:cs="Arial"/>
                <w:szCs w:val="22"/>
              </w:rPr>
              <w:t>52</w:t>
            </w:r>
          </w:p>
        </w:tc>
        <w:tc>
          <w:tcPr>
            <w:tcW w:w="1424" w:type="dxa"/>
            <w:shd w:val="clear" w:color="auto" w:fill="auto"/>
            <w:noWrap/>
            <w:vAlign w:val="bottom"/>
            <w:hideMark/>
          </w:tcPr>
          <w:p w:rsidR="0039422E" w:rsidRPr="008A0882" w:rsidRDefault="0039422E" w:rsidP="0039422E">
            <w:pPr>
              <w:jc w:val="center"/>
              <w:rPr>
                <w:rFonts w:cs="Arial"/>
                <w:b/>
                <w:szCs w:val="22"/>
              </w:rPr>
            </w:pPr>
            <w:r w:rsidRPr="008A0882">
              <w:rPr>
                <w:rFonts w:cs="Arial"/>
                <w:b/>
                <w:szCs w:val="22"/>
              </w:rPr>
              <w:t>50</w:t>
            </w:r>
          </w:p>
        </w:tc>
        <w:tc>
          <w:tcPr>
            <w:tcW w:w="1424" w:type="dxa"/>
            <w:vAlign w:val="bottom"/>
          </w:tcPr>
          <w:p w:rsidR="0039422E" w:rsidRPr="008A0882" w:rsidRDefault="0039422E" w:rsidP="0039422E">
            <w:pPr>
              <w:jc w:val="center"/>
              <w:rPr>
                <w:rFonts w:cs="Arial"/>
                <w:szCs w:val="22"/>
              </w:rPr>
            </w:pPr>
            <w:r w:rsidRPr="008A0882">
              <w:rPr>
                <w:rFonts w:cs="Arial"/>
                <w:szCs w:val="22"/>
              </w:rPr>
              <w:t>22</w:t>
            </w:r>
          </w:p>
        </w:tc>
        <w:tc>
          <w:tcPr>
            <w:tcW w:w="1424" w:type="dxa"/>
            <w:vAlign w:val="bottom"/>
          </w:tcPr>
          <w:p w:rsidR="0039422E" w:rsidRPr="008A0882" w:rsidRDefault="0039422E" w:rsidP="0039422E">
            <w:pPr>
              <w:jc w:val="center"/>
              <w:rPr>
                <w:rFonts w:cs="Arial"/>
                <w:b/>
                <w:szCs w:val="22"/>
              </w:rPr>
            </w:pPr>
            <w:r w:rsidRPr="008A0882">
              <w:rPr>
                <w:rFonts w:cs="Arial"/>
                <w:b/>
                <w:szCs w:val="22"/>
              </w:rPr>
              <w:t>31.8</w:t>
            </w:r>
          </w:p>
        </w:tc>
      </w:tr>
    </w:tbl>
    <w:p w:rsidR="0039422E" w:rsidRPr="008A0882" w:rsidRDefault="0039422E" w:rsidP="0039422E">
      <w:pPr>
        <w:autoSpaceDE w:val="0"/>
        <w:autoSpaceDN w:val="0"/>
        <w:adjustRightInd w:val="0"/>
        <w:jc w:val="both"/>
        <w:rPr>
          <w:rFonts w:cs="Arial"/>
          <w:b/>
        </w:rPr>
      </w:pPr>
    </w:p>
    <w:p w:rsidR="0039422E" w:rsidRPr="008A0882" w:rsidRDefault="0039422E" w:rsidP="0039422E">
      <w:pPr>
        <w:pStyle w:val="ListParagraph"/>
        <w:numPr>
          <w:ilvl w:val="0"/>
          <w:numId w:val="6"/>
        </w:numPr>
        <w:contextualSpacing w:val="0"/>
        <w:rPr>
          <w:rFonts w:cs="Arial"/>
          <w:b/>
        </w:rPr>
      </w:pPr>
      <w:r w:rsidRPr="008A0882">
        <w:rPr>
          <w:rFonts w:cs="Arial"/>
        </w:rPr>
        <w:t>The proportion of CLA achieving a Good Level of Development declined below national in 2018/19.</w:t>
      </w:r>
    </w:p>
    <w:p w:rsidR="0039422E" w:rsidRPr="008A0882" w:rsidRDefault="0039422E" w:rsidP="0039422E">
      <w:pPr>
        <w:pStyle w:val="ListParagraph"/>
        <w:numPr>
          <w:ilvl w:val="0"/>
          <w:numId w:val="6"/>
        </w:numPr>
        <w:contextualSpacing w:val="0"/>
        <w:rPr>
          <w:rFonts w:cs="Arial"/>
          <w:b/>
        </w:rPr>
      </w:pPr>
      <w:r w:rsidRPr="008A0882">
        <w:rPr>
          <w:rFonts w:cs="Arial"/>
        </w:rPr>
        <w:t>The proportion of CIN achieving a Good Level of Development increased in 2018/19</w:t>
      </w:r>
      <w:r w:rsidR="00C5170A" w:rsidRPr="008A0882">
        <w:rPr>
          <w:rFonts w:cs="Arial"/>
        </w:rPr>
        <w:t xml:space="preserve"> (there are no comparative national figures for CIN)</w:t>
      </w:r>
      <w:r w:rsidRPr="008A0882">
        <w:rPr>
          <w:rFonts w:cs="Arial"/>
        </w:rPr>
        <w:t>.</w:t>
      </w:r>
    </w:p>
    <w:p w:rsidR="0039422E" w:rsidRPr="0019496E" w:rsidRDefault="0039422E" w:rsidP="0019496E">
      <w:pPr>
        <w:pStyle w:val="ListParagraph"/>
        <w:numPr>
          <w:ilvl w:val="0"/>
          <w:numId w:val="6"/>
        </w:numPr>
        <w:contextualSpacing w:val="0"/>
        <w:rPr>
          <w:rFonts w:cs="Arial"/>
          <w:b/>
        </w:rPr>
      </w:pPr>
      <w:r w:rsidRPr="008A0882">
        <w:rPr>
          <w:rFonts w:cs="Arial"/>
        </w:rPr>
        <w:t>The proportions of both groups of pupils achieving a Good Level of Development are well below the average for all pupils.</w:t>
      </w:r>
    </w:p>
    <w:p w:rsidR="00AB543E" w:rsidRPr="008A0882" w:rsidRDefault="00AB543E" w:rsidP="00AB543E">
      <w:pPr>
        <w:rPr>
          <w:rFonts w:cs="Arial"/>
          <w:color w:val="000000"/>
          <w:sz w:val="10"/>
          <w:szCs w:val="10"/>
        </w:rPr>
      </w:pPr>
    </w:p>
    <w:p w:rsidR="00AB543E" w:rsidRPr="008A0882" w:rsidRDefault="00AB543E" w:rsidP="00AB543E">
      <w:pPr>
        <w:rPr>
          <w:rFonts w:cs="Arial"/>
          <w:b/>
        </w:rPr>
      </w:pPr>
      <w:r w:rsidRPr="008A0882">
        <w:rPr>
          <w:rFonts w:cs="Arial"/>
          <w:b/>
        </w:rPr>
        <w:t>Key Stage 1 (KS1) – All pupils</w:t>
      </w:r>
    </w:p>
    <w:p w:rsidR="00AB543E" w:rsidRPr="008A0882" w:rsidRDefault="00AB543E" w:rsidP="00AB543E">
      <w:pPr>
        <w:rPr>
          <w:rFonts w:cs="Arial"/>
          <w:b/>
          <w:i/>
          <w:color w:val="000000" w:themeColor="text1"/>
          <w:sz w:val="10"/>
          <w:szCs w:val="10"/>
        </w:rPr>
      </w:pPr>
    </w:p>
    <w:tbl>
      <w:tblPr>
        <w:tblW w:w="9176" w:type="dxa"/>
        <w:tblLook w:val="04A0" w:firstRow="1" w:lastRow="0" w:firstColumn="1" w:lastColumn="0" w:noHBand="0" w:noVBand="1"/>
      </w:tblPr>
      <w:tblGrid>
        <w:gridCol w:w="1120"/>
        <w:gridCol w:w="1251"/>
        <w:gridCol w:w="1103"/>
        <w:gridCol w:w="1010"/>
        <w:gridCol w:w="960"/>
        <w:gridCol w:w="1251"/>
        <w:gridCol w:w="1103"/>
        <w:gridCol w:w="1010"/>
        <w:gridCol w:w="960"/>
      </w:tblGrid>
      <w:tr w:rsidR="00AB543E" w:rsidRPr="008A0882" w:rsidTr="00AB543E">
        <w:trPr>
          <w:trHeight w:val="288"/>
        </w:trPr>
        <w:tc>
          <w:tcPr>
            <w:tcW w:w="1120"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b/>
                <w:color w:val="000000"/>
                <w:szCs w:val="24"/>
              </w:rPr>
            </w:pPr>
            <w:r w:rsidRPr="008A0882">
              <w:rPr>
                <w:rFonts w:cs="Arial"/>
                <w:b/>
                <w:color w:val="000000"/>
                <w:szCs w:val="24"/>
              </w:rPr>
              <w:t>KS1 Results</w:t>
            </w:r>
          </w:p>
        </w:tc>
        <w:tc>
          <w:tcPr>
            <w:tcW w:w="4098" w:type="dxa"/>
            <w:gridSpan w:val="4"/>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Lancashire (%)</w:t>
            </w:r>
          </w:p>
        </w:tc>
        <w:tc>
          <w:tcPr>
            <w:tcW w:w="3958" w:type="dxa"/>
            <w:gridSpan w:val="4"/>
            <w:tcBorders>
              <w:top w:val="single" w:sz="4" w:space="0" w:color="auto"/>
              <w:left w:val="single" w:sz="6" w:space="0" w:color="auto"/>
              <w:bottom w:val="single" w:sz="6"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England (%)</w:t>
            </w:r>
          </w:p>
        </w:tc>
      </w:tr>
      <w:tr w:rsidR="00AB543E" w:rsidRPr="008A0882" w:rsidTr="00AB543E">
        <w:trPr>
          <w:trHeight w:val="288"/>
        </w:trPr>
        <w:tc>
          <w:tcPr>
            <w:tcW w:w="1120" w:type="dxa"/>
            <w:tcBorders>
              <w:top w:val="single" w:sz="6"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Year</w:t>
            </w:r>
          </w:p>
        </w:tc>
        <w:tc>
          <w:tcPr>
            <w:tcW w:w="1186" w:type="dxa"/>
            <w:tcBorders>
              <w:top w:val="single" w:sz="6" w:space="0" w:color="auto"/>
              <w:left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single" w:sz="6"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c>
          <w:tcPr>
            <w:tcW w:w="1046" w:type="dxa"/>
            <w:tcBorders>
              <w:top w:val="single" w:sz="6" w:space="0" w:color="auto"/>
              <w:left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single" w:sz="6"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r>
      <w:tr w:rsidR="00AB543E" w:rsidRPr="008A0882" w:rsidTr="00AB543E">
        <w:trPr>
          <w:trHeight w:val="288"/>
        </w:trPr>
        <w:tc>
          <w:tcPr>
            <w:tcW w:w="112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2018/19</w:t>
            </w:r>
          </w:p>
        </w:tc>
        <w:tc>
          <w:tcPr>
            <w:tcW w:w="1186" w:type="dxa"/>
            <w:tcBorders>
              <w:top w:val="nil"/>
              <w:left w:val="single" w:sz="4" w:space="0" w:color="auto"/>
              <w:bottom w:val="nil"/>
              <w:right w:val="nil"/>
            </w:tcBorders>
            <w:shd w:val="clear" w:color="auto" w:fill="auto"/>
            <w:noWrap/>
            <w:vAlign w:val="center"/>
            <w:hideMark/>
          </w:tcPr>
          <w:p w:rsidR="00AB543E" w:rsidRPr="008A0882" w:rsidRDefault="00AB543E" w:rsidP="00AB543E">
            <w:pPr>
              <w:jc w:val="center"/>
              <w:rPr>
                <w:rFonts w:cs="Arial"/>
                <w:szCs w:val="24"/>
              </w:rPr>
            </w:pPr>
            <w:r w:rsidRPr="008A0882">
              <w:rPr>
                <w:rFonts w:cs="Arial"/>
                <w:szCs w:val="24"/>
              </w:rPr>
              <w:t>74.0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szCs w:val="24"/>
              </w:rPr>
            </w:pPr>
            <w:r w:rsidRPr="008A0882">
              <w:rPr>
                <w:rFonts w:cs="Arial"/>
                <w:szCs w:val="24"/>
              </w:rPr>
              <w:t>68.0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szCs w:val="24"/>
              </w:rPr>
            </w:pPr>
            <w:r w:rsidRPr="008A0882">
              <w:rPr>
                <w:rFonts w:cs="Arial"/>
                <w:szCs w:val="24"/>
              </w:rPr>
              <w:t>74.0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jc w:val="center"/>
              <w:rPr>
                <w:rFonts w:cs="Arial"/>
                <w:szCs w:val="24"/>
              </w:rPr>
            </w:pPr>
            <w:r w:rsidRPr="008A0882">
              <w:rPr>
                <w:rFonts w:cs="Arial"/>
                <w:szCs w:val="24"/>
              </w:rPr>
              <w:t>63.3</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75.0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69.0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76.0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64.9</w:t>
            </w:r>
          </w:p>
        </w:tc>
      </w:tr>
      <w:tr w:rsidR="00AB543E" w:rsidRPr="008A0882" w:rsidTr="00AB543E">
        <w:trPr>
          <w:trHeight w:val="288"/>
        </w:trPr>
        <w:tc>
          <w:tcPr>
            <w:tcW w:w="1120"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2017/18</w:t>
            </w:r>
          </w:p>
        </w:tc>
        <w:tc>
          <w:tcPr>
            <w:tcW w:w="1186"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74.6</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69.3</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75.1</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64.2</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75.0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70.0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76.0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65.3</w:t>
            </w:r>
          </w:p>
        </w:tc>
      </w:tr>
      <w:tr w:rsidR="00AB543E" w:rsidRPr="008A0882" w:rsidTr="00AB543E">
        <w:trPr>
          <w:trHeight w:val="288"/>
        </w:trPr>
        <w:tc>
          <w:tcPr>
            <w:tcW w:w="1120"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2016/17</w:t>
            </w:r>
          </w:p>
        </w:tc>
        <w:tc>
          <w:tcPr>
            <w:tcW w:w="1186"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75.0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68.0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75.1</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63.4</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75.5</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68.2</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75.1</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63.7</w:t>
            </w:r>
          </w:p>
        </w:tc>
      </w:tr>
      <w:tr w:rsidR="00AB543E" w:rsidRPr="008A0882" w:rsidTr="00AB543E">
        <w:trPr>
          <w:trHeight w:val="288"/>
        </w:trPr>
        <w:tc>
          <w:tcPr>
            <w:tcW w:w="11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2015/16</w:t>
            </w:r>
          </w:p>
        </w:tc>
        <w:tc>
          <w:tcPr>
            <w:tcW w:w="1186" w:type="dxa"/>
            <w:tcBorders>
              <w:top w:val="nil"/>
              <w:left w:val="nil"/>
              <w:bottom w:val="single" w:sz="4" w:space="0" w:color="auto"/>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73.5</w:t>
            </w:r>
          </w:p>
        </w:tc>
        <w:tc>
          <w:tcPr>
            <w:tcW w:w="992" w:type="dxa"/>
            <w:tcBorders>
              <w:top w:val="nil"/>
              <w:left w:val="nil"/>
              <w:bottom w:val="single" w:sz="4" w:space="0" w:color="auto"/>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66.5</w:t>
            </w:r>
          </w:p>
        </w:tc>
        <w:tc>
          <w:tcPr>
            <w:tcW w:w="960" w:type="dxa"/>
            <w:tcBorders>
              <w:top w:val="nil"/>
              <w:left w:val="nil"/>
              <w:bottom w:val="single" w:sz="4" w:space="0" w:color="auto"/>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72.3</w:t>
            </w:r>
          </w:p>
        </w:tc>
        <w:tc>
          <w:tcPr>
            <w:tcW w:w="960" w:type="dxa"/>
            <w:tcBorders>
              <w:top w:val="nil"/>
              <w:left w:val="nil"/>
              <w:bottom w:val="single" w:sz="4" w:space="0" w:color="auto"/>
              <w:right w:val="single" w:sz="4" w:space="0" w:color="auto"/>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60.9</w:t>
            </w:r>
          </w:p>
        </w:tc>
        <w:tc>
          <w:tcPr>
            <w:tcW w:w="1046" w:type="dxa"/>
            <w:tcBorders>
              <w:top w:val="nil"/>
              <w:left w:val="nil"/>
              <w:bottom w:val="single" w:sz="4" w:space="0" w:color="auto"/>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74.0</w:t>
            </w:r>
          </w:p>
        </w:tc>
        <w:tc>
          <w:tcPr>
            <w:tcW w:w="992" w:type="dxa"/>
            <w:tcBorders>
              <w:top w:val="nil"/>
              <w:left w:val="nil"/>
              <w:bottom w:val="single" w:sz="4" w:space="0" w:color="auto"/>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65.5</w:t>
            </w:r>
          </w:p>
        </w:tc>
        <w:tc>
          <w:tcPr>
            <w:tcW w:w="960" w:type="dxa"/>
            <w:tcBorders>
              <w:top w:val="nil"/>
              <w:left w:val="nil"/>
              <w:bottom w:val="single" w:sz="4" w:space="0" w:color="auto"/>
              <w:right w:val="nil"/>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72.6</w:t>
            </w:r>
          </w:p>
        </w:tc>
        <w:tc>
          <w:tcPr>
            <w:tcW w:w="960" w:type="dxa"/>
            <w:tcBorders>
              <w:top w:val="nil"/>
              <w:left w:val="nil"/>
              <w:bottom w:val="single" w:sz="4" w:space="0" w:color="auto"/>
              <w:right w:val="single" w:sz="4" w:space="0" w:color="auto"/>
            </w:tcBorders>
            <w:shd w:val="clear" w:color="auto" w:fill="auto"/>
            <w:noWrap/>
            <w:vAlign w:val="center"/>
            <w:hideMark/>
          </w:tcPr>
          <w:p w:rsidR="00AB543E" w:rsidRPr="008A0882" w:rsidRDefault="00AB543E" w:rsidP="00AB543E">
            <w:pPr>
              <w:jc w:val="center"/>
              <w:rPr>
                <w:rFonts w:cs="Arial"/>
                <w:color w:val="000000"/>
                <w:szCs w:val="24"/>
              </w:rPr>
            </w:pPr>
            <w:r w:rsidRPr="008A0882">
              <w:rPr>
                <w:rFonts w:cs="Arial"/>
                <w:color w:val="000000"/>
                <w:szCs w:val="24"/>
              </w:rPr>
              <w:t>60.3</w:t>
            </w:r>
          </w:p>
        </w:tc>
      </w:tr>
    </w:tbl>
    <w:p w:rsidR="00AB543E" w:rsidRPr="008A0882" w:rsidRDefault="00AB543E" w:rsidP="00AB543E">
      <w:pPr>
        <w:rPr>
          <w:rFonts w:cs="Arial"/>
          <w:color w:val="000000" w:themeColor="text1"/>
          <w:sz w:val="10"/>
          <w:szCs w:val="10"/>
        </w:rPr>
      </w:pPr>
    </w:p>
    <w:p w:rsidR="00AB543E" w:rsidRPr="008A0882" w:rsidRDefault="00AB543E" w:rsidP="00AB543E">
      <w:pPr>
        <w:pStyle w:val="ListParagraph"/>
        <w:numPr>
          <w:ilvl w:val="0"/>
          <w:numId w:val="7"/>
        </w:numPr>
        <w:spacing w:line="276" w:lineRule="auto"/>
        <w:ind w:left="426"/>
        <w:contextualSpacing w:val="0"/>
        <w:rPr>
          <w:rFonts w:cs="Arial"/>
          <w:color w:val="000000" w:themeColor="text1"/>
          <w:sz w:val="10"/>
          <w:szCs w:val="10"/>
        </w:rPr>
      </w:pPr>
      <w:r w:rsidRPr="008A0882">
        <w:rPr>
          <w:rFonts w:cs="Arial"/>
          <w:color w:val="000000" w:themeColor="text1"/>
        </w:rPr>
        <w:t>The proportion of KS1 pupils attaining the individual expected standard in Reading, Writing and Mathematics are all below the 2019 National</w:t>
      </w:r>
      <w:r w:rsidR="008A0882" w:rsidRPr="008A0882">
        <w:rPr>
          <w:rFonts w:cs="Arial"/>
          <w:color w:val="000000" w:themeColor="text1"/>
        </w:rPr>
        <w:t xml:space="preserve"> A</w:t>
      </w:r>
      <w:r w:rsidRPr="008A0882">
        <w:rPr>
          <w:rFonts w:cs="Arial"/>
          <w:color w:val="000000" w:themeColor="text1"/>
        </w:rPr>
        <w:t>verage. Reading, Writing and Maths 2019 outcomes are also all below the Lancashire 2018 figures.</w:t>
      </w:r>
    </w:p>
    <w:p w:rsidR="00FA3449" w:rsidRPr="0019496E" w:rsidRDefault="00AB543E" w:rsidP="00AB543E">
      <w:pPr>
        <w:pStyle w:val="ListParagraph"/>
        <w:numPr>
          <w:ilvl w:val="0"/>
          <w:numId w:val="7"/>
        </w:numPr>
        <w:spacing w:line="276" w:lineRule="auto"/>
        <w:ind w:left="426"/>
        <w:contextualSpacing w:val="0"/>
        <w:rPr>
          <w:rFonts w:cs="Arial"/>
          <w:color w:val="000000" w:themeColor="text1"/>
          <w:sz w:val="10"/>
          <w:szCs w:val="10"/>
        </w:rPr>
      </w:pPr>
      <w:r w:rsidRPr="008A0882">
        <w:rPr>
          <w:rFonts w:cs="Arial"/>
          <w:color w:val="000000" w:themeColor="text1"/>
        </w:rPr>
        <w:t>The proportion of KS1 pupils attaining the combined expected standard in Reading, Writing and Mathematics ar</w:t>
      </w:r>
      <w:r w:rsidR="007624A1">
        <w:rPr>
          <w:rFonts w:cs="Arial"/>
          <w:color w:val="000000" w:themeColor="text1"/>
        </w:rPr>
        <w:t>e below both the 2019 National A</w:t>
      </w:r>
      <w:r w:rsidRPr="008A0882">
        <w:rPr>
          <w:rFonts w:cs="Arial"/>
          <w:color w:val="000000" w:themeColor="text1"/>
        </w:rPr>
        <w:t>verage and Lancashire 2018 attainment figure.</w:t>
      </w:r>
    </w:p>
    <w:p w:rsidR="0019496E" w:rsidRPr="0019496E" w:rsidRDefault="0019496E" w:rsidP="0019496E">
      <w:pPr>
        <w:pStyle w:val="ListParagraph"/>
        <w:spacing w:line="276" w:lineRule="auto"/>
        <w:ind w:left="426"/>
        <w:contextualSpacing w:val="0"/>
        <w:rPr>
          <w:rFonts w:cs="Arial"/>
          <w:color w:val="000000" w:themeColor="text1"/>
          <w:sz w:val="10"/>
          <w:szCs w:val="10"/>
        </w:rPr>
      </w:pPr>
    </w:p>
    <w:p w:rsidR="00AB543E" w:rsidRPr="008A0882" w:rsidRDefault="00AB543E" w:rsidP="00AB543E">
      <w:pPr>
        <w:rPr>
          <w:rFonts w:cs="Arial"/>
          <w:b/>
        </w:rPr>
      </w:pPr>
      <w:r w:rsidRPr="008A0882">
        <w:rPr>
          <w:rFonts w:cs="Arial"/>
          <w:b/>
        </w:rPr>
        <w:t>Key Stage 1 (KS1) – Disadvantaged Pupils (FSM)</w:t>
      </w:r>
    </w:p>
    <w:p w:rsidR="00AB543E" w:rsidRPr="008A0882" w:rsidRDefault="00AB543E" w:rsidP="00AB543E">
      <w:pPr>
        <w:rPr>
          <w:rFonts w:cs="Arial"/>
          <w:color w:val="000000" w:themeColor="text1"/>
          <w:sz w:val="10"/>
          <w:szCs w:val="10"/>
        </w:rPr>
      </w:pPr>
    </w:p>
    <w:tbl>
      <w:tblPr>
        <w:tblW w:w="9176" w:type="dxa"/>
        <w:tblLook w:val="04A0" w:firstRow="1" w:lastRow="0" w:firstColumn="1" w:lastColumn="0" w:noHBand="0" w:noVBand="1"/>
      </w:tblPr>
      <w:tblGrid>
        <w:gridCol w:w="1120"/>
        <w:gridCol w:w="1251"/>
        <w:gridCol w:w="1103"/>
        <w:gridCol w:w="1010"/>
        <w:gridCol w:w="960"/>
        <w:gridCol w:w="1251"/>
        <w:gridCol w:w="1103"/>
        <w:gridCol w:w="1010"/>
        <w:gridCol w:w="960"/>
      </w:tblGrid>
      <w:tr w:rsidR="00AB543E" w:rsidRPr="008A0882" w:rsidTr="00AB543E">
        <w:trPr>
          <w:trHeight w:val="288"/>
        </w:trPr>
        <w:tc>
          <w:tcPr>
            <w:tcW w:w="1120"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b/>
                <w:color w:val="000000"/>
                <w:szCs w:val="24"/>
              </w:rPr>
            </w:pPr>
            <w:r w:rsidRPr="008A0882">
              <w:rPr>
                <w:rFonts w:cs="Arial"/>
                <w:b/>
                <w:color w:val="000000"/>
                <w:szCs w:val="24"/>
              </w:rPr>
              <w:t>KS1 (FSM)</w:t>
            </w:r>
          </w:p>
        </w:tc>
        <w:tc>
          <w:tcPr>
            <w:tcW w:w="4098" w:type="dxa"/>
            <w:gridSpan w:val="4"/>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Lancashire (%)</w:t>
            </w:r>
          </w:p>
        </w:tc>
        <w:tc>
          <w:tcPr>
            <w:tcW w:w="3958" w:type="dxa"/>
            <w:gridSpan w:val="4"/>
            <w:tcBorders>
              <w:top w:val="single" w:sz="4" w:space="0" w:color="auto"/>
              <w:left w:val="single" w:sz="6" w:space="0" w:color="auto"/>
              <w:bottom w:val="single" w:sz="6"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England (%)</w:t>
            </w:r>
          </w:p>
        </w:tc>
      </w:tr>
      <w:tr w:rsidR="00AB543E" w:rsidRPr="008A0882" w:rsidTr="00AB543E">
        <w:trPr>
          <w:trHeight w:val="288"/>
        </w:trPr>
        <w:tc>
          <w:tcPr>
            <w:tcW w:w="1120" w:type="dxa"/>
            <w:tcBorders>
              <w:top w:val="single" w:sz="6"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Year</w:t>
            </w:r>
          </w:p>
        </w:tc>
        <w:tc>
          <w:tcPr>
            <w:tcW w:w="1186" w:type="dxa"/>
            <w:tcBorders>
              <w:top w:val="single" w:sz="6" w:space="0" w:color="auto"/>
              <w:left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single" w:sz="6"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c>
          <w:tcPr>
            <w:tcW w:w="1046" w:type="dxa"/>
            <w:tcBorders>
              <w:top w:val="single" w:sz="6" w:space="0" w:color="auto"/>
              <w:left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single" w:sz="6" w:space="0" w:color="auto"/>
              <w:bottom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single" w:sz="6"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r>
      <w:tr w:rsidR="00AB543E" w:rsidRPr="008A0882" w:rsidTr="00AB543E">
        <w:trPr>
          <w:trHeight w:val="288"/>
        </w:trPr>
        <w:tc>
          <w:tcPr>
            <w:tcW w:w="112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2018/19</w:t>
            </w:r>
          </w:p>
        </w:tc>
        <w:tc>
          <w:tcPr>
            <w:tcW w:w="1186" w:type="dxa"/>
            <w:tcBorders>
              <w:top w:val="nil"/>
              <w:left w:val="single" w:sz="4" w:space="0" w:color="auto"/>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58.3</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51.9</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57.5</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45.3</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60.0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53.0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61.0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48.5</w:t>
            </w:r>
          </w:p>
        </w:tc>
      </w:tr>
      <w:tr w:rsidR="00AB543E" w:rsidRPr="008A0882" w:rsidTr="00AB543E">
        <w:trPr>
          <w:trHeight w:val="288"/>
        </w:trPr>
        <w:tc>
          <w:tcPr>
            <w:tcW w:w="1120"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2017/18</w:t>
            </w:r>
          </w:p>
        </w:tc>
        <w:tc>
          <w:tcPr>
            <w:tcW w:w="118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57.3</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50.1</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57.7</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44.9</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60.0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53.0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61.0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0.0</w:t>
            </w:r>
          </w:p>
        </w:tc>
      </w:tr>
      <w:tr w:rsidR="00AB543E" w:rsidRPr="008A0882" w:rsidTr="00AB543E">
        <w:trPr>
          <w:trHeight w:val="288"/>
        </w:trPr>
        <w:tc>
          <w:tcPr>
            <w:tcW w:w="1120"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2016/17</w:t>
            </w:r>
          </w:p>
        </w:tc>
        <w:tc>
          <w:tcPr>
            <w:tcW w:w="118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58.1</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49.1</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58.8</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43.9</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61.0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52.0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61.0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0.0</w:t>
            </w:r>
          </w:p>
        </w:tc>
      </w:tr>
      <w:tr w:rsidR="00AB543E" w:rsidRPr="008A0882" w:rsidTr="00AB543E">
        <w:trPr>
          <w:trHeight w:val="288"/>
        </w:trPr>
        <w:tc>
          <w:tcPr>
            <w:tcW w:w="11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2015/16</w:t>
            </w:r>
          </w:p>
        </w:tc>
        <w:tc>
          <w:tcPr>
            <w:tcW w:w="1186"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58.0</w:t>
            </w:r>
          </w:p>
        </w:tc>
        <w:tc>
          <w:tcPr>
            <w:tcW w:w="992"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48.5</w:t>
            </w:r>
          </w:p>
        </w:tc>
        <w:tc>
          <w:tcPr>
            <w:tcW w:w="960"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56.3</w:t>
            </w:r>
          </w:p>
        </w:tc>
        <w:tc>
          <w:tcPr>
            <w:tcW w:w="960" w:type="dxa"/>
            <w:tcBorders>
              <w:top w:val="nil"/>
              <w:left w:val="nil"/>
              <w:bottom w:val="single" w:sz="4" w:space="0" w:color="auto"/>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42.8</w:t>
            </w:r>
          </w:p>
        </w:tc>
        <w:tc>
          <w:tcPr>
            <w:tcW w:w="1046"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60.0</w:t>
            </w:r>
          </w:p>
        </w:tc>
        <w:tc>
          <w:tcPr>
            <w:tcW w:w="992"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50.0</w:t>
            </w:r>
          </w:p>
        </w:tc>
        <w:tc>
          <w:tcPr>
            <w:tcW w:w="960"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58.0</w:t>
            </w:r>
          </w:p>
        </w:tc>
        <w:tc>
          <w:tcPr>
            <w:tcW w:w="960" w:type="dxa"/>
            <w:tcBorders>
              <w:top w:val="nil"/>
              <w:left w:val="nil"/>
              <w:bottom w:val="single" w:sz="4" w:space="0" w:color="auto"/>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0.0</w:t>
            </w:r>
          </w:p>
        </w:tc>
      </w:tr>
    </w:tbl>
    <w:p w:rsidR="00AB543E" w:rsidRPr="008A0882" w:rsidRDefault="00AB543E" w:rsidP="00AB543E">
      <w:pPr>
        <w:rPr>
          <w:rFonts w:cs="Arial"/>
          <w:color w:val="000000" w:themeColor="text1"/>
          <w:sz w:val="10"/>
          <w:szCs w:val="10"/>
        </w:rPr>
      </w:pPr>
    </w:p>
    <w:p w:rsidR="00AB543E" w:rsidRPr="008A0882" w:rsidRDefault="00AB543E" w:rsidP="00AB543E">
      <w:pPr>
        <w:pStyle w:val="ListParagraph"/>
        <w:numPr>
          <w:ilvl w:val="0"/>
          <w:numId w:val="8"/>
        </w:numPr>
        <w:spacing w:line="276" w:lineRule="auto"/>
        <w:ind w:left="426"/>
        <w:contextualSpacing w:val="0"/>
        <w:rPr>
          <w:rFonts w:cs="Arial"/>
          <w:color w:val="000000" w:themeColor="text1"/>
          <w:sz w:val="10"/>
          <w:szCs w:val="10"/>
        </w:rPr>
      </w:pPr>
      <w:r w:rsidRPr="008A0882">
        <w:rPr>
          <w:rFonts w:cs="Arial"/>
          <w:color w:val="000000" w:themeColor="text1"/>
        </w:rPr>
        <w:t>% of KS1 FSM pupils attaining the individual expected standard in Reading, Writing and Mathematics are all below the 2019 National</w:t>
      </w:r>
      <w:r w:rsidR="007624A1">
        <w:rPr>
          <w:rFonts w:cs="Arial"/>
          <w:color w:val="000000" w:themeColor="text1"/>
        </w:rPr>
        <w:t xml:space="preserve"> A</w:t>
      </w:r>
      <w:r w:rsidRPr="008A0882">
        <w:rPr>
          <w:rFonts w:cs="Arial"/>
          <w:color w:val="000000" w:themeColor="text1"/>
        </w:rPr>
        <w:t>verages. Reading and Writing continue a 4 year improvement trend.</w:t>
      </w:r>
    </w:p>
    <w:p w:rsidR="00AB543E" w:rsidRPr="008A0882" w:rsidRDefault="00AB543E" w:rsidP="00AB543E">
      <w:pPr>
        <w:pStyle w:val="ListParagraph"/>
        <w:numPr>
          <w:ilvl w:val="0"/>
          <w:numId w:val="8"/>
        </w:numPr>
        <w:spacing w:line="276" w:lineRule="auto"/>
        <w:ind w:left="426"/>
        <w:contextualSpacing w:val="0"/>
        <w:rPr>
          <w:rFonts w:cs="Arial"/>
          <w:sz w:val="10"/>
          <w:szCs w:val="10"/>
        </w:rPr>
      </w:pPr>
      <w:r w:rsidRPr="008A0882">
        <w:rPr>
          <w:rFonts w:cs="Arial"/>
          <w:color w:val="000000" w:themeColor="text1"/>
        </w:rPr>
        <w:t>% of KS1 FSM pupils attaining the combined expected standard in Reading, Writing and Mathemati</w:t>
      </w:r>
      <w:r w:rsidR="007624A1">
        <w:rPr>
          <w:rFonts w:cs="Arial"/>
          <w:color w:val="000000" w:themeColor="text1"/>
        </w:rPr>
        <w:t>cs are below the 2019 National A</w:t>
      </w:r>
      <w:r w:rsidRPr="008A0882">
        <w:rPr>
          <w:rFonts w:cs="Arial"/>
          <w:color w:val="000000" w:themeColor="text1"/>
        </w:rPr>
        <w:t>ver</w:t>
      </w:r>
      <w:r w:rsidRPr="008A0882">
        <w:rPr>
          <w:rFonts w:cs="Arial"/>
        </w:rPr>
        <w:t xml:space="preserve">age but continue a Lancashire 4 year improving trend. </w:t>
      </w:r>
    </w:p>
    <w:p w:rsidR="00447E56" w:rsidRPr="008A0882" w:rsidRDefault="00D43E5B" w:rsidP="00AB543E">
      <w:pPr>
        <w:pStyle w:val="ListParagraph"/>
        <w:numPr>
          <w:ilvl w:val="0"/>
          <w:numId w:val="8"/>
        </w:numPr>
        <w:spacing w:line="276" w:lineRule="auto"/>
        <w:ind w:left="426"/>
        <w:contextualSpacing w:val="0"/>
        <w:rPr>
          <w:rFonts w:cs="Arial"/>
          <w:sz w:val="10"/>
          <w:szCs w:val="10"/>
        </w:rPr>
      </w:pPr>
      <w:r w:rsidRPr="008A0882">
        <w:rPr>
          <w:rFonts w:cs="Arial"/>
        </w:rPr>
        <w:lastRenderedPageBreak/>
        <w:t>Results for FSM pupils a</w:t>
      </w:r>
      <w:r w:rsidR="00E06197" w:rsidRPr="008A0882">
        <w:rPr>
          <w:rFonts w:cs="Arial"/>
        </w:rPr>
        <w:t>t KS1 are well below those for a</w:t>
      </w:r>
      <w:r w:rsidRPr="008A0882">
        <w:rPr>
          <w:rFonts w:cs="Arial"/>
        </w:rPr>
        <w:t>ll pupils; whilst this is also the case nationally, the Lancashire gaps are slightly larger.</w:t>
      </w:r>
    </w:p>
    <w:p w:rsidR="00FA3449" w:rsidRPr="008A0882" w:rsidRDefault="00FA3449" w:rsidP="00447E56">
      <w:pPr>
        <w:rPr>
          <w:rFonts w:cs="Arial"/>
          <w:b/>
        </w:rPr>
      </w:pPr>
    </w:p>
    <w:p w:rsidR="00447E56" w:rsidRPr="008A0882" w:rsidRDefault="00447E56" w:rsidP="00447E56">
      <w:pPr>
        <w:rPr>
          <w:rFonts w:cs="Arial"/>
          <w:b/>
        </w:rPr>
      </w:pPr>
      <w:r w:rsidRPr="008A0882">
        <w:rPr>
          <w:rFonts w:cs="Arial"/>
          <w:b/>
        </w:rPr>
        <w:t>Key Stage 1 (KS1) –</w:t>
      </w:r>
      <w:r w:rsidR="00D43E5B" w:rsidRPr="008A0882">
        <w:rPr>
          <w:rFonts w:cs="Arial"/>
          <w:b/>
        </w:rPr>
        <w:t xml:space="preserve"> </w:t>
      </w:r>
      <w:r w:rsidRPr="008A0882">
        <w:rPr>
          <w:rFonts w:cs="Arial"/>
          <w:b/>
        </w:rPr>
        <w:t>Special Educational Needs and Disabilities (SEND)</w:t>
      </w:r>
    </w:p>
    <w:p w:rsidR="00447E56" w:rsidRPr="008A0882" w:rsidRDefault="00447E56" w:rsidP="00447E56">
      <w:pPr>
        <w:rPr>
          <w:rFonts w:cs="Arial"/>
          <w:sz w:val="10"/>
          <w:szCs w:val="10"/>
        </w:rPr>
      </w:pPr>
    </w:p>
    <w:tbl>
      <w:tblPr>
        <w:tblW w:w="9768" w:type="dxa"/>
        <w:tblLook w:val="04A0" w:firstRow="1" w:lastRow="0" w:firstColumn="1" w:lastColumn="0" w:noHBand="0" w:noVBand="1"/>
      </w:tblPr>
      <w:tblGrid>
        <w:gridCol w:w="1120"/>
        <w:gridCol w:w="1251"/>
        <w:gridCol w:w="1103"/>
        <w:gridCol w:w="1010"/>
        <w:gridCol w:w="960"/>
        <w:gridCol w:w="1251"/>
        <w:gridCol w:w="1103"/>
        <w:gridCol w:w="1010"/>
        <w:gridCol w:w="960"/>
      </w:tblGrid>
      <w:tr w:rsidR="00447E56" w:rsidRPr="008A0882" w:rsidTr="00447E56">
        <w:trPr>
          <w:trHeight w:val="288"/>
        </w:trPr>
        <w:tc>
          <w:tcPr>
            <w:tcW w:w="1120"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447E56" w:rsidRPr="008A0882" w:rsidRDefault="00447E56" w:rsidP="00447E56">
            <w:pPr>
              <w:jc w:val="center"/>
              <w:rPr>
                <w:rFonts w:cs="Arial"/>
                <w:b/>
                <w:szCs w:val="24"/>
              </w:rPr>
            </w:pPr>
            <w:r w:rsidRPr="008A0882">
              <w:rPr>
                <w:rFonts w:cs="Arial"/>
                <w:b/>
                <w:szCs w:val="24"/>
              </w:rPr>
              <w:t>KS1 (SEND)</w:t>
            </w:r>
          </w:p>
        </w:tc>
        <w:tc>
          <w:tcPr>
            <w:tcW w:w="4324" w:type="dxa"/>
            <w:gridSpan w:val="4"/>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47E56" w:rsidRPr="008A0882" w:rsidRDefault="00447E56" w:rsidP="00447E56">
            <w:pPr>
              <w:jc w:val="center"/>
              <w:rPr>
                <w:rFonts w:cs="Arial"/>
                <w:b/>
                <w:bCs/>
                <w:szCs w:val="24"/>
              </w:rPr>
            </w:pPr>
            <w:r w:rsidRPr="008A0882">
              <w:rPr>
                <w:rFonts w:cs="Arial"/>
                <w:b/>
                <w:bCs/>
                <w:szCs w:val="24"/>
              </w:rPr>
              <w:t>Lancashire (%)</w:t>
            </w:r>
          </w:p>
        </w:tc>
        <w:tc>
          <w:tcPr>
            <w:tcW w:w="4324" w:type="dxa"/>
            <w:gridSpan w:val="4"/>
            <w:tcBorders>
              <w:top w:val="single" w:sz="4" w:space="0" w:color="auto"/>
              <w:left w:val="single" w:sz="6" w:space="0" w:color="auto"/>
              <w:bottom w:val="single" w:sz="6" w:space="0" w:color="auto"/>
              <w:right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b/>
                <w:bCs/>
                <w:szCs w:val="24"/>
              </w:rPr>
            </w:pPr>
            <w:r w:rsidRPr="008A0882">
              <w:rPr>
                <w:rFonts w:cs="Arial"/>
                <w:b/>
                <w:bCs/>
                <w:szCs w:val="24"/>
              </w:rPr>
              <w:t>England (%)</w:t>
            </w:r>
          </w:p>
        </w:tc>
      </w:tr>
      <w:tr w:rsidR="00447E56" w:rsidRPr="008A0882" w:rsidTr="00447E56">
        <w:trPr>
          <w:trHeight w:val="288"/>
        </w:trPr>
        <w:tc>
          <w:tcPr>
            <w:tcW w:w="1120"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rsidR="00447E56" w:rsidRPr="008A0882" w:rsidRDefault="00447E56" w:rsidP="00447E56">
            <w:pPr>
              <w:jc w:val="center"/>
              <w:rPr>
                <w:rFonts w:cs="Arial"/>
                <w:szCs w:val="24"/>
              </w:rPr>
            </w:pPr>
            <w:r w:rsidRPr="008A0882">
              <w:rPr>
                <w:rFonts w:cs="Arial"/>
                <w:szCs w:val="24"/>
              </w:rPr>
              <w:t>Year</w:t>
            </w:r>
          </w:p>
        </w:tc>
        <w:tc>
          <w:tcPr>
            <w:tcW w:w="1251" w:type="dxa"/>
            <w:tcBorders>
              <w:top w:val="single" w:sz="6" w:space="0" w:color="auto"/>
              <w:left w:val="single" w:sz="6" w:space="0" w:color="auto"/>
              <w:bottom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Reading+</w:t>
            </w:r>
          </w:p>
        </w:tc>
        <w:tc>
          <w:tcPr>
            <w:tcW w:w="1103" w:type="dxa"/>
            <w:tcBorders>
              <w:top w:val="single" w:sz="6" w:space="0" w:color="auto"/>
              <w:bottom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Writing+</w:t>
            </w:r>
          </w:p>
        </w:tc>
        <w:tc>
          <w:tcPr>
            <w:tcW w:w="1010" w:type="dxa"/>
            <w:tcBorders>
              <w:top w:val="single" w:sz="6" w:space="0" w:color="auto"/>
              <w:bottom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Maths+</w:t>
            </w:r>
          </w:p>
        </w:tc>
        <w:tc>
          <w:tcPr>
            <w:tcW w:w="960" w:type="dxa"/>
            <w:tcBorders>
              <w:top w:val="single" w:sz="6" w:space="0" w:color="auto"/>
              <w:bottom w:val="single" w:sz="4" w:space="0" w:color="auto"/>
              <w:right w:val="single" w:sz="6"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RWM+</w:t>
            </w:r>
          </w:p>
        </w:tc>
        <w:tc>
          <w:tcPr>
            <w:tcW w:w="1251" w:type="dxa"/>
            <w:tcBorders>
              <w:top w:val="single" w:sz="6" w:space="0" w:color="auto"/>
              <w:left w:val="single" w:sz="6" w:space="0" w:color="auto"/>
              <w:bottom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Reading+</w:t>
            </w:r>
          </w:p>
        </w:tc>
        <w:tc>
          <w:tcPr>
            <w:tcW w:w="1103" w:type="dxa"/>
            <w:tcBorders>
              <w:top w:val="single" w:sz="6" w:space="0" w:color="auto"/>
              <w:bottom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Writing+</w:t>
            </w:r>
          </w:p>
        </w:tc>
        <w:tc>
          <w:tcPr>
            <w:tcW w:w="1010" w:type="dxa"/>
            <w:tcBorders>
              <w:top w:val="single" w:sz="6" w:space="0" w:color="auto"/>
              <w:bottom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Maths+</w:t>
            </w:r>
          </w:p>
        </w:tc>
        <w:tc>
          <w:tcPr>
            <w:tcW w:w="960" w:type="dxa"/>
            <w:tcBorders>
              <w:top w:val="single" w:sz="6" w:space="0" w:color="auto"/>
              <w:bottom w:val="single" w:sz="4" w:space="0" w:color="auto"/>
              <w:right w:val="single" w:sz="4" w:space="0" w:color="auto"/>
            </w:tcBorders>
            <w:shd w:val="clear" w:color="auto" w:fill="D9D9D9" w:themeFill="background1" w:themeFillShade="D9"/>
            <w:noWrap/>
            <w:vAlign w:val="center"/>
            <w:hideMark/>
          </w:tcPr>
          <w:p w:rsidR="00447E56" w:rsidRPr="008A0882" w:rsidRDefault="00447E56" w:rsidP="00447E56">
            <w:pPr>
              <w:jc w:val="center"/>
              <w:rPr>
                <w:rFonts w:cs="Arial"/>
                <w:szCs w:val="24"/>
              </w:rPr>
            </w:pPr>
            <w:r w:rsidRPr="008A0882">
              <w:rPr>
                <w:rFonts w:cs="Arial"/>
                <w:szCs w:val="24"/>
              </w:rPr>
              <w:t>RWM+</w:t>
            </w:r>
          </w:p>
        </w:tc>
      </w:tr>
      <w:tr w:rsidR="00447E56" w:rsidRPr="008A0882" w:rsidTr="00447E56">
        <w:trPr>
          <w:trHeight w:val="288"/>
        </w:trPr>
        <w:tc>
          <w:tcPr>
            <w:tcW w:w="112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47E56" w:rsidRPr="008A0882" w:rsidRDefault="00447E56" w:rsidP="00447E56">
            <w:pPr>
              <w:jc w:val="center"/>
              <w:rPr>
                <w:rFonts w:cs="Arial"/>
                <w:szCs w:val="24"/>
              </w:rPr>
            </w:pPr>
            <w:r w:rsidRPr="008A0882">
              <w:rPr>
                <w:rFonts w:cs="Arial"/>
                <w:szCs w:val="24"/>
              </w:rPr>
              <w:t>2018/19</w:t>
            </w:r>
          </w:p>
        </w:tc>
        <w:tc>
          <w:tcPr>
            <w:tcW w:w="1251" w:type="dxa"/>
            <w:tcBorders>
              <w:top w:val="nil"/>
              <w:left w:val="single" w:sz="4" w:space="0" w:color="auto"/>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23.5</w:t>
            </w:r>
          </w:p>
        </w:tc>
        <w:tc>
          <w:tcPr>
            <w:tcW w:w="1103"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16.6</w:t>
            </w:r>
          </w:p>
        </w:tc>
        <w:tc>
          <w:tcPr>
            <w:tcW w:w="1010"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26.8</w:t>
            </w:r>
          </w:p>
        </w:tc>
        <w:tc>
          <w:tcPr>
            <w:tcW w:w="960" w:type="dxa"/>
            <w:tcBorders>
              <w:top w:val="nil"/>
              <w:left w:val="nil"/>
              <w:bottom w:val="nil"/>
              <w:right w:val="single" w:sz="4" w:space="0" w:color="auto"/>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14.2</w:t>
            </w:r>
          </w:p>
        </w:tc>
        <w:tc>
          <w:tcPr>
            <w:tcW w:w="1251"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29.6</w:t>
            </w:r>
          </w:p>
        </w:tc>
        <w:tc>
          <w:tcPr>
            <w:tcW w:w="1103"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21.6</w:t>
            </w:r>
          </w:p>
        </w:tc>
        <w:tc>
          <w:tcPr>
            <w:tcW w:w="1010"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32.6</w:t>
            </w:r>
          </w:p>
        </w:tc>
        <w:tc>
          <w:tcPr>
            <w:tcW w:w="960" w:type="dxa"/>
            <w:tcBorders>
              <w:top w:val="nil"/>
              <w:left w:val="nil"/>
              <w:bottom w:val="nil"/>
              <w:right w:val="single" w:sz="4" w:space="0" w:color="auto"/>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18.6</w:t>
            </w:r>
          </w:p>
        </w:tc>
      </w:tr>
      <w:tr w:rsidR="00447E56" w:rsidRPr="008A0882" w:rsidTr="00447E56">
        <w:trPr>
          <w:trHeight w:val="288"/>
        </w:trPr>
        <w:tc>
          <w:tcPr>
            <w:tcW w:w="1120" w:type="dxa"/>
            <w:tcBorders>
              <w:top w:val="nil"/>
              <w:left w:val="single" w:sz="4" w:space="0" w:color="auto"/>
              <w:bottom w:val="nil"/>
              <w:right w:val="single" w:sz="4" w:space="0" w:color="auto"/>
            </w:tcBorders>
            <w:shd w:val="clear" w:color="auto" w:fill="D9D9D9" w:themeFill="background1" w:themeFillShade="D9"/>
            <w:vAlign w:val="center"/>
          </w:tcPr>
          <w:p w:rsidR="00447E56" w:rsidRPr="008A0882" w:rsidRDefault="00447E56" w:rsidP="00447E56">
            <w:pPr>
              <w:jc w:val="center"/>
              <w:rPr>
                <w:rFonts w:cs="Arial"/>
                <w:szCs w:val="24"/>
              </w:rPr>
            </w:pPr>
            <w:r w:rsidRPr="008A0882">
              <w:rPr>
                <w:rFonts w:cs="Arial"/>
                <w:szCs w:val="24"/>
              </w:rPr>
              <w:t>2017/18</w:t>
            </w:r>
          </w:p>
        </w:tc>
        <w:tc>
          <w:tcPr>
            <w:tcW w:w="1251"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23.5</w:t>
            </w:r>
          </w:p>
        </w:tc>
        <w:tc>
          <w:tcPr>
            <w:tcW w:w="1103"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15.7</w:t>
            </w:r>
          </w:p>
        </w:tc>
        <w:tc>
          <w:tcPr>
            <w:tcW w:w="1010"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25.3</w:t>
            </w:r>
          </w:p>
        </w:tc>
        <w:tc>
          <w:tcPr>
            <w:tcW w:w="960" w:type="dxa"/>
            <w:tcBorders>
              <w:top w:val="nil"/>
              <w:left w:val="nil"/>
              <w:bottom w:val="nil"/>
              <w:right w:val="single" w:sz="4" w:space="0" w:color="auto"/>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12.9</w:t>
            </w:r>
          </w:p>
        </w:tc>
        <w:tc>
          <w:tcPr>
            <w:tcW w:w="1251"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30.0</w:t>
            </w:r>
          </w:p>
        </w:tc>
        <w:tc>
          <w:tcPr>
            <w:tcW w:w="1103"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22.0</w:t>
            </w:r>
          </w:p>
        </w:tc>
        <w:tc>
          <w:tcPr>
            <w:tcW w:w="1010"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33.0</w:t>
            </w:r>
          </w:p>
        </w:tc>
        <w:tc>
          <w:tcPr>
            <w:tcW w:w="960" w:type="dxa"/>
            <w:tcBorders>
              <w:top w:val="nil"/>
              <w:left w:val="nil"/>
              <w:bottom w:val="nil"/>
              <w:right w:val="single" w:sz="4" w:space="0" w:color="auto"/>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0.0</w:t>
            </w:r>
          </w:p>
        </w:tc>
      </w:tr>
      <w:tr w:rsidR="00447E56" w:rsidRPr="008A0882" w:rsidTr="00447E56">
        <w:trPr>
          <w:trHeight w:val="288"/>
        </w:trPr>
        <w:tc>
          <w:tcPr>
            <w:tcW w:w="1120" w:type="dxa"/>
            <w:tcBorders>
              <w:top w:val="nil"/>
              <w:left w:val="single" w:sz="4" w:space="0" w:color="auto"/>
              <w:bottom w:val="nil"/>
              <w:right w:val="single" w:sz="4" w:space="0" w:color="auto"/>
            </w:tcBorders>
            <w:shd w:val="clear" w:color="auto" w:fill="D9D9D9" w:themeFill="background1" w:themeFillShade="D9"/>
            <w:vAlign w:val="center"/>
          </w:tcPr>
          <w:p w:rsidR="00447E56" w:rsidRPr="008A0882" w:rsidRDefault="00447E56" w:rsidP="00447E56">
            <w:pPr>
              <w:jc w:val="center"/>
              <w:rPr>
                <w:rFonts w:cs="Arial"/>
                <w:szCs w:val="24"/>
              </w:rPr>
            </w:pPr>
            <w:r w:rsidRPr="008A0882">
              <w:rPr>
                <w:rFonts w:cs="Arial"/>
                <w:szCs w:val="24"/>
              </w:rPr>
              <w:t>2016/17</w:t>
            </w:r>
          </w:p>
        </w:tc>
        <w:tc>
          <w:tcPr>
            <w:tcW w:w="1251"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25.3</w:t>
            </w:r>
          </w:p>
        </w:tc>
        <w:tc>
          <w:tcPr>
            <w:tcW w:w="1103"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16.6</w:t>
            </w:r>
          </w:p>
        </w:tc>
        <w:tc>
          <w:tcPr>
            <w:tcW w:w="1010"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27.8</w:t>
            </w:r>
          </w:p>
        </w:tc>
        <w:tc>
          <w:tcPr>
            <w:tcW w:w="960" w:type="dxa"/>
            <w:tcBorders>
              <w:top w:val="nil"/>
              <w:left w:val="nil"/>
              <w:bottom w:val="nil"/>
              <w:right w:val="single" w:sz="4" w:space="0" w:color="auto"/>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14.3</w:t>
            </w:r>
          </w:p>
        </w:tc>
        <w:tc>
          <w:tcPr>
            <w:tcW w:w="1251"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31.0</w:t>
            </w:r>
          </w:p>
        </w:tc>
        <w:tc>
          <w:tcPr>
            <w:tcW w:w="1103"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21.0</w:t>
            </w:r>
          </w:p>
        </w:tc>
        <w:tc>
          <w:tcPr>
            <w:tcW w:w="1010" w:type="dxa"/>
            <w:tcBorders>
              <w:top w:val="nil"/>
              <w:left w:val="nil"/>
              <w:bottom w:val="nil"/>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32.0</w:t>
            </w:r>
          </w:p>
        </w:tc>
        <w:tc>
          <w:tcPr>
            <w:tcW w:w="960" w:type="dxa"/>
            <w:tcBorders>
              <w:top w:val="nil"/>
              <w:left w:val="nil"/>
              <w:bottom w:val="nil"/>
              <w:right w:val="single" w:sz="4" w:space="0" w:color="auto"/>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0.0</w:t>
            </w:r>
          </w:p>
        </w:tc>
      </w:tr>
      <w:tr w:rsidR="00447E56" w:rsidRPr="008A0882" w:rsidTr="00447E56">
        <w:trPr>
          <w:trHeight w:val="288"/>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7E56" w:rsidRPr="008A0882" w:rsidRDefault="00447E56" w:rsidP="00447E56">
            <w:pPr>
              <w:jc w:val="center"/>
              <w:rPr>
                <w:rFonts w:cs="Arial"/>
                <w:szCs w:val="24"/>
              </w:rPr>
            </w:pPr>
            <w:r w:rsidRPr="008A0882">
              <w:rPr>
                <w:rFonts w:cs="Arial"/>
                <w:szCs w:val="24"/>
              </w:rPr>
              <w:t>2015/16</w:t>
            </w:r>
          </w:p>
        </w:tc>
        <w:tc>
          <w:tcPr>
            <w:tcW w:w="1251" w:type="dxa"/>
            <w:tcBorders>
              <w:top w:val="nil"/>
              <w:left w:val="nil"/>
              <w:bottom w:val="single" w:sz="4" w:space="0" w:color="auto"/>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22.9</w:t>
            </w:r>
          </w:p>
        </w:tc>
        <w:tc>
          <w:tcPr>
            <w:tcW w:w="1103" w:type="dxa"/>
            <w:tcBorders>
              <w:top w:val="nil"/>
              <w:left w:val="nil"/>
              <w:bottom w:val="single" w:sz="4" w:space="0" w:color="auto"/>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14.4</w:t>
            </w:r>
          </w:p>
        </w:tc>
        <w:tc>
          <w:tcPr>
            <w:tcW w:w="1010" w:type="dxa"/>
            <w:tcBorders>
              <w:top w:val="nil"/>
              <w:left w:val="nil"/>
              <w:bottom w:val="single" w:sz="4" w:space="0" w:color="auto"/>
              <w:right w:val="nil"/>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24.4</w:t>
            </w:r>
          </w:p>
        </w:tc>
        <w:tc>
          <w:tcPr>
            <w:tcW w:w="960" w:type="dxa"/>
            <w:tcBorders>
              <w:top w:val="nil"/>
              <w:left w:val="nil"/>
              <w:bottom w:val="single" w:sz="4" w:space="0" w:color="auto"/>
              <w:right w:val="single" w:sz="4" w:space="0" w:color="auto"/>
            </w:tcBorders>
            <w:shd w:val="clear" w:color="auto" w:fill="auto"/>
            <w:noWrap/>
            <w:vAlign w:val="bottom"/>
            <w:hideMark/>
          </w:tcPr>
          <w:p w:rsidR="00447E56" w:rsidRPr="008A0882" w:rsidRDefault="00447E56" w:rsidP="00447E56">
            <w:pPr>
              <w:jc w:val="center"/>
              <w:rPr>
                <w:rFonts w:cs="Arial"/>
                <w:szCs w:val="24"/>
              </w:rPr>
            </w:pPr>
            <w:r w:rsidRPr="008A0882">
              <w:rPr>
                <w:rFonts w:cs="Arial"/>
                <w:szCs w:val="24"/>
              </w:rPr>
              <w:t>11.1</w:t>
            </w:r>
          </w:p>
        </w:tc>
        <w:tc>
          <w:tcPr>
            <w:tcW w:w="1251" w:type="dxa"/>
            <w:tcBorders>
              <w:top w:val="nil"/>
              <w:left w:val="nil"/>
              <w:bottom w:val="single" w:sz="4" w:space="0" w:color="auto"/>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30.0</w:t>
            </w:r>
          </w:p>
        </w:tc>
        <w:tc>
          <w:tcPr>
            <w:tcW w:w="1103" w:type="dxa"/>
            <w:tcBorders>
              <w:top w:val="nil"/>
              <w:left w:val="nil"/>
              <w:bottom w:val="single" w:sz="4" w:space="0" w:color="auto"/>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20.0</w:t>
            </w:r>
          </w:p>
        </w:tc>
        <w:tc>
          <w:tcPr>
            <w:tcW w:w="1010" w:type="dxa"/>
            <w:tcBorders>
              <w:top w:val="nil"/>
              <w:left w:val="nil"/>
              <w:bottom w:val="single" w:sz="4" w:space="0" w:color="auto"/>
              <w:right w:val="nil"/>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447E56" w:rsidRPr="008A0882" w:rsidRDefault="00447E56" w:rsidP="00447E56">
            <w:pPr>
              <w:jc w:val="center"/>
              <w:rPr>
                <w:rFonts w:cs="Arial"/>
                <w:szCs w:val="22"/>
              </w:rPr>
            </w:pPr>
            <w:r w:rsidRPr="008A0882">
              <w:rPr>
                <w:rFonts w:cs="Arial"/>
                <w:szCs w:val="22"/>
              </w:rPr>
              <w:t>0.0</w:t>
            </w:r>
          </w:p>
        </w:tc>
      </w:tr>
    </w:tbl>
    <w:p w:rsidR="00447E56" w:rsidRPr="008A0882" w:rsidRDefault="00447E56" w:rsidP="00447E56">
      <w:pPr>
        <w:rPr>
          <w:rFonts w:cs="Arial"/>
          <w:sz w:val="10"/>
          <w:szCs w:val="10"/>
        </w:rPr>
      </w:pPr>
    </w:p>
    <w:p w:rsidR="00447E56" w:rsidRPr="008A0882" w:rsidRDefault="00447E56" w:rsidP="00447E56">
      <w:pPr>
        <w:pStyle w:val="ListParagraph"/>
        <w:numPr>
          <w:ilvl w:val="0"/>
          <w:numId w:val="8"/>
        </w:numPr>
        <w:spacing w:line="276" w:lineRule="auto"/>
        <w:ind w:left="426"/>
        <w:contextualSpacing w:val="0"/>
        <w:rPr>
          <w:rFonts w:cs="Arial"/>
          <w:sz w:val="10"/>
          <w:szCs w:val="10"/>
        </w:rPr>
      </w:pPr>
      <w:r w:rsidRPr="008A0882">
        <w:rPr>
          <w:rFonts w:cs="Arial"/>
        </w:rPr>
        <w:t>% of KS1 SEND pupils attaining the individual expected standard in Reading, Writing, Writing and Mathematics, and the combined measure, are al</w:t>
      </w:r>
      <w:r w:rsidR="007624A1">
        <w:rPr>
          <w:rFonts w:cs="Arial"/>
        </w:rPr>
        <w:t>l well below the 2019 National A</w:t>
      </w:r>
      <w:r w:rsidRPr="008A0882">
        <w:rPr>
          <w:rFonts w:cs="Arial"/>
        </w:rPr>
        <w:t>verages and do not show any clear trend over time</w:t>
      </w:r>
      <w:r w:rsidR="00E06197" w:rsidRPr="008A0882">
        <w:rPr>
          <w:rFonts w:cs="Arial"/>
        </w:rPr>
        <w:t>, although there is some improvement on 2017/18</w:t>
      </w:r>
      <w:r w:rsidRPr="008A0882">
        <w:rPr>
          <w:rFonts w:cs="Arial"/>
        </w:rPr>
        <w:t>.</w:t>
      </w:r>
    </w:p>
    <w:p w:rsidR="00C5170A" w:rsidRPr="0019496E" w:rsidRDefault="00D43E5B" w:rsidP="0019496E">
      <w:pPr>
        <w:pStyle w:val="ListParagraph"/>
        <w:numPr>
          <w:ilvl w:val="0"/>
          <w:numId w:val="8"/>
        </w:numPr>
        <w:spacing w:line="276" w:lineRule="auto"/>
        <w:ind w:left="426"/>
        <w:contextualSpacing w:val="0"/>
        <w:rPr>
          <w:rFonts w:cs="Arial"/>
          <w:sz w:val="10"/>
          <w:szCs w:val="10"/>
        </w:rPr>
      </w:pPr>
      <w:r w:rsidRPr="008A0882">
        <w:rPr>
          <w:rFonts w:cs="Arial"/>
        </w:rPr>
        <w:t>Results for SEND pupils a</w:t>
      </w:r>
      <w:r w:rsidR="00E06197" w:rsidRPr="008A0882">
        <w:rPr>
          <w:rFonts w:cs="Arial"/>
        </w:rPr>
        <w:t>t KS1 are well below those for a</w:t>
      </w:r>
      <w:r w:rsidRPr="008A0882">
        <w:rPr>
          <w:rFonts w:cs="Arial"/>
        </w:rPr>
        <w:t>ll pupils; whilst this is also the case nationally, the Lancashire gaps are larger.</w:t>
      </w:r>
    </w:p>
    <w:p w:rsidR="0019496E" w:rsidRPr="0019496E" w:rsidRDefault="0019496E" w:rsidP="0019496E">
      <w:pPr>
        <w:pStyle w:val="ListParagraph"/>
        <w:spacing w:line="276" w:lineRule="auto"/>
        <w:ind w:left="426"/>
        <w:contextualSpacing w:val="0"/>
        <w:rPr>
          <w:rFonts w:cs="Arial"/>
          <w:sz w:val="10"/>
          <w:szCs w:val="10"/>
        </w:rPr>
      </w:pPr>
    </w:p>
    <w:p w:rsidR="00C5170A" w:rsidRPr="008A0882" w:rsidRDefault="00C5170A" w:rsidP="00C5170A">
      <w:pPr>
        <w:autoSpaceDE w:val="0"/>
        <w:autoSpaceDN w:val="0"/>
        <w:adjustRightInd w:val="0"/>
        <w:spacing w:after="120"/>
        <w:jc w:val="both"/>
        <w:rPr>
          <w:rFonts w:cs="Arial"/>
          <w:b/>
        </w:rPr>
      </w:pPr>
      <w:r w:rsidRPr="008A0882">
        <w:rPr>
          <w:rFonts w:cs="Arial"/>
          <w:b/>
        </w:rPr>
        <w:t>Key Stage 1 (KS1) – Children Looked After (CLA) and Children in Need (CIN)</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180"/>
        <w:gridCol w:w="1424"/>
        <w:gridCol w:w="1424"/>
        <w:gridCol w:w="1424"/>
        <w:gridCol w:w="1424"/>
      </w:tblGrid>
      <w:tr w:rsidR="00C5170A" w:rsidRPr="008A0882" w:rsidTr="00636255">
        <w:trPr>
          <w:trHeight w:val="290"/>
        </w:trPr>
        <w:tc>
          <w:tcPr>
            <w:tcW w:w="1141" w:type="dxa"/>
            <w:shd w:val="clear" w:color="auto" w:fill="auto"/>
            <w:noWrap/>
            <w:vAlign w:val="bottom"/>
            <w:hideMark/>
          </w:tcPr>
          <w:p w:rsidR="00C5170A" w:rsidRPr="008A0882" w:rsidRDefault="00C5170A" w:rsidP="00636255">
            <w:pPr>
              <w:rPr>
                <w:rFonts w:cs="Arial"/>
                <w:szCs w:val="24"/>
              </w:rPr>
            </w:pPr>
          </w:p>
        </w:tc>
        <w:tc>
          <w:tcPr>
            <w:tcW w:w="2180" w:type="dxa"/>
            <w:shd w:val="clear" w:color="auto" w:fill="auto"/>
            <w:noWrap/>
            <w:vAlign w:val="bottom"/>
            <w:hideMark/>
          </w:tcPr>
          <w:p w:rsidR="00C5170A" w:rsidRPr="008A0882" w:rsidRDefault="00C5170A" w:rsidP="00636255">
            <w:pPr>
              <w:rPr>
                <w:rFonts w:cs="Arial"/>
              </w:rPr>
            </w:pPr>
          </w:p>
        </w:tc>
        <w:tc>
          <w:tcPr>
            <w:tcW w:w="2848" w:type="dxa"/>
            <w:gridSpan w:val="2"/>
            <w:shd w:val="clear" w:color="auto" w:fill="D9D9D9" w:themeFill="background1" w:themeFillShade="D9"/>
            <w:noWrap/>
            <w:vAlign w:val="bottom"/>
            <w:hideMark/>
          </w:tcPr>
          <w:p w:rsidR="00C5170A" w:rsidRPr="008A0882" w:rsidRDefault="00C5170A" w:rsidP="00636255">
            <w:pPr>
              <w:jc w:val="center"/>
              <w:rPr>
                <w:rFonts w:cs="Arial"/>
                <w:b/>
                <w:szCs w:val="22"/>
              </w:rPr>
            </w:pPr>
            <w:r w:rsidRPr="008A0882">
              <w:rPr>
                <w:rFonts w:cs="Arial"/>
                <w:b/>
                <w:szCs w:val="22"/>
              </w:rPr>
              <w:t>CLA</w:t>
            </w:r>
          </w:p>
        </w:tc>
        <w:tc>
          <w:tcPr>
            <w:tcW w:w="2848" w:type="dxa"/>
            <w:gridSpan w:val="2"/>
            <w:shd w:val="clear" w:color="auto" w:fill="D9D9D9" w:themeFill="background1" w:themeFillShade="D9"/>
          </w:tcPr>
          <w:p w:rsidR="00C5170A" w:rsidRPr="008A0882" w:rsidRDefault="00C5170A" w:rsidP="00636255">
            <w:pPr>
              <w:jc w:val="center"/>
              <w:rPr>
                <w:rFonts w:cs="Arial"/>
                <w:b/>
                <w:szCs w:val="22"/>
              </w:rPr>
            </w:pPr>
            <w:r w:rsidRPr="008A0882">
              <w:rPr>
                <w:rFonts w:cs="Arial"/>
                <w:b/>
                <w:szCs w:val="22"/>
              </w:rPr>
              <w:t>CIN</w:t>
            </w:r>
          </w:p>
        </w:tc>
      </w:tr>
      <w:tr w:rsidR="00C5170A" w:rsidRPr="008A0882" w:rsidTr="00636255">
        <w:trPr>
          <w:trHeight w:val="290"/>
        </w:trPr>
        <w:tc>
          <w:tcPr>
            <w:tcW w:w="1141" w:type="dxa"/>
            <w:shd w:val="clear" w:color="auto" w:fill="auto"/>
            <w:noWrap/>
            <w:vAlign w:val="bottom"/>
            <w:hideMark/>
          </w:tcPr>
          <w:p w:rsidR="00C5170A" w:rsidRPr="008A0882" w:rsidRDefault="00C5170A" w:rsidP="00636255">
            <w:pPr>
              <w:jc w:val="center"/>
              <w:rPr>
                <w:rFonts w:cs="Arial"/>
                <w:szCs w:val="22"/>
              </w:rPr>
            </w:pPr>
          </w:p>
        </w:tc>
        <w:tc>
          <w:tcPr>
            <w:tcW w:w="2180" w:type="dxa"/>
            <w:shd w:val="clear" w:color="auto" w:fill="auto"/>
            <w:noWrap/>
            <w:vAlign w:val="bottom"/>
            <w:hideMark/>
          </w:tcPr>
          <w:p w:rsidR="00C5170A" w:rsidRPr="008A0882" w:rsidRDefault="00C5170A" w:rsidP="00636255">
            <w:pPr>
              <w:rPr>
                <w:rFonts w:cs="Arial"/>
              </w:rPr>
            </w:pPr>
          </w:p>
        </w:tc>
        <w:tc>
          <w:tcPr>
            <w:tcW w:w="1424" w:type="dxa"/>
            <w:shd w:val="clear" w:color="auto" w:fill="D9D9D9" w:themeFill="background1" w:themeFillShade="D9"/>
            <w:noWrap/>
            <w:vAlign w:val="bottom"/>
            <w:hideMark/>
          </w:tcPr>
          <w:p w:rsidR="00C5170A" w:rsidRPr="008A0882" w:rsidRDefault="00C5170A" w:rsidP="00636255">
            <w:pPr>
              <w:jc w:val="center"/>
              <w:rPr>
                <w:rFonts w:cs="Arial"/>
                <w:b/>
                <w:szCs w:val="22"/>
              </w:rPr>
            </w:pPr>
            <w:r w:rsidRPr="008A0882">
              <w:rPr>
                <w:rFonts w:cs="Arial"/>
                <w:b/>
                <w:szCs w:val="22"/>
              </w:rPr>
              <w:t>No</w:t>
            </w:r>
          </w:p>
        </w:tc>
        <w:tc>
          <w:tcPr>
            <w:tcW w:w="1424" w:type="dxa"/>
            <w:shd w:val="clear" w:color="auto" w:fill="D9D9D9" w:themeFill="background1" w:themeFillShade="D9"/>
            <w:noWrap/>
            <w:vAlign w:val="bottom"/>
            <w:hideMark/>
          </w:tcPr>
          <w:p w:rsidR="00C5170A" w:rsidRPr="008A0882" w:rsidRDefault="00C5170A" w:rsidP="00C5170A">
            <w:pPr>
              <w:jc w:val="center"/>
              <w:rPr>
                <w:rFonts w:cs="Arial"/>
                <w:b/>
                <w:szCs w:val="22"/>
              </w:rPr>
            </w:pPr>
            <w:r w:rsidRPr="008A0882">
              <w:rPr>
                <w:rFonts w:cs="Arial"/>
                <w:b/>
                <w:szCs w:val="22"/>
              </w:rPr>
              <w:t>% RWM</w:t>
            </w:r>
          </w:p>
        </w:tc>
        <w:tc>
          <w:tcPr>
            <w:tcW w:w="1424" w:type="dxa"/>
            <w:shd w:val="clear" w:color="auto" w:fill="D9D9D9" w:themeFill="background1" w:themeFillShade="D9"/>
            <w:vAlign w:val="bottom"/>
          </w:tcPr>
          <w:p w:rsidR="00C5170A" w:rsidRPr="008A0882" w:rsidRDefault="00C5170A" w:rsidP="00636255">
            <w:pPr>
              <w:jc w:val="center"/>
              <w:rPr>
                <w:rFonts w:cs="Arial"/>
                <w:b/>
                <w:szCs w:val="22"/>
              </w:rPr>
            </w:pPr>
            <w:r w:rsidRPr="008A0882">
              <w:rPr>
                <w:rFonts w:cs="Arial"/>
                <w:b/>
                <w:szCs w:val="22"/>
              </w:rPr>
              <w:t>No</w:t>
            </w:r>
          </w:p>
        </w:tc>
        <w:tc>
          <w:tcPr>
            <w:tcW w:w="1424" w:type="dxa"/>
            <w:shd w:val="clear" w:color="auto" w:fill="D9D9D9" w:themeFill="background1" w:themeFillShade="D9"/>
            <w:vAlign w:val="bottom"/>
          </w:tcPr>
          <w:p w:rsidR="00C5170A" w:rsidRPr="008A0882" w:rsidRDefault="00C5170A" w:rsidP="00C5170A">
            <w:pPr>
              <w:jc w:val="center"/>
              <w:rPr>
                <w:rFonts w:cs="Arial"/>
                <w:b/>
                <w:szCs w:val="22"/>
              </w:rPr>
            </w:pPr>
            <w:r w:rsidRPr="008A0882">
              <w:rPr>
                <w:rFonts w:cs="Arial"/>
                <w:b/>
                <w:szCs w:val="22"/>
              </w:rPr>
              <w:t>% RWM</w:t>
            </w: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2018/19</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England</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1570</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37</w:t>
            </w:r>
          </w:p>
        </w:tc>
        <w:tc>
          <w:tcPr>
            <w:tcW w:w="1424" w:type="dxa"/>
          </w:tcPr>
          <w:p w:rsidR="00C5170A" w:rsidRPr="008A0882" w:rsidRDefault="00C5170A" w:rsidP="00C5170A">
            <w:pPr>
              <w:jc w:val="center"/>
              <w:rPr>
                <w:rFonts w:cs="Arial"/>
                <w:szCs w:val="22"/>
              </w:rPr>
            </w:pPr>
          </w:p>
        </w:tc>
        <w:tc>
          <w:tcPr>
            <w:tcW w:w="1424" w:type="dxa"/>
          </w:tcPr>
          <w:p w:rsidR="00C5170A" w:rsidRPr="008A0882" w:rsidRDefault="00C5170A" w:rsidP="00C5170A">
            <w:pPr>
              <w:jc w:val="center"/>
              <w:rPr>
                <w:rFonts w:cs="Arial"/>
                <w:szCs w:val="22"/>
              </w:rPr>
            </w:pP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2017/18</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England</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1690</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37</w:t>
            </w:r>
          </w:p>
        </w:tc>
        <w:tc>
          <w:tcPr>
            <w:tcW w:w="1424" w:type="dxa"/>
          </w:tcPr>
          <w:p w:rsidR="00C5170A" w:rsidRPr="008A0882" w:rsidRDefault="00C5170A" w:rsidP="00C5170A">
            <w:pPr>
              <w:jc w:val="center"/>
              <w:rPr>
                <w:rFonts w:cs="Arial"/>
                <w:szCs w:val="22"/>
              </w:rPr>
            </w:pPr>
          </w:p>
        </w:tc>
        <w:tc>
          <w:tcPr>
            <w:tcW w:w="1424" w:type="dxa"/>
          </w:tcPr>
          <w:p w:rsidR="00C5170A" w:rsidRPr="008A0882" w:rsidRDefault="00C5170A" w:rsidP="00C5170A">
            <w:pPr>
              <w:jc w:val="center"/>
              <w:rPr>
                <w:rFonts w:cs="Arial"/>
                <w:szCs w:val="22"/>
              </w:rPr>
            </w:pP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2018/19</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Lancashire</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48</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39.6</w:t>
            </w:r>
          </w:p>
        </w:tc>
        <w:tc>
          <w:tcPr>
            <w:tcW w:w="1424" w:type="dxa"/>
            <w:vAlign w:val="bottom"/>
          </w:tcPr>
          <w:p w:rsidR="00C5170A" w:rsidRPr="008A0882" w:rsidRDefault="00C5170A" w:rsidP="00C5170A">
            <w:pPr>
              <w:jc w:val="center"/>
              <w:rPr>
                <w:rFonts w:cs="Arial"/>
                <w:szCs w:val="22"/>
              </w:rPr>
            </w:pPr>
            <w:r w:rsidRPr="008A0882">
              <w:rPr>
                <w:rFonts w:cs="Arial"/>
                <w:szCs w:val="22"/>
              </w:rPr>
              <w:t>102</w:t>
            </w:r>
          </w:p>
        </w:tc>
        <w:tc>
          <w:tcPr>
            <w:tcW w:w="1424" w:type="dxa"/>
            <w:vAlign w:val="bottom"/>
          </w:tcPr>
          <w:p w:rsidR="00C5170A" w:rsidRPr="008A0882" w:rsidRDefault="00C5170A" w:rsidP="00C5170A">
            <w:pPr>
              <w:jc w:val="center"/>
              <w:rPr>
                <w:rFonts w:cs="Arial"/>
                <w:szCs w:val="22"/>
              </w:rPr>
            </w:pPr>
            <w:r w:rsidRPr="008A0882">
              <w:rPr>
                <w:rFonts w:cs="Arial"/>
                <w:szCs w:val="22"/>
              </w:rPr>
              <w:t>28.4</w:t>
            </w: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2017/18</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Lancashire</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77</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36.4</w:t>
            </w:r>
          </w:p>
        </w:tc>
        <w:tc>
          <w:tcPr>
            <w:tcW w:w="1424" w:type="dxa"/>
            <w:vAlign w:val="bottom"/>
          </w:tcPr>
          <w:p w:rsidR="00C5170A" w:rsidRPr="008A0882" w:rsidRDefault="00C5170A" w:rsidP="00C5170A">
            <w:pPr>
              <w:jc w:val="center"/>
              <w:rPr>
                <w:rFonts w:cs="Arial"/>
                <w:szCs w:val="22"/>
              </w:rPr>
            </w:pPr>
            <w:r w:rsidRPr="008A0882">
              <w:rPr>
                <w:rFonts w:cs="Arial"/>
                <w:szCs w:val="22"/>
              </w:rPr>
              <w:t>94</w:t>
            </w:r>
          </w:p>
        </w:tc>
        <w:tc>
          <w:tcPr>
            <w:tcW w:w="1424" w:type="dxa"/>
            <w:vAlign w:val="bottom"/>
          </w:tcPr>
          <w:p w:rsidR="00C5170A" w:rsidRPr="008A0882" w:rsidRDefault="00C5170A" w:rsidP="00C5170A">
            <w:pPr>
              <w:jc w:val="center"/>
              <w:rPr>
                <w:rFonts w:cs="Arial"/>
                <w:szCs w:val="22"/>
              </w:rPr>
            </w:pPr>
            <w:r w:rsidRPr="008A0882">
              <w:rPr>
                <w:rFonts w:cs="Arial"/>
                <w:szCs w:val="22"/>
              </w:rPr>
              <w:t>41.5</w:t>
            </w:r>
          </w:p>
        </w:tc>
      </w:tr>
    </w:tbl>
    <w:p w:rsidR="00C5170A" w:rsidRPr="008A0882" w:rsidRDefault="00C5170A" w:rsidP="00C5170A">
      <w:pPr>
        <w:autoSpaceDE w:val="0"/>
        <w:autoSpaceDN w:val="0"/>
        <w:adjustRightInd w:val="0"/>
        <w:jc w:val="both"/>
        <w:rPr>
          <w:rFonts w:cs="Arial"/>
          <w:b/>
        </w:rPr>
      </w:pPr>
    </w:p>
    <w:p w:rsidR="00C5170A" w:rsidRPr="008A0882" w:rsidRDefault="00C5170A" w:rsidP="00C5170A">
      <w:pPr>
        <w:pStyle w:val="ListParagraph"/>
        <w:numPr>
          <w:ilvl w:val="0"/>
          <w:numId w:val="6"/>
        </w:numPr>
        <w:contextualSpacing w:val="0"/>
        <w:rPr>
          <w:rFonts w:cs="Arial"/>
          <w:b/>
        </w:rPr>
      </w:pPr>
      <w:r w:rsidRPr="008A0882">
        <w:rPr>
          <w:rFonts w:cs="Arial"/>
        </w:rPr>
        <w:t>The proportion of CLA attaining the combined expected standard improved above national in 2018/19.</w:t>
      </w:r>
    </w:p>
    <w:p w:rsidR="00C5170A" w:rsidRPr="008A0882" w:rsidRDefault="00C5170A" w:rsidP="00C5170A">
      <w:pPr>
        <w:pStyle w:val="ListParagraph"/>
        <w:numPr>
          <w:ilvl w:val="0"/>
          <w:numId w:val="6"/>
        </w:numPr>
        <w:contextualSpacing w:val="0"/>
        <w:rPr>
          <w:rFonts w:cs="Arial"/>
          <w:b/>
        </w:rPr>
      </w:pPr>
      <w:r w:rsidRPr="008A0882">
        <w:rPr>
          <w:rFonts w:cs="Arial"/>
        </w:rPr>
        <w:t>The proportion of CIN attaining the combined expected st</w:t>
      </w:r>
      <w:r w:rsidR="00E06197" w:rsidRPr="008A0882">
        <w:rPr>
          <w:rFonts w:cs="Arial"/>
        </w:rPr>
        <w:t xml:space="preserve">andard fell sharply in 2018/19 </w:t>
      </w:r>
      <w:r w:rsidRPr="008A0882">
        <w:rPr>
          <w:rFonts w:cs="Arial"/>
        </w:rPr>
        <w:t>(there are no comparative national figures for CIN).</w:t>
      </w:r>
    </w:p>
    <w:p w:rsidR="00C5170A" w:rsidRPr="008A0882" w:rsidRDefault="00C5170A" w:rsidP="00C5170A">
      <w:pPr>
        <w:pStyle w:val="ListParagraph"/>
        <w:numPr>
          <w:ilvl w:val="0"/>
          <w:numId w:val="6"/>
        </w:numPr>
        <w:contextualSpacing w:val="0"/>
        <w:rPr>
          <w:rFonts w:cs="Arial"/>
          <w:b/>
        </w:rPr>
      </w:pPr>
      <w:r w:rsidRPr="008A0882">
        <w:rPr>
          <w:rFonts w:cs="Arial"/>
        </w:rPr>
        <w:t>The proportions of both groups of pupils attaining the combined expected standard are well below the average for all pupils.</w:t>
      </w:r>
    </w:p>
    <w:p w:rsidR="00AB543E" w:rsidRPr="008A0882" w:rsidRDefault="00AB543E" w:rsidP="00AB543E">
      <w:pPr>
        <w:rPr>
          <w:rFonts w:cs="Arial"/>
          <w:b/>
          <w:sz w:val="10"/>
          <w:szCs w:val="10"/>
        </w:rPr>
      </w:pPr>
    </w:p>
    <w:p w:rsidR="00C5170A" w:rsidRPr="008A0882" w:rsidRDefault="00C5170A" w:rsidP="00AB543E">
      <w:pPr>
        <w:rPr>
          <w:rFonts w:cs="Arial"/>
          <w:b/>
          <w:color w:val="4472C4" w:themeColor="accent5"/>
          <w:sz w:val="10"/>
          <w:szCs w:val="10"/>
        </w:rPr>
      </w:pPr>
    </w:p>
    <w:p w:rsidR="00AB543E" w:rsidRPr="008A0882" w:rsidRDefault="00AB543E" w:rsidP="00AB543E">
      <w:pPr>
        <w:rPr>
          <w:rFonts w:cs="Arial"/>
          <w:b/>
        </w:rPr>
      </w:pPr>
      <w:r w:rsidRPr="008A0882">
        <w:rPr>
          <w:rFonts w:cs="Arial"/>
          <w:b/>
        </w:rPr>
        <w:t>Key Stage 2 (KS2) – All pupils</w:t>
      </w:r>
    </w:p>
    <w:p w:rsidR="00515775" w:rsidRPr="008A0882" w:rsidRDefault="00515775" w:rsidP="00AB543E">
      <w:pPr>
        <w:rPr>
          <w:rFonts w:cs="Arial"/>
          <w:b/>
        </w:rPr>
      </w:pPr>
    </w:p>
    <w:p w:rsidR="008A0882" w:rsidRPr="008A0882" w:rsidRDefault="00515775" w:rsidP="00FA3449">
      <w:pPr>
        <w:autoSpaceDE w:val="0"/>
        <w:autoSpaceDN w:val="0"/>
        <w:adjustRightInd w:val="0"/>
        <w:spacing w:after="120"/>
        <w:jc w:val="both"/>
        <w:rPr>
          <w:rFonts w:cs="Arial"/>
          <w:color w:val="000000"/>
        </w:rPr>
      </w:pPr>
      <w:r w:rsidRPr="008A0882">
        <w:rPr>
          <w:rFonts w:cs="Arial"/>
          <w:color w:val="000000"/>
        </w:rPr>
        <w:t>Headline progress measures show that Writing outcomes are strong, progress in Maths is in line with national</w:t>
      </w:r>
      <w:r w:rsidR="0019496E">
        <w:rPr>
          <w:rFonts w:cs="Arial"/>
          <w:color w:val="000000"/>
        </w:rPr>
        <w:t xml:space="preserve"> and progress in Reading is low.</w:t>
      </w:r>
    </w:p>
    <w:p w:rsidR="00AB543E" w:rsidRPr="008A0882" w:rsidRDefault="00AB543E" w:rsidP="00AB543E">
      <w:pPr>
        <w:rPr>
          <w:rFonts w:cs="Arial"/>
          <w:b/>
          <w:color w:val="4472C4" w:themeColor="accent5"/>
          <w:sz w:val="10"/>
          <w:szCs w:val="10"/>
        </w:rPr>
      </w:pPr>
    </w:p>
    <w:tbl>
      <w:tblPr>
        <w:tblW w:w="9225" w:type="dxa"/>
        <w:tblLook w:val="04A0" w:firstRow="1" w:lastRow="0" w:firstColumn="1" w:lastColumn="0" w:noHBand="0" w:noVBand="1"/>
      </w:tblPr>
      <w:tblGrid>
        <w:gridCol w:w="1129"/>
        <w:gridCol w:w="1251"/>
        <w:gridCol w:w="1103"/>
        <w:gridCol w:w="1010"/>
        <w:gridCol w:w="960"/>
        <w:gridCol w:w="1251"/>
        <w:gridCol w:w="1103"/>
        <w:gridCol w:w="1010"/>
        <w:gridCol w:w="960"/>
      </w:tblGrid>
      <w:tr w:rsidR="00AB543E" w:rsidRPr="008A0882" w:rsidTr="00AB543E">
        <w:trPr>
          <w:cantSplit/>
          <w:trHeight w:val="288"/>
        </w:trPr>
        <w:tc>
          <w:tcPr>
            <w:tcW w:w="1129" w:type="dxa"/>
            <w:tcBorders>
              <w:top w:val="single" w:sz="4"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b/>
                <w:color w:val="000000"/>
                <w:szCs w:val="24"/>
              </w:rPr>
            </w:pPr>
            <w:r w:rsidRPr="008A0882">
              <w:rPr>
                <w:rFonts w:cs="Arial"/>
                <w:b/>
                <w:color w:val="000000"/>
                <w:szCs w:val="24"/>
              </w:rPr>
              <w:t>KS2 Results</w:t>
            </w:r>
          </w:p>
        </w:tc>
        <w:tc>
          <w:tcPr>
            <w:tcW w:w="4138" w:type="dxa"/>
            <w:gridSpan w:val="4"/>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Lancashire</w:t>
            </w:r>
          </w:p>
        </w:tc>
        <w:tc>
          <w:tcPr>
            <w:tcW w:w="3958"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England</w:t>
            </w:r>
          </w:p>
        </w:tc>
      </w:tr>
      <w:tr w:rsidR="00AB543E" w:rsidRPr="008A0882" w:rsidTr="00AB543E">
        <w:trPr>
          <w:cantSplit/>
          <w:trHeight w:val="288"/>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Year</w:t>
            </w:r>
          </w:p>
        </w:tc>
        <w:tc>
          <w:tcPr>
            <w:tcW w:w="1226" w:type="dxa"/>
            <w:tcBorders>
              <w:top w:val="single" w:sz="4" w:space="0" w:color="auto"/>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c>
          <w:tcPr>
            <w:tcW w:w="1046"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r>
      <w:tr w:rsidR="00AB543E" w:rsidRPr="008A0882" w:rsidTr="00AB543E">
        <w:trPr>
          <w:cantSplit/>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2018/19</w:t>
            </w:r>
          </w:p>
        </w:tc>
        <w:tc>
          <w:tcPr>
            <w:tcW w:w="122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72.3</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78.1</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78.4</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64.0</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73.0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78.0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79.0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65.0</w:t>
            </w:r>
          </w:p>
        </w:tc>
      </w:tr>
      <w:tr w:rsidR="00AB543E" w:rsidRPr="008A0882" w:rsidTr="00AB543E">
        <w:trPr>
          <w:cantSplit/>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2017/18</w:t>
            </w:r>
          </w:p>
        </w:tc>
        <w:tc>
          <w:tcPr>
            <w:tcW w:w="122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75.9</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78.2</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76.2</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64.8</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75.0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78.0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76.0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64.0</w:t>
            </w:r>
          </w:p>
        </w:tc>
      </w:tr>
      <w:tr w:rsidR="00AB543E" w:rsidRPr="008A0882" w:rsidTr="00AB543E">
        <w:trPr>
          <w:cantSplit/>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2016/17</w:t>
            </w:r>
          </w:p>
        </w:tc>
        <w:tc>
          <w:tcPr>
            <w:tcW w:w="122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71.2</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77.4</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75.5</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61.0</w:t>
            </w:r>
          </w:p>
        </w:tc>
        <w:tc>
          <w:tcPr>
            <w:tcW w:w="104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71.0</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76.0</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75.0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61.0</w:t>
            </w:r>
          </w:p>
        </w:tc>
      </w:tr>
      <w:tr w:rsidR="00AB543E" w:rsidRPr="008A0882" w:rsidTr="00AB543E">
        <w:trPr>
          <w:cantSplit/>
          <w:trHeight w:val="288"/>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2015/16</w:t>
            </w:r>
          </w:p>
        </w:tc>
        <w:tc>
          <w:tcPr>
            <w:tcW w:w="1226"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65.4</w:t>
            </w:r>
          </w:p>
        </w:tc>
        <w:tc>
          <w:tcPr>
            <w:tcW w:w="992"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77.5</w:t>
            </w:r>
          </w:p>
        </w:tc>
        <w:tc>
          <w:tcPr>
            <w:tcW w:w="960"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70.0</w:t>
            </w:r>
          </w:p>
        </w:tc>
        <w:tc>
          <w:tcPr>
            <w:tcW w:w="960" w:type="dxa"/>
            <w:tcBorders>
              <w:top w:val="nil"/>
              <w:left w:val="nil"/>
              <w:bottom w:val="single" w:sz="4" w:space="0" w:color="auto"/>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54.3</w:t>
            </w:r>
          </w:p>
        </w:tc>
        <w:tc>
          <w:tcPr>
            <w:tcW w:w="1046"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66.0</w:t>
            </w:r>
          </w:p>
        </w:tc>
        <w:tc>
          <w:tcPr>
            <w:tcW w:w="992"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74.0</w:t>
            </w:r>
          </w:p>
        </w:tc>
        <w:tc>
          <w:tcPr>
            <w:tcW w:w="960" w:type="dxa"/>
            <w:tcBorders>
              <w:top w:val="nil"/>
              <w:left w:val="nil"/>
              <w:bottom w:val="single" w:sz="4" w:space="0" w:color="auto"/>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70.0</w:t>
            </w:r>
          </w:p>
        </w:tc>
        <w:tc>
          <w:tcPr>
            <w:tcW w:w="960" w:type="dxa"/>
            <w:tcBorders>
              <w:top w:val="nil"/>
              <w:left w:val="nil"/>
              <w:bottom w:val="single" w:sz="4" w:space="0" w:color="auto"/>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54.0</w:t>
            </w:r>
          </w:p>
        </w:tc>
      </w:tr>
    </w:tbl>
    <w:p w:rsidR="00AB543E" w:rsidRPr="008A0882" w:rsidRDefault="00AB543E" w:rsidP="00AB543E">
      <w:pPr>
        <w:rPr>
          <w:rFonts w:cs="Arial"/>
          <w:color w:val="000000" w:themeColor="text1"/>
          <w:sz w:val="10"/>
          <w:szCs w:val="10"/>
        </w:rPr>
      </w:pPr>
    </w:p>
    <w:p w:rsidR="00AB543E" w:rsidRPr="008A0882" w:rsidRDefault="00AB543E" w:rsidP="00AB543E">
      <w:pPr>
        <w:pStyle w:val="ListParagraph"/>
        <w:numPr>
          <w:ilvl w:val="0"/>
          <w:numId w:val="9"/>
        </w:numPr>
        <w:spacing w:line="276" w:lineRule="auto"/>
        <w:ind w:left="426" w:hanging="284"/>
        <w:contextualSpacing w:val="0"/>
        <w:rPr>
          <w:rFonts w:cs="Arial"/>
          <w:sz w:val="10"/>
          <w:szCs w:val="10"/>
        </w:rPr>
      </w:pPr>
      <w:r w:rsidRPr="008A0882">
        <w:rPr>
          <w:rFonts w:cs="Arial"/>
          <w:color w:val="000000" w:themeColor="text1"/>
        </w:rPr>
        <w:t>The proportion</w:t>
      </w:r>
      <w:r w:rsidRPr="008A0882">
        <w:rPr>
          <w:rFonts w:cs="Arial"/>
        </w:rPr>
        <w:t xml:space="preserve"> of KS2 pupils atta</w:t>
      </w:r>
      <w:r w:rsidR="00503517" w:rsidRPr="008A0882">
        <w:rPr>
          <w:rFonts w:cs="Arial"/>
        </w:rPr>
        <w:t>ining the expected standard in W</w:t>
      </w:r>
      <w:r w:rsidRPr="008A0882">
        <w:rPr>
          <w:rFonts w:cs="Arial"/>
        </w:rPr>
        <w:t>rit</w:t>
      </w:r>
      <w:r w:rsidR="007624A1">
        <w:rPr>
          <w:rFonts w:cs="Arial"/>
        </w:rPr>
        <w:t>ing is above the 2019 National A</w:t>
      </w:r>
      <w:r w:rsidRPr="008A0882">
        <w:rPr>
          <w:rFonts w:cs="Arial"/>
        </w:rPr>
        <w:t>verage. In both Reading and Mathematics thi</w:t>
      </w:r>
      <w:r w:rsidR="007624A1">
        <w:rPr>
          <w:rFonts w:cs="Arial"/>
        </w:rPr>
        <w:t xml:space="preserve">s % is below </w:t>
      </w:r>
      <w:r w:rsidR="007624A1">
        <w:rPr>
          <w:rFonts w:cs="Arial"/>
        </w:rPr>
        <w:lastRenderedPageBreak/>
        <w:t>the 2019 National A</w:t>
      </w:r>
      <w:r w:rsidRPr="008A0882">
        <w:rPr>
          <w:rFonts w:cs="Arial"/>
        </w:rPr>
        <w:t>verage. Reading and Writing 2019 outcomes are below Lancashire 2018 figures with Maths above. 4 year upward trend in maths, but national improvement is 0.6% higher.</w:t>
      </w:r>
    </w:p>
    <w:p w:rsidR="00AB543E" w:rsidRPr="008A0882" w:rsidRDefault="00AB543E" w:rsidP="00AB543E">
      <w:pPr>
        <w:pStyle w:val="ListParagraph"/>
        <w:numPr>
          <w:ilvl w:val="0"/>
          <w:numId w:val="9"/>
        </w:numPr>
        <w:spacing w:line="276" w:lineRule="auto"/>
        <w:ind w:left="426" w:hanging="284"/>
        <w:contextualSpacing w:val="0"/>
        <w:rPr>
          <w:rFonts w:cs="Arial"/>
          <w:sz w:val="10"/>
          <w:szCs w:val="10"/>
        </w:rPr>
      </w:pPr>
      <w:r w:rsidRPr="008A0882">
        <w:rPr>
          <w:rFonts w:cs="Arial"/>
          <w:color w:val="000000" w:themeColor="text1"/>
        </w:rPr>
        <w:t>The proportion</w:t>
      </w:r>
      <w:r w:rsidRPr="008A0882">
        <w:rPr>
          <w:rFonts w:cs="Arial"/>
        </w:rPr>
        <w:t xml:space="preserve"> of KS2 pupils attaining the combined expected standard in Reading, Writing and Mathematics i</w:t>
      </w:r>
      <w:r w:rsidR="007624A1">
        <w:rPr>
          <w:rFonts w:cs="Arial"/>
        </w:rPr>
        <w:t>s below both the 2019 National A</w:t>
      </w:r>
      <w:r w:rsidRPr="008A0882">
        <w:rPr>
          <w:rFonts w:cs="Arial"/>
        </w:rPr>
        <w:t>verage and Lancashire 2018 outcomes.</w:t>
      </w:r>
    </w:p>
    <w:p w:rsidR="008A0882" w:rsidRPr="0019496E" w:rsidRDefault="008A0882" w:rsidP="0019496E">
      <w:pPr>
        <w:spacing w:line="276" w:lineRule="auto"/>
        <w:rPr>
          <w:rFonts w:cs="Arial"/>
          <w:sz w:val="10"/>
          <w:szCs w:val="10"/>
        </w:rPr>
      </w:pPr>
    </w:p>
    <w:p w:rsidR="00AB543E" w:rsidRPr="008A0882" w:rsidRDefault="00AB543E" w:rsidP="00AB543E">
      <w:pPr>
        <w:pStyle w:val="ListParagraph"/>
        <w:ind w:left="426"/>
        <w:contextualSpacing w:val="0"/>
        <w:rPr>
          <w:rFonts w:cs="Arial"/>
          <w:color w:val="000000" w:themeColor="text1"/>
          <w:sz w:val="10"/>
          <w:szCs w:val="10"/>
        </w:rPr>
      </w:pPr>
    </w:p>
    <w:p w:rsidR="00AB543E" w:rsidRPr="008A0882" w:rsidRDefault="00AB543E" w:rsidP="00AB543E">
      <w:pPr>
        <w:rPr>
          <w:rFonts w:cs="Arial"/>
          <w:b/>
        </w:rPr>
      </w:pPr>
      <w:r w:rsidRPr="008A0882">
        <w:rPr>
          <w:rFonts w:cs="Arial"/>
          <w:b/>
        </w:rPr>
        <w:t>Key Stage 2 (KS2) – Disadvantaged (FSM)</w:t>
      </w:r>
    </w:p>
    <w:p w:rsidR="00AB543E" w:rsidRPr="008A0882" w:rsidRDefault="00AB543E" w:rsidP="00AB543E">
      <w:pPr>
        <w:rPr>
          <w:rFonts w:cs="Arial"/>
          <w:b/>
          <w:i/>
          <w:color w:val="000000" w:themeColor="text1"/>
          <w:sz w:val="10"/>
          <w:szCs w:val="10"/>
        </w:rPr>
      </w:pPr>
    </w:p>
    <w:tbl>
      <w:tblPr>
        <w:tblW w:w="9225" w:type="dxa"/>
        <w:tblLook w:val="04A0" w:firstRow="1" w:lastRow="0" w:firstColumn="1" w:lastColumn="0" w:noHBand="0" w:noVBand="1"/>
      </w:tblPr>
      <w:tblGrid>
        <w:gridCol w:w="1129"/>
        <w:gridCol w:w="1251"/>
        <w:gridCol w:w="1103"/>
        <w:gridCol w:w="1010"/>
        <w:gridCol w:w="960"/>
        <w:gridCol w:w="1251"/>
        <w:gridCol w:w="1103"/>
        <w:gridCol w:w="1010"/>
        <w:gridCol w:w="960"/>
      </w:tblGrid>
      <w:tr w:rsidR="00AB543E" w:rsidRPr="008A0882" w:rsidTr="00AB543E">
        <w:trPr>
          <w:trHeight w:val="288"/>
        </w:trPr>
        <w:tc>
          <w:tcPr>
            <w:tcW w:w="1129" w:type="dxa"/>
            <w:tcBorders>
              <w:top w:val="single" w:sz="4"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jc w:val="center"/>
              <w:rPr>
                <w:rFonts w:cs="Arial"/>
                <w:b/>
                <w:color w:val="000000"/>
                <w:szCs w:val="24"/>
              </w:rPr>
            </w:pPr>
            <w:r w:rsidRPr="008A0882">
              <w:rPr>
                <w:rFonts w:cs="Arial"/>
                <w:b/>
                <w:color w:val="000000"/>
                <w:szCs w:val="24"/>
              </w:rPr>
              <w:t>KS2 (FSM)</w:t>
            </w:r>
          </w:p>
        </w:tc>
        <w:tc>
          <w:tcPr>
            <w:tcW w:w="4138" w:type="dxa"/>
            <w:gridSpan w:val="4"/>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Lancashire (%)</w:t>
            </w:r>
          </w:p>
        </w:tc>
        <w:tc>
          <w:tcPr>
            <w:tcW w:w="3958"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Cs w:val="24"/>
              </w:rPr>
            </w:pPr>
            <w:r w:rsidRPr="008A0882">
              <w:rPr>
                <w:rFonts w:cs="Arial"/>
                <w:b/>
                <w:bCs/>
                <w:color w:val="000000"/>
                <w:szCs w:val="24"/>
              </w:rPr>
              <w:t>England (%)</w:t>
            </w:r>
          </w:p>
        </w:tc>
      </w:tr>
      <w:tr w:rsidR="00AB543E" w:rsidRPr="008A0882" w:rsidTr="00AB543E">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Year</w:t>
            </w:r>
          </w:p>
        </w:tc>
        <w:tc>
          <w:tcPr>
            <w:tcW w:w="1226" w:type="dxa"/>
            <w:tcBorders>
              <w:top w:val="single" w:sz="4" w:space="0" w:color="auto"/>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c>
          <w:tcPr>
            <w:tcW w:w="1046"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Reading+</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Writing+</w:t>
            </w:r>
          </w:p>
        </w:tc>
        <w:tc>
          <w:tcPr>
            <w:tcW w:w="960"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Maths+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Cs w:val="24"/>
              </w:rPr>
            </w:pPr>
            <w:r w:rsidRPr="008A0882">
              <w:rPr>
                <w:rFonts w:cs="Arial"/>
                <w:color w:val="000000"/>
                <w:szCs w:val="24"/>
              </w:rPr>
              <w:t>RWM+</w:t>
            </w:r>
          </w:p>
        </w:tc>
      </w:tr>
      <w:tr w:rsidR="00AB543E" w:rsidRPr="008A0882" w:rsidTr="00AB543E">
        <w:trPr>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2018/19</w:t>
            </w:r>
          </w:p>
        </w:tc>
        <w:tc>
          <w:tcPr>
            <w:tcW w:w="1226"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56.9</w:t>
            </w:r>
          </w:p>
        </w:tc>
        <w:tc>
          <w:tcPr>
            <w:tcW w:w="992"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60.9</w:t>
            </w:r>
          </w:p>
        </w:tc>
        <w:tc>
          <w:tcPr>
            <w:tcW w:w="960" w:type="dxa"/>
            <w:tcBorders>
              <w:top w:val="nil"/>
              <w:left w:val="nil"/>
              <w:bottom w:val="nil"/>
              <w:right w:val="nil"/>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62.0</w:t>
            </w:r>
          </w:p>
        </w:tc>
        <w:tc>
          <w:tcPr>
            <w:tcW w:w="960" w:type="dxa"/>
            <w:tcBorders>
              <w:top w:val="nil"/>
              <w:left w:val="nil"/>
              <w:bottom w:val="nil"/>
              <w:right w:val="single" w:sz="4" w:space="0" w:color="auto"/>
            </w:tcBorders>
            <w:shd w:val="clear" w:color="auto" w:fill="auto"/>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45.4</w:t>
            </w:r>
          </w:p>
        </w:tc>
        <w:tc>
          <w:tcPr>
            <w:tcW w:w="1046"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58.0</w:t>
            </w:r>
          </w:p>
        </w:tc>
        <w:tc>
          <w:tcPr>
            <w:tcW w:w="992"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64.0</w:t>
            </w:r>
          </w:p>
        </w:tc>
        <w:tc>
          <w:tcPr>
            <w:tcW w:w="960"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63.0</w:t>
            </w:r>
          </w:p>
        </w:tc>
        <w:tc>
          <w:tcPr>
            <w:tcW w:w="960" w:type="dxa"/>
            <w:tcBorders>
              <w:top w:val="nil"/>
              <w:left w:val="nil"/>
              <w:bottom w:val="nil"/>
              <w:right w:val="single" w:sz="4" w:space="0" w:color="auto"/>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47.5</w:t>
            </w:r>
          </w:p>
        </w:tc>
      </w:tr>
      <w:tr w:rsidR="00AB543E" w:rsidRPr="008A0882" w:rsidTr="00AB543E">
        <w:trPr>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2017/18</w:t>
            </w:r>
          </w:p>
        </w:tc>
        <w:tc>
          <w:tcPr>
            <w:tcW w:w="1226" w:type="dxa"/>
            <w:tcBorders>
              <w:top w:val="nil"/>
              <w:left w:val="nil"/>
              <w:bottom w:val="nil"/>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58.3</w:t>
            </w:r>
          </w:p>
        </w:tc>
        <w:tc>
          <w:tcPr>
            <w:tcW w:w="992" w:type="dxa"/>
            <w:tcBorders>
              <w:top w:val="nil"/>
              <w:left w:val="nil"/>
              <w:bottom w:val="nil"/>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59.1</w:t>
            </w:r>
          </w:p>
        </w:tc>
        <w:tc>
          <w:tcPr>
            <w:tcW w:w="960" w:type="dxa"/>
            <w:tcBorders>
              <w:top w:val="nil"/>
              <w:left w:val="nil"/>
              <w:bottom w:val="nil"/>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58.4</w:t>
            </w:r>
          </w:p>
        </w:tc>
        <w:tc>
          <w:tcPr>
            <w:tcW w:w="960" w:type="dxa"/>
            <w:tcBorders>
              <w:top w:val="nil"/>
              <w:left w:val="nil"/>
              <w:bottom w:val="nil"/>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42.7</w:t>
            </w:r>
          </w:p>
        </w:tc>
        <w:tc>
          <w:tcPr>
            <w:tcW w:w="1046"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60.1</w:t>
            </w:r>
          </w:p>
        </w:tc>
        <w:tc>
          <w:tcPr>
            <w:tcW w:w="992"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62.6</w:t>
            </w:r>
          </w:p>
        </w:tc>
        <w:tc>
          <w:tcPr>
            <w:tcW w:w="960"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59.4</w:t>
            </w:r>
          </w:p>
        </w:tc>
        <w:tc>
          <w:tcPr>
            <w:tcW w:w="960" w:type="dxa"/>
            <w:tcBorders>
              <w:top w:val="nil"/>
              <w:left w:val="nil"/>
              <w:bottom w:val="nil"/>
              <w:right w:val="single" w:sz="4" w:space="0" w:color="auto"/>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46.1</w:t>
            </w:r>
          </w:p>
        </w:tc>
      </w:tr>
      <w:tr w:rsidR="00AB543E" w:rsidRPr="008A0882" w:rsidTr="00AB543E">
        <w:trPr>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2016/17</w:t>
            </w:r>
          </w:p>
        </w:tc>
        <w:tc>
          <w:tcPr>
            <w:tcW w:w="1226" w:type="dxa"/>
            <w:tcBorders>
              <w:top w:val="nil"/>
              <w:left w:val="nil"/>
              <w:bottom w:val="nil"/>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52.3</w:t>
            </w:r>
          </w:p>
        </w:tc>
        <w:tc>
          <w:tcPr>
            <w:tcW w:w="992" w:type="dxa"/>
            <w:tcBorders>
              <w:top w:val="nil"/>
              <w:left w:val="nil"/>
              <w:bottom w:val="nil"/>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58.8</w:t>
            </w:r>
          </w:p>
        </w:tc>
        <w:tc>
          <w:tcPr>
            <w:tcW w:w="960" w:type="dxa"/>
            <w:tcBorders>
              <w:top w:val="nil"/>
              <w:left w:val="nil"/>
              <w:bottom w:val="nil"/>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56.9</w:t>
            </w:r>
          </w:p>
        </w:tc>
        <w:tc>
          <w:tcPr>
            <w:tcW w:w="960" w:type="dxa"/>
            <w:tcBorders>
              <w:top w:val="nil"/>
              <w:left w:val="nil"/>
              <w:bottom w:val="nil"/>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39.4</w:t>
            </w:r>
          </w:p>
        </w:tc>
        <w:tc>
          <w:tcPr>
            <w:tcW w:w="1046"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55.0</w:t>
            </w:r>
          </w:p>
        </w:tc>
        <w:tc>
          <w:tcPr>
            <w:tcW w:w="992"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61.0</w:t>
            </w:r>
          </w:p>
        </w:tc>
        <w:tc>
          <w:tcPr>
            <w:tcW w:w="960" w:type="dxa"/>
            <w:tcBorders>
              <w:top w:val="nil"/>
              <w:left w:val="nil"/>
              <w:bottom w:val="nil"/>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59.0</w:t>
            </w:r>
          </w:p>
        </w:tc>
        <w:tc>
          <w:tcPr>
            <w:tcW w:w="960" w:type="dxa"/>
            <w:tcBorders>
              <w:top w:val="nil"/>
              <w:left w:val="nil"/>
              <w:bottom w:val="nil"/>
              <w:right w:val="single" w:sz="4" w:space="0" w:color="auto"/>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43.0</w:t>
            </w:r>
          </w:p>
        </w:tc>
      </w:tr>
      <w:tr w:rsidR="00AB543E" w:rsidRPr="008A0882" w:rsidTr="00AB543E">
        <w:trPr>
          <w:trHeight w:val="288"/>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4"/>
                <w:szCs w:val="24"/>
                <w:lang w:eastAsia="en-GB"/>
              </w:rPr>
            </w:pPr>
            <w:r w:rsidRPr="008A0882">
              <w:rPr>
                <w:rFonts w:ascii="Arial" w:hAnsi="Arial" w:cs="Arial"/>
                <w:sz w:val="24"/>
                <w:szCs w:val="24"/>
                <w:lang w:eastAsia="en-GB"/>
              </w:rPr>
              <w:t>2015/16</w:t>
            </w:r>
          </w:p>
        </w:tc>
        <w:tc>
          <w:tcPr>
            <w:tcW w:w="1226" w:type="dxa"/>
            <w:tcBorders>
              <w:top w:val="nil"/>
              <w:left w:val="nil"/>
              <w:bottom w:val="single" w:sz="4" w:space="0" w:color="auto"/>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45.3</w:t>
            </w:r>
          </w:p>
        </w:tc>
        <w:tc>
          <w:tcPr>
            <w:tcW w:w="992" w:type="dxa"/>
            <w:tcBorders>
              <w:top w:val="nil"/>
              <w:left w:val="nil"/>
              <w:bottom w:val="single" w:sz="4" w:space="0" w:color="auto"/>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58.6</w:t>
            </w:r>
          </w:p>
        </w:tc>
        <w:tc>
          <w:tcPr>
            <w:tcW w:w="960" w:type="dxa"/>
            <w:tcBorders>
              <w:top w:val="nil"/>
              <w:left w:val="nil"/>
              <w:bottom w:val="single" w:sz="4" w:space="0" w:color="auto"/>
              <w:right w:val="nil"/>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48.6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31.8</w:t>
            </w:r>
          </w:p>
        </w:tc>
        <w:tc>
          <w:tcPr>
            <w:tcW w:w="1046" w:type="dxa"/>
            <w:tcBorders>
              <w:top w:val="nil"/>
              <w:left w:val="nil"/>
              <w:bottom w:val="single" w:sz="4" w:space="0" w:color="auto"/>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49.0</w:t>
            </w:r>
          </w:p>
        </w:tc>
        <w:tc>
          <w:tcPr>
            <w:tcW w:w="992" w:type="dxa"/>
            <w:tcBorders>
              <w:top w:val="nil"/>
              <w:left w:val="nil"/>
              <w:bottom w:val="single" w:sz="4" w:space="0" w:color="auto"/>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60.0</w:t>
            </w:r>
          </w:p>
        </w:tc>
        <w:tc>
          <w:tcPr>
            <w:tcW w:w="960" w:type="dxa"/>
            <w:tcBorders>
              <w:top w:val="nil"/>
              <w:left w:val="nil"/>
              <w:bottom w:val="single" w:sz="4" w:space="0" w:color="auto"/>
              <w:right w:val="nil"/>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54.0</w:t>
            </w:r>
          </w:p>
        </w:tc>
        <w:tc>
          <w:tcPr>
            <w:tcW w:w="960" w:type="dxa"/>
            <w:tcBorders>
              <w:top w:val="nil"/>
              <w:left w:val="nil"/>
              <w:bottom w:val="single" w:sz="4" w:space="0" w:color="auto"/>
              <w:right w:val="single" w:sz="4" w:space="0" w:color="auto"/>
            </w:tcBorders>
            <w:shd w:val="clear" w:color="auto" w:fill="auto"/>
            <w:noWrap/>
            <w:vAlign w:val="bottom"/>
            <w:hideMark/>
          </w:tcPr>
          <w:p w:rsidR="00AB543E" w:rsidRPr="008A0882" w:rsidRDefault="00AB543E" w:rsidP="00AB543E">
            <w:pPr>
              <w:pStyle w:val="NoSpacing"/>
              <w:jc w:val="center"/>
              <w:rPr>
                <w:rFonts w:ascii="Arial" w:hAnsi="Arial" w:cs="Arial"/>
                <w:sz w:val="24"/>
                <w:szCs w:val="24"/>
              </w:rPr>
            </w:pPr>
            <w:r w:rsidRPr="008A0882">
              <w:rPr>
                <w:rFonts w:ascii="Arial" w:hAnsi="Arial" w:cs="Arial"/>
                <w:sz w:val="24"/>
                <w:szCs w:val="24"/>
              </w:rPr>
              <w:t>36.0</w:t>
            </w:r>
          </w:p>
        </w:tc>
      </w:tr>
    </w:tbl>
    <w:p w:rsidR="00AB543E" w:rsidRPr="008A0882" w:rsidRDefault="00AB543E" w:rsidP="00AB543E">
      <w:pPr>
        <w:rPr>
          <w:rFonts w:cs="Arial"/>
          <w:color w:val="000000" w:themeColor="text1"/>
          <w:sz w:val="10"/>
          <w:szCs w:val="10"/>
        </w:rPr>
      </w:pPr>
    </w:p>
    <w:p w:rsidR="00AB543E" w:rsidRPr="008A0882" w:rsidRDefault="00AB543E" w:rsidP="00AB543E">
      <w:pPr>
        <w:pStyle w:val="ListParagraph"/>
        <w:numPr>
          <w:ilvl w:val="0"/>
          <w:numId w:val="8"/>
        </w:numPr>
        <w:spacing w:line="276" w:lineRule="auto"/>
        <w:ind w:left="426"/>
        <w:contextualSpacing w:val="0"/>
        <w:rPr>
          <w:rFonts w:cs="Arial"/>
          <w:sz w:val="10"/>
          <w:szCs w:val="10"/>
        </w:rPr>
      </w:pPr>
      <w:r w:rsidRPr="008A0882">
        <w:rPr>
          <w:rFonts w:cs="Arial"/>
        </w:rPr>
        <w:t>% of KS2 FSM pupils attaining the individual expected standard in Reading, Writing and Mathematics a</w:t>
      </w:r>
      <w:r w:rsidR="00D77F0B">
        <w:rPr>
          <w:rFonts w:cs="Arial"/>
        </w:rPr>
        <w:t>re all below the 2019 National A</w:t>
      </w:r>
      <w:r w:rsidRPr="008A0882">
        <w:rPr>
          <w:rFonts w:cs="Arial"/>
        </w:rPr>
        <w:t>verage. Reading is below Lancashire 2018 figures with Writing and Maths above.</w:t>
      </w:r>
    </w:p>
    <w:p w:rsidR="00AB543E" w:rsidRPr="008A0882" w:rsidRDefault="00AB543E" w:rsidP="00AB543E">
      <w:pPr>
        <w:pStyle w:val="ListParagraph"/>
        <w:numPr>
          <w:ilvl w:val="0"/>
          <w:numId w:val="8"/>
        </w:numPr>
        <w:spacing w:line="276" w:lineRule="auto"/>
        <w:ind w:left="426"/>
        <w:contextualSpacing w:val="0"/>
        <w:rPr>
          <w:rFonts w:cs="Arial"/>
          <w:sz w:val="10"/>
          <w:szCs w:val="10"/>
        </w:rPr>
      </w:pPr>
      <w:r w:rsidRPr="008A0882">
        <w:rPr>
          <w:rFonts w:cs="Arial"/>
        </w:rPr>
        <w:t>% of FSM pupils attaining the combined expected standard in Reading, Writing and Mathemat</w:t>
      </w:r>
      <w:r w:rsidR="00D77F0B">
        <w:rPr>
          <w:rFonts w:cs="Arial"/>
        </w:rPr>
        <w:t>ics is below the 2019 National A</w:t>
      </w:r>
      <w:r w:rsidRPr="008A0882">
        <w:rPr>
          <w:rFonts w:cs="Arial"/>
        </w:rPr>
        <w:t>verage. 4 year upward trend in Lancashire which is 2.1% higher than the national % improvement over the same period.</w:t>
      </w:r>
    </w:p>
    <w:p w:rsidR="00D43E5B" w:rsidRPr="008A0882" w:rsidRDefault="00D43E5B" w:rsidP="00D43E5B">
      <w:pPr>
        <w:pStyle w:val="ListParagraph"/>
        <w:numPr>
          <w:ilvl w:val="0"/>
          <w:numId w:val="8"/>
        </w:numPr>
        <w:spacing w:line="276" w:lineRule="auto"/>
        <w:ind w:left="426"/>
        <w:contextualSpacing w:val="0"/>
        <w:rPr>
          <w:rFonts w:cs="Arial"/>
          <w:sz w:val="10"/>
          <w:szCs w:val="10"/>
        </w:rPr>
      </w:pPr>
      <w:r w:rsidRPr="008A0882">
        <w:rPr>
          <w:rFonts w:cs="Arial"/>
        </w:rPr>
        <w:t>Results for FSM pupils a</w:t>
      </w:r>
      <w:r w:rsidR="00E06197" w:rsidRPr="008A0882">
        <w:rPr>
          <w:rFonts w:cs="Arial"/>
        </w:rPr>
        <w:t>t KS2 are well below those for a</w:t>
      </w:r>
      <w:r w:rsidRPr="008A0882">
        <w:rPr>
          <w:rFonts w:cs="Arial"/>
        </w:rPr>
        <w:t>ll pupils; Lancashire gaps are generally similar to those nationally.</w:t>
      </w:r>
    </w:p>
    <w:p w:rsidR="00D43E5B" w:rsidRPr="008A0882" w:rsidRDefault="00D43E5B" w:rsidP="00D43E5B">
      <w:pPr>
        <w:rPr>
          <w:rFonts w:cs="Arial"/>
          <w:b/>
        </w:rPr>
      </w:pPr>
    </w:p>
    <w:p w:rsidR="00D43E5B" w:rsidRPr="008A0882" w:rsidRDefault="00D43E5B" w:rsidP="00D43E5B">
      <w:pPr>
        <w:rPr>
          <w:rFonts w:cs="Arial"/>
          <w:b/>
        </w:rPr>
      </w:pPr>
      <w:r w:rsidRPr="008A0882">
        <w:rPr>
          <w:rFonts w:cs="Arial"/>
          <w:b/>
        </w:rPr>
        <w:t>Key Stage 2 (KS2) – Special Educational Needs and Disabilities (SEND)</w:t>
      </w:r>
    </w:p>
    <w:p w:rsidR="00D43E5B" w:rsidRPr="008A0882" w:rsidRDefault="00D43E5B" w:rsidP="00D43E5B">
      <w:pPr>
        <w:rPr>
          <w:rFonts w:cs="Arial"/>
          <w:b/>
          <w:i/>
          <w:sz w:val="10"/>
          <w:szCs w:val="10"/>
        </w:rPr>
      </w:pPr>
    </w:p>
    <w:tbl>
      <w:tblPr>
        <w:tblW w:w="9777" w:type="dxa"/>
        <w:tblLook w:val="04A0" w:firstRow="1" w:lastRow="0" w:firstColumn="1" w:lastColumn="0" w:noHBand="0" w:noVBand="1"/>
      </w:tblPr>
      <w:tblGrid>
        <w:gridCol w:w="1129"/>
        <w:gridCol w:w="1251"/>
        <w:gridCol w:w="1103"/>
        <w:gridCol w:w="1010"/>
        <w:gridCol w:w="960"/>
        <w:gridCol w:w="1251"/>
        <w:gridCol w:w="1103"/>
        <w:gridCol w:w="1010"/>
        <w:gridCol w:w="960"/>
      </w:tblGrid>
      <w:tr w:rsidR="00D43E5B" w:rsidRPr="008A0882" w:rsidTr="00D43E5B">
        <w:trPr>
          <w:trHeight w:val="288"/>
        </w:trPr>
        <w:tc>
          <w:tcPr>
            <w:tcW w:w="1129" w:type="dxa"/>
            <w:tcBorders>
              <w:top w:val="single" w:sz="4"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D43E5B" w:rsidRPr="008A0882" w:rsidRDefault="00D43E5B" w:rsidP="00C02AD1">
            <w:pPr>
              <w:jc w:val="center"/>
              <w:rPr>
                <w:rFonts w:cs="Arial"/>
                <w:b/>
                <w:szCs w:val="24"/>
              </w:rPr>
            </w:pPr>
            <w:r w:rsidRPr="008A0882">
              <w:rPr>
                <w:rFonts w:cs="Arial"/>
                <w:b/>
                <w:szCs w:val="24"/>
              </w:rPr>
              <w:t>KS2 (</w:t>
            </w:r>
            <w:r w:rsidR="00C02AD1" w:rsidRPr="008A0882">
              <w:rPr>
                <w:rFonts w:cs="Arial"/>
                <w:b/>
                <w:szCs w:val="24"/>
              </w:rPr>
              <w:t>SEND</w:t>
            </w:r>
            <w:r w:rsidRPr="008A0882">
              <w:rPr>
                <w:rFonts w:cs="Arial"/>
                <w:b/>
                <w:szCs w:val="24"/>
              </w:rPr>
              <w:t>)</w:t>
            </w:r>
          </w:p>
        </w:tc>
        <w:tc>
          <w:tcPr>
            <w:tcW w:w="4324" w:type="dxa"/>
            <w:gridSpan w:val="4"/>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hideMark/>
          </w:tcPr>
          <w:p w:rsidR="00D43E5B" w:rsidRPr="008A0882" w:rsidRDefault="00D43E5B" w:rsidP="00636255">
            <w:pPr>
              <w:jc w:val="center"/>
              <w:rPr>
                <w:rFonts w:cs="Arial"/>
                <w:b/>
                <w:bCs/>
                <w:szCs w:val="24"/>
              </w:rPr>
            </w:pPr>
            <w:r w:rsidRPr="008A0882">
              <w:rPr>
                <w:rFonts w:cs="Arial"/>
                <w:b/>
                <w:bCs/>
                <w:szCs w:val="24"/>
              </w:rPr>
              <w:t>Lancashire (%)</w:t>
            </w:r>
          </w:p>
        </w:tc>
        <w:tc>
          <w:tcPr>
            <w:tcW w:w="432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43E5B" w:rsidRPr="008A0882" w:rsidRDefault="00D43E5B" w:rsidP="00636255">
            <w:pPr>
              <w:jc w:val="center"/>
              <w:rPr>
                <w:rFonts w:cs="Arial"/>
                <w:b/>
                <w:bCs/>
                <w:szCs w:val="24"/>
              </w:rPr>
            </w:pPr>
            <w:r w:rsidRPr="008A0882">
              <w:rPr>
                <w:rFonts w:cs="Arial"/>
                <w:b/>
                <w:bCs/>
                <w:szCs w:val="24"/>
              </w:rPr>
              <w:t>England (%)</w:t>
            </w:r>
          </w:p>
        </w:tc>
      </w:tr>
      <w:tr w:rsidR="00D43E5B" w:rsidRPr="008A0882" w:rsidTr="00D43E5B">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Year</w:t>
            </w:r>
          </w:p>
        </w:tc>
        <w:tc>
          <w:tcPr>
            <w:tcW w:w="1251" w:type="dxa"/>
            <w:tcBorders>
              <w:top w:val="single" w:sz="4" w:space="0" w:color="auto"/>
              <w:left w:val="nil"/>
              <w:bottom w:val="single" w:sz="4" w:space="0" w:color="auto"/>
              <w:right w:val="nil"/>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Reading+</w:t>
            </w:r>
          </w:p>
        </w:tc>
        <w:tc>
          <w:tcPr>
            <w:tcW w:w="1103" w:type="dxa"/>
            <w:tcBorders>
              <w:top w:val="nil"/>
              <w:left w:val="nil"/>
              <w:bottom w:val="single" w:sz="4" w:space="0" w:color="auto"/>
              <w:right w:val="nil"/>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Writing+</w:t>
            </w:r>
          </w:p>
        </w:tc>
        <w:tc>
          <w:tcPr>
            <w:tcW w:w="1010" w:type="dxa"/>
            <w:tcBorders>
              <w:top w:val="nil"/>
              <w:left w:val="nil"/>
              <w:bottom w:val="single" w:sz="4" w:space="0" w:color="auto"/>
              <w:right w:val="nil"/>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Maths+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RWM+</w:t>
            </w:r>
          </w:p>
        </w:tc>
        <w:tc>
          <w:tcPr>
            <w:tcW w:w="1251" w:type="dxa"/>
            <w:tcBorders>
              <w:top w:val="nil"/>
              <w:left w:val="nil"/>
              <w:bottom w:val="single" w:sz="4" w:space="0" w:color="auto"/>
              <w:right w:val="nil"/>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Reading+</w:t>
            </w:r>
          </w:p>
        </w:tc>
        <w:tc>
          <w:tcPr>
            <w:tcW w:w="1103" w:type="dxa"/>
            <w:tcBorders>
              <w:top w:val="nil"/>
              <w:left w:val="nil"/>
              <w:bottom w:val="single" w:sz="4" w:space="0" w:color="auto"/>
              <w:right w:val="nil"/>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Writing+</w:t>
            </w:r>
          </w:p>
        </w:tc>
        <w:tc>
          <w:tcPr>
            <w:tcW w:w="1010" w:type="dxa"/>
            <w:tcBorders>
              <w:top w:val="nil"/>
              <w:left w:val="nil"/>
              <w:bottom w:val="single" w:sz="4" w:space="0" w:color="auto"/>
              <w:right w:val="nil"/>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Maths+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D43E5B" w:rsidRPr="008A0882" w:rsidRDefault="00D43E5B" w:rsidP="00636255">
            <w:pPr>
              <w:jc w:val="center"/>
              <w:rPr>
                <w:rFonts w:cs="Arial"/>
                <w:szCs w:val="24"/>
              </w:rPr>
            </w:pPr>
            <w:r w:rsidRPr="008A0882">
              <w:rPr>
                <w:rFonts w:cs="Arial"/>
                <w:szCs w:val="24"/>
              </w:rPr>
              <w:t>RWM+</w:t>
            </w:r>
          </w:p>
        </w:tc>
      </w:tr>
      <w:tr w:rsidR="00D43E5B" w:rsidRPr="008A0882" w:rsidTr="00D43E5B">
        <w:trPr>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D43E5B" w:rsidRPr="008A0882" w:rsidRDefault="00D43E5B" w:rsidP="00D43E5B">
            <w:pPr>
              <w:pStyle w:val="NoSpacing"/>
              <w:jc w:val="center"/>
              <w:rPr>
                <w:rFonts w:ascii="Arial" w:hAnsi="Arial" w:cs="Arial"/>
                <w:sz w:val="24"/>
                <w:szCs w:val="24"/>
                <w:lang w:eastAsia="en-GB"/>
              </w:rPr>
            </w:pPr>
            <w:r w:rsidRPr="008A0882">
              <w:rPr>
                <w:rFonts w:ascii="Arial" w:hAnsi="Arial" w:cs="Arial"/>
                <w:sz w:val="24"/>
                <w:szCs w:val="24"/>
                <w:lang w:eastAsia="en-GB"/>
              </w:rPr>
              <w:t>2018/19</w:t>
            </w:r>
          </w:p>
        </w:tc>
        <w:tc>
          <w:tcPr>
            <w:tcW w:w="1251"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31.1</w:t>
            </w:r>
          </w:p>
        </w:tc>
        <w:tc>
          <w:tcPr>
            <w:tcW w:w="1103"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29.4</w:t>
            </w:r>
          </w:p>
        </w:tc>
        <w:tc>
          <w:tcPr>
            <w:tcW w:w="1010"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36.7</w:t>
            </w:r>
          </w:p>
        </w:tc>
        <w:tc>
          <w:tcPr>
            <w:tcW w:w="960" w:type="dxa"/>
            <w:tcBorders>
              <w:top w:val="nil"/>
              <w:left w:val="nil"/>
              <w:bottom w:val="nil"/>
              <w:right w:val="single" w:sz="4" w:space="0" w:color="auto"/>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17.8</w:t>
            </w:r>
          </w:p>
        </w:tc>
        <w:tc>
          <w:tcPr>
            <w:tcW w:w="1251"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35.9</w:t>
            </w:r>
          </w:p>
        </w:tc>
        <w:tc>
          <w:tcPr>
            <w:tcW w:w="1103"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33.8</w:t>
            </w:r>
          </w:p>
        </w:tc>
        <w:tc>
          <w:tcPr>
            <w:tcW w:w="1010"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40.4</w:t>
            </w:r>
          </w:p>
        </w:tc>
        <w:tc>
          <w:tcPr>
            <w:tcW w:w="960" w:type="dxa"/>
            <w:tcBorders>
              <w:top w:val="nil"/>
              <w:left w:val="nil"/>
              <w:bottom w:val="nil"/>
              <w:right w:val="single" w:sz="4" w:space="0" w:color="auto"/>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22.0</w:t>
            </w:r>
          </w:p>
        </w:tc>
      </w:tr>
      <w:tr w:rsidR="00D43E5B" w:rsidRPr="008A0882" w:rsidTr="00D43E5B">
        <w:trPr>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D43E5B" w:rsidRPr="008A0882" w:rsidRDefault="00D43E5B" w:rsidP="00D43E5B">
            <w:pPr>
              <w:pStyle w:val="NoSpacing"/>
              <w:jc w:val="center"/>
              <w:rPr>
                <w:rFonts w:ascii="Arial" w:hAnsi="Arial" w:cs="Arial"/>
                <w:sz w:val="24"/>
                <w:szCs w:val="24"/>
                <w:lang w:eastAsia="en-GB"/>
              </w:rPr>
            </w:pPr>
            <w:r w:rsidRPr="008A0882">
              <w:rPr>
                <w:rFonts w:ascii="Arial" w:hAnsi="Arial" w:cs="Arial"/>
                <w:sz w:val="24"/>
                <w:szCs w:val="24"/>
                <w:lang w:eastAsia="en-GB"/>
              </w:rPr>
              <w:t>2017/18</w:t>
            </w:r>
          </w:p>
        </w:tc>
        <w:tc>
          <w:tcPr>
            <w:tcW w:w="1251" w:type="dxa"/>
            <w:tcBorders>
              <w:top w:val="nil"/>
              <w:left w:val="nil"/>
              <w:bottom w:val="nil"/>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36.2</w:t>
            </w:r>
          </w:p>
        </w:tc>
        <w:tc>
          <w:tcPr>
            <w:tcW w:w="1103" w:type="dxa"/>
            <w:tcBorders>
              <w:top w:val="nil"/>
              <w:left w:val="nil"/>
              <w:bottom w:val="nil"/>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28.8</w:t>
            </w:r>
          </w:p>
        </w:tc>
        <w:tc>
          <w:tcPr>
            <w:tcW w:w="1010" w:type="dxa"/>
            <w:tcBorders>
              <w:top w:val="nil"/>
              <w:left w:val="nil"/>
              <w:bottom w:val="nil"/>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34.5</w:t>
            </w:r>
          </w:p>
        </w:tc>
        <w:tc>
          <w:tcPr>
            <w:tcW w:w="960" w:type="dxa"/>
            <w:tcBorders>
              <w:top w:val="nil"/>
              <w:left w:val="nil"/>
              <w:bottom w:val="nil"/>
              <w:right w:val="single" w:sz="4" w:space="0" w:color="auto"/>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18.6</w:t>
            </w:r>
          </w:p>
        </w:tc>
        <w:tc>
          <w:tcPr>
            <w:tcW w:w="1251"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38.4</w:t>
            </w:r>
          </w:p>
        </w:tc>
        <w:tc>
          <w:tcPr>
            <w:tcW w:w="1103"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33.3</w:t>
            </w:r>
          </w:p>
        </w:tc>
        <w:tc>
          <w:tcPr>
            <w:tcW w:w="1010"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37.2</w:t>
            </w:r>
          </w:p>
        </w:tc>
        <w:tc>
          <w:tcPr>
            <w:tcW w:w="960" w:type="dxa"/>
            <w:tcBorders>
              <w:top w:val="nil"/>
              <w:left w:val="nil"/>
              <w:bottom w:val="nil"/>
              <w:right w:val="single" w:sz="4" w:space="0" w:color="auto"/>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21.3</w:t>
            </w:r>
          </w:p>
        </w:tc>
      </w:tr>
      <w:tr w:rsidR="00D43E5B" w:rsidRPr="008A0882" w:rsidTr="00D43E5B">
        <w:trPr>
          <w:trHeight w:val="288"/>
        </w:trPr>
        <w:tc>
          <w:tcPr>
            <w:tcW w:w="1129" w:type="dxa"/>
            <w:tcBorders>
              <w:top w:val="nil"/>
              <w:left w:val="single" w:sz="4" w:space="0" w:color="auto"/>
              <w:bottom w:val="nil"/>
              <w:right w:val="single" w:sz="4" w:space="0" w:color="auto"/>
            </w:tcBorders>
            <w:shd w:val="clear" w:color="auto" w:fill="D9D9D9" w:themeFill="background1" w:themeFillShade="D9"/>
            <w:noWrap/>
            <w:vAlign w:val="center"/>
            <w:hideMark/>
          </w:tcPr>
          <w:p w:rsidR="00D43E5B" w:rsidRPr="008A0882" w:rsidRDefault="00D43E5B" w:rsidP="00D43E5B">
            <w:pPr>
              <w:pStyle w:val="NoSpacing"/>
              <w:jc w:val="center"/>
              <w:rPr>
                <w:rFonts w:ascii="Arial" w:hAnsi="Arial" w:cs="Arial"/>
                <w:sz w:val="24"/>
                <w:szCs w:val="24"/>
                <w:lang w:eastAsia="en-GB"/>
              </w:rPr>
            </w:pPr>
            <w:r w:rsidRPr="008A0882">
              <w:rPr>
                <w:rFonts w:ascii="Arial" w:hAnsi="Arial" w:cs="Arial"/>
                <w:sz w:val="24"/>
                <w:szCs w:val="24"/>
                <w:lang w:eastAsia="en-GB"/>
              </w:rPr>
              <w:t>2016/17</w:t>
            </w:r>
          </w:p>
        </w:tc>
        <w:tc>
          <w:tcPr>
            <w:tcW w:w="1251" w:type="dxa"/>
            <w:tcBorders>
              <w:top w:val="nil"/>
              <w:left w:val="nil"/>
              <w:bottom w:val="nil"/>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31.4</w:t>
            </w:r>
          </w:p>
        </w:tc>
        <w:tc>
          <w:tcPr>
            <w:tcW w:w="1103" w:type="dxa"/>
            <w:tcBorders>
              <w:top w:val="nil"/>
              <w:left w:val="nil"/>
              <w:bottom w:val="nil"/>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25.2</w:t>
            </w:r>
          </w:p>
        </w:tc>
        <w:tc>
          <w:tcPr>
            <w:tcW w:w="1010" w:type="dxa"/>
            <w:tcBorders>
              <w:top w:val="nil"/>
              <w:left w:val="nil"/>
              <w:bottom w:val="nil"/>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32.5</w:t>
            </w:r>
          </w:p>
        </w:tc>
        <w:tc>
          <w:tcPr>
            <w:tcW w:w="960" w:type="dxa"/>
            <w:tcBorders>
              <w:top w:val="nil"/>
              <w:left w:val="nil"/>
              <w:bottom w:val="nil"/>
              <w:right w:val="single" w:sz="4" w:space="0" w:color="auto"/>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15.7</w:t>
            </w:r>
          </w:p>
        </w:tc>
        <w:tc>
          <w:tcPr>
            <w:tcW w:w="1251"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34.0</w:t>
            </w:r>
          </w:p>
        </w:tc>
        <w:tc>
          <w:tcPr>
            <w:tcW w:w="1103"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30.0</w:t>
            </w:r>
          </w:p>
        </w:tc>
        <w:tc>
          <w:tcPr>
            <w:tcW w:w="1010" w:type="dxa"/>
            <w:tcBorders>
              <w:top w:val="nil"/>
              <w:left w:val="nil"/>
              <w:bottom w:val="nil"/>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36.0</w:t>
            </w:r>
          </w:p>
        </w:tc>
        <w:tc>
          <w:tcPr>
            <w:tcW w:w="960" w:type="dxa"/>
            <w:tcBorders>
              <w:top w:val="nil"/>
              <w:left w:val="nil"/>
              <w:bottom w:val="nil"/>
              <w:right w:val="single" w:sz="4" w:space="0" w:color="auto"/>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18.0</w:t>
            </w:r>
          </w:p>
        </w:tc>
      </w:tr>
      <w:tr w:rsidR="00D43E5B" w:rsidRPr="008A0882" w:rsidTr="00D43E5B">
        <w:trPr>
          <w:trHeight w:val="288"/>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3E5B" w:rsidRPr="008A0882" w:rsidRDefault="00D43E5B" w:rsidP="00D43E5B">
            <w:pPr>
              <w:pStyle w:val="NoSpacing"/>
              <w:jc w:val="center"/>
              <w:rPr>
                <w:rFonts w:ascii="Arial" w:hAnsi="Arial" w:cs="Arial"/>
                <w:sz w:val="24"/>
                <w:szCs w:val="24"/>
                <w:lang w:eastAsia="en-GB"/>
              </w:rPr>
            </w:pPr>
            <w:r w:rsidRPr="008A0882">
              <w:rPr>
                <w:rFonts w:ascii="Arial" w:hAnsi="Arial" w:cs="Arial"/>
                <w:sz w:val="24"/>
                <w:szCs w:val="24"/>
                <w:lang w:eastAsia="en-GB"/>
              </w:rPr>
              <w:t>2015/16</w:t>
            </w:r>
          </w:p>
        </w:tc>
        <w:tc>
          <w:tcPr>
            <w:tcW w:w="1251" w:type="dxa"/>
            <w:tcBorders>
              <w:top w:val="nil"/>
              <w:left w:val="nil"/>
              <w:bottom w:val="single" w:sz="4" w:space="0" w:color="auto"/>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24.3</w:t>
            </w:r>
          </w:p>
        </w:tc>
        <w:tc>
          <w:tcPr>
            <w:tcW w:w="1103" w:type="dxa"/>
            <w:tcBorders>
              <w:top w:val="nil"/>
              <w:left w:val="nil"/>
              <w:bottom w:val="single" w:sz="4" w:space="0" w:color="auto"/>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25.3</w:t>
            </w:r>
          </w:p>
        </w:tc>
        <w:tc>
          <w:tcPr>
            <w:tcW w:w="1010" w:type="dxa"/>
            <w:tcBorders>
              <w:top w:val="nil"/>
              <w:left w:val="nil"/>
              <w:bottom w:val="single" w:sz="4" w:space="0" w:color="auto"/>
              <w:right w:val="nil"/>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28.2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D43E5B" w:rsidRPr="008A0882" w:rsidRDefault="00D43E5B" w:rsidP="00D43E5B">
            <w:pPr>
              <w:jc w:val="center"/>
              <w:rPr>
                <w:rFonts w:cs="Arial"/>
                <w:szCs w:val="24"/>
              </w:rPr>
            </w:pPr>
            <w:r w:rsidRPr="008A0882">
              <w:rPr>
                <w:rFonts w:cs="Arial"/>
                <w:szCs w:val="24"/>
              </w:rPr>
              <w:t>11.4</w:t>
            </w:r>
          </w:p>
        </w:tc>
        <w:tc>
          <w:tcPr>
            <w:tcW w:w="1251" w:type="dxa"/>
            <w:tcBorders>
              <w:top w:val="nil"/>
              <w:left w:val="nil"/>
              <w:bottom w:val="single" w:sz="4" w:space="0" w:color="auto"/>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29.0</w:t>
            </w:r>
          </w:p>
        </w:tc>
        <w:tc>
          <w:tcPr>
            <w:tcW w:w="1103" w:type="dxa"/>
            <w:tcBorders>
              <w:top w:val="nil"/>
              <w:left w:val="nil"/>
              <w:bottom w:val="single" w:sz="4" w:space="0" w:color="auto"/>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29.0</w:t>
            </w:r>
          </w:p>
        </w:tc>
        <w:tc>
          <w:tcPr>
            <w:tcW w:w="1010" w:type="dxa"/>
            <w:tcBorders>
              <w:top w:val="nil"/>
              <w:left w:val="nil"/>
              <w:bottom w:val="single" w:sz="4" w:space="0" w:color="auto"/>
              <w:right w:val="nil"/>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32.0</w:t>
            </w:r>
          </w:p>
        </w:tc>
        <w:tc>
          <w:tcPr>
            <w:tcW w:w="960" w:type="dxa"/>
            <w:tcBorders>
              <w:top w:val="nil"/>
              <w:left w:val="nil"/>
              <w:bottom w:val="single" w:sz="4" w:space="0" w:color="auto"/>
              <w:right w:val="single" w:sz="4" w:space="0" w:color="auto"/>
            </w:tcBorders>
            <w:shd w:val="clear" w:color="auto" w:fill="auto"/>
            <w:noWrap/>
            <w:vAlign w:val="bottom"/>
            <w:hideMark/>
          </w:tcPr>
          <w:p w:rsidR="00D43E5B" w:rsidRPr="008A0882" w:rsidRDefault="00D43E5B" w:rsidP="00D43E5B">
            <w:pPr>
              <w:jc w:val="center"/>
              <w:rPr>
                <w:rFonts w:cs="Arial"/>
                <w:szCs w:val="24"/>
              </w:rPr>
            </w:pPr>
            <w:r w:rsidRPr="008A0882">
              <w:rPr>
                <w:rFonts w:cs="Arial"/>
                <w:szCs w:val="24"/>
              </w:rPr>
              <w:t>14.0</w:t>
            </w:r>
          </w:p>
        </w:tc>
      </w:tr>
    </w:tbl>
    <w:p w:rsidR="00D43E5B" w:rsidRPr="008A0882" w:rsidRDefault="00D43E5B" w:rsidP="00D43E5B">
      <w:pPr>
        <w:rPr>
          <w:rFonts w:cs="Arial"/>
          <w:sz w:val="10"/>
          <w:szCs w:val="10"/>
        </w:rPr>
      </w:pPr>
    </w:p>
    <w:p w:rsidR="00C02AD1" w:rsidRPr="008A0882" w:rsidRDefault="00D43E5B" w:rsidP="00D43E5B">
      <w:pPr>
        <w:pStyle w:val="ListParagraph"/>
        <w:numPr>
          <w:ilvl w:val="0"/>
          <w:numId w:val="8"/>
        </w:numPr>
        <w:spacing w:line="276" w:lineRule="auto"/>
        <w:ind w:left="426"/>
        <w:contextualSpacing w:val="0"/>
        <w:rPr>
          <w:rFonts w:cs="Arial"/>
          <w:sz w:val="10"/>
          <w:szCs w:val="10"/>
        </w:rPr>
      </w:pPr>
      <w:r w:rsidRPr="008A0882">
        <w:rPr>
          <w:rFonts w:cs="Arial"/>
        </w:rPr>
        <w:t xml:space="preserve">% of KS2 </w:t>
      </w:r>
      <w:r w:rsidR="00C02AD1" w:rsidRPr="008A0882">
        <w:rPr>
          <w:rFonts w:cs="Arial"/>
        </w:rPr>
        <w:t>SEND</w:t>
      </w:r>
      <w:r w:rsidRPr="008A0882">
        <w:rPr>
          <w:rFonts w:cs="Arial"/>
        </w:rPr>
        <w:t xml:space="preserve"> pupils attaining the individual expected standard in Reading, Writing and Mathematics</w:t>
      </w:r>
      <w:r w:rsidR="00C02AD1" w:rsidRPr="008A0882">
        <w:rPr>
          <w:rFonts w:cs="Arial"/>
        </w:rPr>
        <w:t xml:space="preserve">, and the combined measure, </w:t>
      </w:r>
      <w:r w:rsidRPr="008A0882">
        <w:rPr>
          <w:rFonts w:cs="Arial"/>
        </w:rPr>
        <w:t>a</w:t>
      </w:r>
      <w:r w:rsidR="00D77F0B">
        <w:rPr>
          <w:rFonts w:cs="Arial"/>
        </w:rPr>
        <w:t>re all below the 2019 National A</w:t>
      </w:r>
      <w:r w:rsidRPr="008A0882">
        <w:rPr>
          <w:rFonts w:cs="Arial"/>
        </w:rPr>
        <w:t>verage.</w:t>
      </w:r>
    </w:p>
    <w:p w:rsidR="00D43E5B" w:rsidRPr="008A0882" w:rsidRDefault="00C02AD1" w:rsidP="00D43E5B">
      <w:pPr>
        <w:pStyle w:val="ListParagraph"/>
        <w:numPr>
          <w:ilvl w:val="0"/>
          <w:numId w:val="8"/>
        </w:numPr>
        <w:spacing w:line="276" w:lineRule="auto"/>
        <w:ind w:left="426"/>
        <w:contextualSpacing w:val="0"/>
        <w:rPr>
          <w:rFonts w:cs="Arial"/>
          <w:sz w:val="10"/>
          <w:szCs w:val="10"/>
        </w:rPr>
      </w:pPr>
      <w:r w:rsidRPr="008A0882">
        <w:rPr>
          <w:rFonts w:cs="Arial"/>
        </w:rPr>
        <w:t>Whilst all measures for SEND are above figures in 2015/16, Reading results showed a dip last year, Writing and Mathematics showing an improving 4-year trend.</w:t>
      </w:r>
    </w:p>
    <w:p w:rsidR="00FA3449" w:rsidRPr="008A0882" w:rsidRDefault="00D43E5B" w:rsidP="008A0882">
      <w:pPr>
        <w:pStyle w:val="ListParagraph"/>
        <w:numPr>
          <w:ilvl w:val="0"/>
          <w:numId w:val="8"/>
        </w:numPr>
        <w:spacing w:line="276" w:lineRule="auto"/>
        <w:ind w:left="426"/>
        <w:contextualSpacing w:val="0"/>
        <w:rPr>
          <w:rFonts w:cs="Arial"/>
          <w:sz w:val="10"/>
          <w:szCs w:val="10"/>
        </w:rPr>
      </w:pPr>
      <w:r w:rsidRPr="008A0882">
        <w:rPr>
          <w:rFonts w:cs="Arial"/>
        </w:rPr>
        <w:t xml:space="preserve">Results for </w:t>
      </w:r>
      <w:r w:rsidR="00C02AD1" w:rsidRPr="008A0882">
        <w:rPr>
          <w:rFonts w:cs="Arial"/>
        </w:rPr>
        <w:t>SEND</w:t>
      </w:r>
      <w:r w:rsidRPr="008A0882">
        <w:rPr>
          <w:rFonts w:cs="Arial"/>
        </w:rPr>
        <w:t xml:space="preserve"> pupils a</w:t>
      </w:r>
      <w:r w:rsidR="00E06197" w:rsidRPr="008A0882">
        <w:rPr>
          <w:rFonts w:cs="Arial"/>
        </w:rPr>
        <w:t>t KS2 are well below those for a</w:t>
      </w:r>
      <w:r w:rsidRPr="008A0882">
        <w:rPr>
          <w:rFonts w:cs="Arial"/>
        </w:rPr>
        <w:t xml:space="preserve">ll pupils; Lancashire gaps are </w:t>
      </w:r>
      <w:r w:rsidR="00C02AD1" w:rsidRPr="008A0882">
        <w:rPr>
          <w:rFonts w:cs="Arial"/>
        </w:rPr>
        <w:t>slightly larger than</w:t>
      </w:r>
      <w:r w:rsidRPr="008A0882">
        <w:rPr>
          <w:rFonts w:cs="Arial"/>
        </w:rPr>
        <w:t xml:space="preserve"> those nationally.</w:t>
      </w:r>
    </w:p>
    <w:p w:rsidR="00FA3449" w:rsidRDefault="00FA3449" w:rsidP="00C5170A">
      <w:pPr>
        <w:autoSpaceDE w:val="0"/>
        <w:autoSpaceDN w:val="0"/>
        <w:adjustRightInd w:val="0"/>
        <w:spacing w:after="120"/>
        <w:jc w:val="both"/>
        <w:rPr>
          <w:rFonts w:cs="Arial"/>
          <w:b/>
        </w:rPr>
      </w:pPr>
    </w:p>
    <w:p w:rsidR="0019496E" w:rsidRPr="008A0882" w:rsidRDefault="0019496E" w:rsidP="00C5170A">
      <w:pPr>
        <w:autoSpaceDE w:val="0"/>
        <w:autoSpaceDN w:val="0"/>
        <w:adjustRightInd w:val="0"/>
        <w:spacing w:after="120"/>
        <w:jc w:val="both"/>
        <w:rPr>
          <w:rFonts w:cs="Arial"/>
          <w:b/>
        </w:rPr>
      </w:pPr>
    </w:p>
    <w:p w:rsidR="00C5170A" w:rsidRPr="008A0882" w:rsidRDefault="00C5170A" w:rsidP="00C5170A">
      <w:pPr>
        <w:autoSpaceDE w:val="0"/>
        <w:autoSpaceDN w:val="0"/>
        <w:adjustRightInd w:val="0"/>
        <w:spacing w:after="120"/>
        <w:jc w:val="both"/>
        <w:rPr>
          <w:rFonts w:cs="Arial"/>
          <w:b/>
        </w:rPr>
      </w:pPr>
      <w:r w:rsidRPr="008A0882">
        <w:rPr>
          <w:rFonts w:cs="Arial"/>
          <w:b/>
        </w:rPr>
        <w:lastRenderedPageBreak/>
        <w:t>Key Stage 2 (KS2) – Children Looked After (CLA) and Children in Need (CIN)</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180"/>
        <w:gridCol w:w="1424"/>
        <w:gridCol w:w="1424"/>
        <w:gridCol w:w="1424"/>
        <w:gridCol w:w="1424"/>
      </w:tblGrid>
      <w:tr w:rsidR="00C5170A" w:rsidRPr="008A0882" w:rsidTr="00636255">
        <w:trPr>
          <w:trHeight w:val="290"/>
        </w:trPr>
        <w:tc>
          <w:tcPr>
            <w:tcW w:w="1141" w:type="dxa"/>
            <w:shd w:val="clear" w:color="auto" w:fill="auto"/>
            <w:noWrap/>
            <w:vAlign w:val="bottom"/>
            <w:hideMark/>
          </w:tcPr>
          <w:p w:rsidR="00C5170A" w:rsidRPr="008A0882" w:rsidRDefault="00C5170A" w:rsidP="00636255">
            <w:pPr>
              <w:rPr>
                <w:rFonts w:cs="Arial"/>
                <w:szCs w:val="24"/>
              </w:rPr>
            </w:pPr>
          </w:p>
        </w:tc>
        <w:tc>
          <w:tcPr>
            <w:tcW w:w="2180" w:type="dxa"/>
            <w:shd w:val="clear" w:color="auto" w:fill="auto"/>
            <w:noWrap/>
            <w:vAlign w:val="bottom"/>
            <w:hideMark/>
          </w:tcPr>
          <w:p w:rsidR="00C5170A" w:rsidRPr="008A0882" w:rsidRDefault="00C5170A" w:rsidP="00636255">
            <w:pPr>
              <w:rPr>
                <w:rFonts w:cs="Arial"/>
              </w:rPr>
            </w:pPr>
          </w:p>
        </w:tc>
        <w:tc>
          <w:tcPr>
            <w:tcW w:w="2848" w:type="dxa"/>
            <w:gridSpan w:val="2"/>
            <w:shd w:val="clear" w:color="auto" w:fill="D9D9D9" w:themeFill="background1" w:themeFillShade="D9"/>
            <w:noWrap/>
            <w:vAlign w:val="bottom"/>
            <w:hideMark/>
          </w:tcPr>
          <w:p w:rsidR="00C5170A" w:rsidRPr="008A0882" w:rsidRDefault="00C5170A" w:rsidP="00636255">
            <w:pPr>
              <w:jc w:val="center"/>
              <w:rPr>
                <w:rFonts w:cs="Arial"/>
                <w:b/>
                <w:szCs w:val="22"/>
              </w:rPr>
            </w:pPr>
            <w:r w:rsidRPr="008A0882">
              <w:rPr>
                <w:rFonts w:cs="Arial"/>
                <w:b/>
                <w:szCs w:val="22"/>
              </w:rPr>
              <w:t>CLA</w:t>
            </w:r>
          </w:p>
        </w:tc>
        <w:tc>
          <w:tcPr>
            <w:tcW w:w="2848" w:type="dxa"/>
            <w:gridSpan w:val="2"/>
            <w:shd w:val="clear" w:color="auto" w:fill="D9D9D9" w:themeFill="background1" w:themeFillShade="D9"/>
          </w:tcPr>
          <w:p w:rsidR="00C5170A" w:rsidRPr="008A0882" w:rsidRDefault="00C5170A" w:rsidP="00636255">
            <w:pPr>
              <w:jc w:val="center"/>
              <w:rPr>
                <w:rFonts w:cs="Arial"/>
                <w:b/>
                <w:szCs w:val="22"/>
              </w:rPr>
            </w:pPr>
            <w:r w:rsidRPr="008A0882">
              <w:rPr>
                <w:rFonts w:cs="Arial"/>
                <w:b/>
                <w:szCs w:val="22"/>
              </w:rPr>
              <w:t>CIN</w:t>
            </w:r>
          </w:p>
        </w:tc>
      </w:tr>
      <w:tr w:rsidR="00C5170A" w:rsidRPr="008A0882" w:rsidTr="00636255">
        <w:trPr>
          <w:trHeight w:val="290"/>
        </w:trPr>
        <w:tc>
          <w:tcPr>
            <w:tcW w:w="1141" w:type="dxa"/>
            <w:shd w:val="clear" w:color="auto" w:fill="auto"/>
            <w:noWrap/>
            <w:vAlign w:val="bottom"/>
            <w:hideMark/>
          </w:tcPr>
          <w:p w:rsidR="00C5170A" w:rsidRPr="008A0882" w:rsidRDefault="00C5170A" w:rsidP="00636255">
            <w:pPr>
              <w:jc w:val="center"/>
              <w:rPr>
                <w:rFonts w:cs="Arial"/>
                <w:szCs w:val="22"/>
              </w:rPr>
            </w:pPr>
          </w:p>
        </w:tc>
        <w:tc>
          <w:tcPr>
            <w:tcW w:w="2180" w:type="dxa"/>
            <w:shd w:val="clear" w:color="auto" w:fill="auto"/>
            <w:noWrap/>
            <w:vAlign w:val="bottom"/>
            <w:hideMark/>
          </w:tcPr>
          <w:p w:rsidR="00C5170A" w:rsidRPr="008A0882" w:rsidRDefault="00C5170A" w:rsidP="00636255">
            <w:pPr>
              <w:rPr>
                <w:rFonts w:cs="Arial"/>
              </w:rPr>
            </w:pPr>
          </w:p>
        </w:tc>
        <w:tc>
          <w:tcPr>
            <w:tcW w:w="1424" w:type="dxa"/>
            <w:shd w:val="clear" w:color="auto" w:fill="D9D9D9" w:themeFill="background1" w:themeFillShade="D9"/>
            <w:noWrap/>
            <w:vAlign w:val="bottom"/>
            <w:hideMark/>
          </w:tcPr>
          <w:p w:rsidR="00C5170A" w:rsidRPr="008A0882" w:rsidRDefault="00C5170A" w:rsidP="00636255">
            <w:pPr>
              <w:jc w:val="center"/>
              <w:rPr>
                <w:rFonts w:cs="Arial"/>
                <w:b/>
                <w:szCs w:val="22"/>
              </w:rPr>
            </w:pPr>
            <w:r w:rsidRPr="008A0882">
              <w:rPr>
                <w:rFonts w:cs="Arial"/>
                <w:b/>
                <w:szCs w:val="22"/>
              </w:rPr>
              <w:t>No</w:t>
            </w:r>
          </w:p>
        </w:tc>
        <w:tc>
          <w:tcPr>
            <w:tcW w:w="1424" w:type="dxa"/>
            <w:shd w:val="clear" w:color="auto" w:fill="D9D9D9" w:themeFill="background1" w:themeFillShade="D9"/>
            <w:noWrap/>
            <w:vAlign w:val="bottom"/>
            <w:hideMark/>
          </w:tcPr>
          <w:p w:rsidR="00C5170A" w:rsidRPr="008A0882" w:rsidRDefault="00C5170A" w:rsidP="00636255">
            <w:pPr>
              <w:jc w:val="center"/>
              <w:rPr>
                <w:rFonts w:cs="Arial"/>
                <w:b/>
                <w:szCs w:val="22"/>
              </w:rPr>
            </w:pPr>
            <w:r w:rsidRPr="008A0882">
              <w:rPr>
                <w:rFonts w:cs="Arial"/>
                <w:b/>
                <w:szCs w:val="22"/>
              </w:rPr>
              <w:t>% RWM</w:t>
            </w:r>
          </w:p>
        </w:tc>
        <w:tc>
          <w:tcPr>
            <w:tcW w:w="1424" w:type="dxa"/>
            <w:shd w:val="clear" w:color="auto" w:fill="D9D9D9" w:themeFill="background1" w:themeFillShade="D9"/>
            <w:vAlign w:val="bottom"/>
          </w:tcPr>
          <w:p w:rsidR="00C5170A" w:rsidRPr="008A0882" w:rsidRDefault="00C5170A" w:rsidP="00636255">
            <w:pPr>
              <w:jc w:val="center"/>
              <w:rPr>
                <w:rFonts w:cs="Arial"/>
                <w:b/>
                <w:szCs w:val="22"/>
              </w:rPr>
            </w:pPr>
            <w:r w:rsidRPr="008A0882">
              <w:rPr>
                <w:rFonts w:cs="Arial"/>
                <w:b/>
                <w:szCs w:val="22"/>
              </w:rPr>
              <w:t>No</w:t>
            </w:r>
          </w:p>
        </w:tc>
        <w:tc>
          <w:tcPr>
            <w:tcW w:w="1424" w:type="dxa"/>
            <w:shd w:val="clear" w:color="auto" w:fill="D9D9D9" w:themeFill="background1" w:themeFillShade="D9"/>
            <w:vAlign w:val="bottom"/>
          </w:tcPr>
          <w:p w:rsidR="00C5170A" w:rsidRPr="008A0882" w:rsidRDefault="00C5170A" w:rsidP="00636255">
            <w:pPr>
              <w:jc w:val="center"/>
              <w:rPr>
                <w:rFonts w:cs="Arial"/>
                <w:b/>
                <w:szCs w:val="22"/>
              </w:rPr>
            </w:pPr>
            <w:r w:rsidRPr="008A0882">
              <w:rPr>
                <w:rFonts w:cs="Arial"/>
                <w:b/>
                <w:szCs w:val="22"/>
              </w:rPr>
              <w:t>% RWM</w:t>
            </w: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2018/19</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England</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2960</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37</w:t>
            </w:r>
          </w:p>
        </w:tc>
        <w:tc>
          <w:tcPr>
            <w:tcW w:w="1424" w:type="dxa"/>
          </w:tcPr>
          <w:p w:rsidR="00C5170A" w:rsidRPr="008A0882" w:rsidRDefault="00C5170A" w:rsidP="00C5170A">
            <w:pPr>
              <w:jc w:val="center"/>
              <w:rPr>
                <w:rFonts w:cs="Arial"/>
                <w:szCs w:val="22"/>
              </w:rPr>
            </w:pPr>
          </w:p>
        </w:tc>
        <w:tc>
          <w:tcPr>
            <w:tcW w:w="1424" w:type="dxa"/>
          </w:tcPr>
          <w:p w:rsidR="00C5170A" w:rsidRPr="008A0882" w:rsidRDefault="00C5170A" w:rsidP="00C5170A">
            <w:pPr>
              <w:jc w:val="center"/>
              <w:rPr>
                <w:rFonts w:cs="Arial"/>
                <w:szCs w:val="22"/>
              </w:rPr>
            </w:pP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2017/18</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England</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2770</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35</w:t>
            </w:r>
          </w:p>
        </w:tc>
        <w:tc>
          <w:tcPr>
            <w:tcW w:w="1424" w:type="dxa"/>
          </w:tcPr>
          <w:p w:rsidR="00C5170A" w:rsidRPr="008A0882" w:rsidRDefault="00C5170A" w:rsidP="00C5170A">
            <w:pPr>
              <w:jc w:val="center"/>
              <w:rPr>
                <w:rFonts w:cs="Arial"/>
                <w:szCs w:val="22"/>
              </w:rPr>
            </w:pPr>
          </w:p>
        </w:tc>
        <w:tc>
          <w:tcPr>
            <w:tcW w:w="1424" w:type="dxa"/>
          </w:tcPr>
          <w:p w:rsidR="00C5170A" w:rsidRPr="008A0882" w:rsidRDefault="00C5170A" w:rsidP="00C5170A">
            <w:pPr>
              <w:jc w:val="center"/>
              <w:rPr>
                <w:rFonts w:cs="Arial"/>
                <w:szCs w:val="22"/>
              </w:rPr>
            </w:pP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2018/19</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Lancashire</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90</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31.1</w:t>
            </w:r>
          </w:p>
        </w:tc>
        <w:tc>
          <w:tcPr>
            <w:tcW w:w="1424" w:type="dxa"/>
            <w:vAlign w:val="bottom"/>
          </w:tcPr>
          <w:p w:rsidR="00C5170A" w:rsidRPr="008A0882" w:rsidRDefault="00C5170A" w:rsidP="00C5170A">
            <w:pPr>
              <w:jc w:val="center"/>
              <w:rPr>
                <w:rFonts w:cs="Arial"/>
                <w:szCs w:val="22"/>
              </w:rPr>
            </w:pPr>
            <w:r w:rsidRPr="008A0882">
              <w:rPr>
                <w:rFonts w:cs="Arial"/>
                <w:szCs w:val="22"/>
              </w:rPr>
              <w:t>147</w:t>
            </w:r>
          </w:p>
        </w:tc>
        <w:tc>
          <w:tcPr>
            <w:tcW w:w="1424" w:type="dxa"/>
            <w:vAlign w:val="bottom"/>
          </w:tcPr>
          <w:p w:rsidR="00C5170A" w:rsidRPr="008A0882" w:rsidRDefault="00C5170A" w:rsidP="00C5170A">
            <w:pPr>
              <w:jc w:val="center"/>
              <w:rPr>
                <w:rFonts w:cs="Arial"/>
                <w:szCs w:val="22"/>
              </w:rPr>
            </w:pPr>
            <w:r w:rsidRPr="008A0882">
              <w:rPr>
                <w:rFonts w:cs="Arial"/>
                <w:szCs w:val="22"/>
              </w:rPr>
              <w:t>34.7</w:t>
            </w:r>
          </w:p>
        </w:tc>
      </w:tr>
      <w:tr w:rsidR="00C5170A" w:rsidRPr="008A0882" w:rsidTr="00636255">
        <w:trPr>
          <w:trHeight w:val="290"/>
        </w:trPr>
        <w:tc>
          <w:tcPr>
            <w:tcW w:w="1141"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2017/18</w:t>
            </w:r>
          </w:p>
        </w:tc>
        <w:tc>
          <w:tcPr>
            <w:tcW w:w="2180" w:type="dxa"/>
            <w:shd w:val="clear" w:color="auto" w:fill="D9D9D9" w:themeFill="background1" w:themeFillShade="D9"/>
            <w:noWrap/>
            <w:vAlign w:val="bottom"/>
            <w:hideMark/>
          </w:tcPr>
          <w:p w:rsidR="00C5170A" w:rsidRPr="008A0882" w:rsidRDefault="00C5170A" w:rsidP="00C5170A">
            <w:pPr>
              <w:rPr>
                <w:rFonts w:cs="Arial"/>
                <w:szCs w:val="22"/>
              </w:rPr>
            </w:pPr>
            <w:r w:rsidRPr="008A0882">
              <w:rPr>
                <w:rFonts w:cs="Arial"/>
                <w:szCs w:val="22"/>
              </w:rPr>
              <w:t>Lancashire</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92</w:t>
            </w:r>
          </w:p>
        </w:tc>
        <w:tc>
          <w:tcPr>
            <w:tcW w:w="1424" w:type="dxa"/>
            <w:shd w:val="clear" w:color="auto" w:fill="auto"/>
            <w:noWrap/>
            <w:vAlign w:val="bottom"/>
            <w:hideMark/>
          </w:tcPr>
          <w:p w:rsidR="00C5170A" w:rsidRPr="008A0882" w:rsidRDefault="00C5170A" w:rsidP="00C5170A">
            <w:pPr>
              <w:jc w:val="center"/>
              <w:rPr>
                <w:rFonts w:cs="Arial"/>
                <w:szCs w:val="22"/>
              </w:rPr>
            </w:pPr>
            <w:r w:rsidRPr="008A0882">
              <w:rPr>
                <w:rFonts w:cs="Arial"/>
                <w:szCs w:val="22"/>
              </w:rPr>
              <w:t>40.2</w:t>
            </w:r>
          </w:p>
        </w:tc>
        <w:tc>
          <w:tcPr>
            <w:tcW w:w="1424" w:type="dxa"/>
            <w:vAlign w:val="bottom"/>
          </w:tcPr>
          <w:p w:rsidR="00C5170A" w:rsidRPr="008A0882" w:rsidRDefault="00C5170A" w:rsidP="00C5170A">
            <w:pPr>
              <w:jc w:val="center"/>
              <w:rPr>
                <w:rFonts w:cs="Arial"/>
                <w:szCs w:val="22"/>
              </w:rPr>
            </w:pPr>
            <w:r w:rsidRPr="008A0882">
              <w:rPr>
                <w:rFonts w:cs="Arial"/>
                <w:szCs w:val="22"/>
              </w:rPr>
              <w:t>135</w:t>
            </w:r>
          </w:p>
        </w:tc>
        <w:tc>
          <w:tcPr>
            <w:tcW w:w="1424" w:type="dxa"/>
            <w:vAlign w:val="bottom"/>
          </w:tcPr>
          <w:p w:rsidR="00C5170A" w:rsidRPr="008A0882" w:rsidRDefault="00C5170A" w:rsidP="00C5170A">
            <w:pPr>
              <w:jc w:val="center"/>
              <w:rPr>
                <w:rFonts w:cs="Arial"/>
                <w:szCs w:val="22"/>
              </w:rPr>
            </w:pPr>
            <w:r w:rsidRPr="008A0882">
              <w:rPr>
                <w:rFonts w:cs="Arial"/>
                <w:szCs w:val="22"/>
              </w:rPr>
              <w:t>26.7</w:t>
            </w:r>
          </w:p>
        </w:tc>
      </w:tr>
    </w:tbl>
    <w:p w:rsidR="00C5170A" w:rsidRPr="008A0882" w:rsidRDefault="00C5170A" w:rsidP="00C5170A">
      <w:pPr>
        <w:autoSpaceDE w:val="0"/>
        <w:autoSpaceDN w:val="0"/>
        <w:adjustRightInd w:val="0"/>
        <w:jc w:val="both"/>
        <w:rPr>
          <w:rFonts w:cs="Arial"/>
          <w:b/>
        </w:rPr>
      </w:pPr>
    </w:p>
    <w:p w:rsidR="00C5170A" w:rsidRPr="008A0882" w:rsidRDefault="00C5170A" w:rsidP="00C5170A">
      <w:pPr>
        <w:pStyle w:val="ListParagraph"/>
        <w:numPr>
          <w:ilvl w:val="0"/>
          <w:numId w:val="6"/>
        </w:numPr>
        <w:contextualSpacing w:val="0"/>
        <w:rPr>
          <w:rFonts w:cs="Arial"/>
          <w:b/>
        </w:rPr>
      </w:pPr>
      <w:r w:rsidRPr="008A0882">
        <w:rPr>
          <w:rFonts w:cs="Arial"/>
        </w:rPr>
        <w:t>The proportion of CLA attaining the combined expected standard at KS2 declined below national in 2018/19.</w:t>
      </w:r>
    </w:p>
    <w:p w:rsidR="00C5170A" w:rsidRPr="008A0882" w:rsidRDefault="00C5170A" w:rsidP="00C5170A">
      <w:pPr>
        <w:pStyle w:val="ListParagraph"/>
        <w:numPr>
          <w:ilvl w:val="0"/>
          <w:numId w:val="6"/>
        </w:numPr>
        <w:contextualSpacing w:val="0"/>
        <w:rPr>
          <w:rFonts w:cs="Arial"/>
          <w:b/>
        </w:rPr>
      </w:pPr>
      <w:r w:rsidRPr="008A0882">
        <w:rPr>
          <w:rFonts w:cs="Arial"/>
        </w:rPr>
        <w:t>The proportion of CIN attaining the combined expected stand</w:t>
      </w:r>
      <w:r w:rsidR="00E06197" w:rsidRPr="008A0882">
        <w:rPr>
          <w:rFonts w:cs="Arial"/>
        </w:rPr>
        <w:t xml:space="preserve">ard at KS2 improved in 2018/19 </w:t>
      </w:r>
      <w:r w:rsidRPr="008A0882">
        <w:rPr>
          <w:rFonts w:cs="Arial"/>
        </w:rPr>
        <w:t>(there are no comparative national figures for CIN).</w:t>
      </w:r>
    </w:p>
    <w:p w:rsidR="00C5170A" w:rsidRPr="008A0882" w:rsidRDefault="00C5170A" w:rsidP="00C5170A">
      <w:pPr>
        <w:pStyle w:val="ListParagraph"/>
        <w:numPr>
          <w:ilvl w:val="0"/>
          <w:numId w:val="6"/>
        </w:numPr>
        <w:contextualSpacing w:val="0"/>
        <w:rPr>
          <w:rFonts w:cs="Arial"/>
          <w:b/>
        </w:rPr>
      </w:pPr>
      <w:r w:rsidRPr="008A0882">
        <w:rPr>
          <w:rFonts w:cs="Arial"/>
        </w:rPr>
        <w:t>The proportions of both groups of pupils attaining the combined expected standard are well below the average for all pupils.</w:t>
      </w:r>
    </w:p>
    <w:p w:rsidR="00AB543E" w:rsidRPr="008A0882" w:rsidRDefault="00AB543E" w:rsidP="00AB543E">
      <w:pPr>
        <w:rPr>
          <w:rFonts w:cs="Arial"/>
          <w:b/>
          <w:color w:val="000000" w:themeColor="text1"/>
        </w:rPr>
      </w:pPr>
    </w:p>
    <w:p w:rsidR="00C5170A" w:rsidRPr="008A0882" w:rsidRDefault="00C5170A" w:rsidP="00AB543E">
      <w:pPr>
        <w:rPr>
          <w:rFonts w:cs="Arial"/>
          <w:b/>
          <w:color w:val="000000" w:themeColor="text1"/>
        </w:rPr>
      </w:pPr>
    </w:p>
    <w:p w:rsidR="00AB543E" w:rsidRPr="008A0882" w:rsidRDefault="00515775" w:rsidP="00AB543E">
      <w:pPr>
        <w:rPr>
          <w:rFonts w:cs="Arial"/>
          <w:b/>
          <w:color w:val="000000" w:themeColor="text1"/>
        </w:rPr>
      </w:pPr>
      <w:r w:rsidRPr="008A0882">
        <w:rPr>
          <w:rFonts w:cs="Arial"/>
          <w:b/>
          <w:color w:val="000000" w:themeColor="text1"/>
        </w:rPr>
        <w:t xml:space="preserve">Primary School </w:t>
      </w:r>
      <w:r w:rsidR="00AB543E" w:rsidRPr="008A0882">
        <w:rPr>
          <w:rFonts w:cs="Arial"/>
          <w:b/>
          <w:color w:val="000000" w:themeColor="text1"/>
        </w:rPr>
        <w:t xml:space="preserve">District Profiles </w:t>
      </w:r>
    </w:p>
    <w:p w:rsidR="00AB543E" w:rsidRPr="008A0882" w:rsidRDefault="00AB543E" w:rsidP="00AB543E">
      <w:pPr>
        <w:rPr>
          <w:rFonts w:cs="Arial"/>
          <w:b/>
          <w:color w:val="000000" w:themeColor="text1"/>
          <w:sz w:val="10"/>
          <w:szCs w:val="10"/>
        </w:rPr>
      </w:pPr>
    </w:p>
    <w:p w:rsidR="00AB543E" w:rsidRPr="008A0882" w:rsidRDefault="00AB543E" w:rsidP="00AB543E">
      <w:pPr>
        <w:rPr>
          <w:rFonts w:cs="Arial"/>
          <w:b/>
        </w:rPr>
      </w:pPr>
      <w:r w:rsidRPr="008A0882">
        <w:rPr>
          <w:rFonts w:cs="Arial"/>
          <w:b/>
        </w:rPr>
        <w:t xml:space="preserve">Key Stage 1 (KS1) </w:t>
      </w:r>
    </w:p>
    <w:p w:rsidR="00AB543E" w:rsidRPr="008A0882" w:rsidRDefault="00AB543E" w:rsidP="00AB543E">
      <w:pPr>
        <w:rPr>
          <w:rFonts w:cs="Arial"/>
          <w:b/>
          <w:i/>
          <w:color w:val="000000" w:themeColor="text1"/>
          <w:sz w:val="10"/>
          <w:szCs w:val="10"/>
        </w:rPr>
      </w:pPr>
    </w:p>
    <w:tbl>
      <w:tblPr>
        <w:tblW w:w="9749" w:type="dxa"/>
        <w:jc w:val="center"/>
        <w:tblLayout w:type="fixed"/>
        <w:tblLook w:val="04A0" w:firstRow="1" w:lastRow="0" w:firstColumn="1" w:lastColumn="0" w:noHBand="0" w:noVBand="1"/>
      </w:tblPr>
      <w:tblGrid>
        <w:gridCol w:w="1121"/>
        <w:gridCol w:w="958"/>
        <w:gridCol w:w="959"/>
        <w:gridCol w:w="959"/>
        <w:gridCol w:w="960"/>
        <w:gridCol w:w="957"/>
        <w:gridCol w:w="959"/>
        <w:gridCol w:w="958"/>
        <w:gridCol w:w="811"/>
        <w:gridCol w:w="1107"/>
      </w:tblGrid>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rPr>
                <w:rFonts w:cs="Arial"/>
                <w:b/>
                <w:color w:val="000000"/>
                <w:sz w:val="20"/>
                <w:szCs w:val="24"/>
              </w:rPr>
            </w:pPr>
            <w:r w:rsidRPr="008A0882">
              <w:rPr>
                <w:rFonts w:cs="Arial"/>
                <w:b/>
                <w:color w:val="000000"/>
                <w:sz w:val="20"/>
                <w:szCs w:val="24"/>
              </w:rPr>
              <w:t>KS1 Results</w:t>
            </w:r>
          </w:p>
        </w:tc>
        <w:tc>
          <w:tcPr>
            <w:tcW w:w="3836" w:type="dxa"/>
            <w:gridSpan w:val="4"/>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 w:val="20"/>
                <w:szCs w:val="24"/>
              </w:rPr>
            </w:pPr>
            <w:r w:rsidRPr="008A0882">
              <w:rPr>
                <w:rFonts w:cs="Arial"/>
                <w:b/>
                <w:bCs/>
                <w:color w:val="000000"/>
                <w:sz w:val="20"/>
                <w:szCs w:val="24"/>
              </w:rPr>
              <w:t>2019</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 w:val="20"/>
                <w:szCs w:val="24"/>
              </w:rPr>
            </w:pPr>
            <w:r w:rsidRPr="008A0882">
              <w:rPr>
                <w:rFonts w:cs="Arial"/>
                <w:b/>
                <w:bCs/>
                <w:color w:val="000000"/>
                <w:sz w:val="20"/>
                <w:szCs w:val="24"/>
              </w:rPr>
              <w:t>2018</w:t>
            </w:r>
          </w:p>
        </w:tc>
        <w:tc>
          <w:tcPr>
            <w:tcW w:w="11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B543E" w:rsidRPr="008A0882" w:rsidRDefault="00AB543E" w:rsidP="00AB543E">
            <w:pPr>
              <w:jc w:val="center"/>
              <w:rPr>
                <w:rFonts w:cs="Arial"/>
                <w:b/>
                <w:bCs/>
                <w:color w:val="000000"/>
                <w:sz w:val="20"/>
                <w:szCs w:val="24"/>
              </w:rPr>
            </w:pPr>
            <w:r w:rsidRPr="008A0882">
              <w:rPr>
                <w:rFonts w:cs="Arial"/>
                <w:b/>
                <w:bCs/>
                <w:color w:val="000000"/>
                <w:sz w:val="20"/>
                <w:szCs w:val="24"/>
              </w:rPr>
              <w:t>2019 v 2018</w:t>
            </w:r>
          </w:p>
        </w:tc>
      </w:tr>
      <w:tr w:rsidR="00AB543E" w:rsidRPr="008A0882" w:rsidTr="00AB543E">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rPr>
                <w:rFonts w:cs="Arial"/>
                <w:b/>
                <w:color w:val="000000"/>
                <w:sz w:val="20"/>
                <w:szCs w:val="24"/>
              </w:rPr>
            </w:pPr>
            <w:r w:rsidRPr="008A0882">
              <w:rPr>
                <w:rFonts w:cs="Arial"/>
                <w:b/>
                <w:color w:val="000000"/>
                <w:sz w:val="20"/>
                <w:szCs w:val="24"/>
              </w:rPr>
              <w:t>KPI</w:t>
            </w:r>
          </w:p>
        </w:tc>
        <w:tc>
          <w:tcPr>
            <w:tcW w:w="958" w:type="dxa"/>
            <w:tcBorders>
              <w:top w:val="single" w:sz="4" w:space="0" w:color="auto"/>
              <w:left w:val="nil"/>
              <w:bottom w:val="single" w:sz="4" w:space="0" w:color="auto"/>
              <w:right w:val="nil"/>
            </w:tcBorders>
            <w:shd w:val="clear" w:color="auto" w:fill="D9D9D9" w:themeFill="background1" w:themeFillShade="D9"/>
            <w:noWrap/>
            <w:vAlign w:val="center"/>
            <w:hideMark/>
          </w:tcPr>
          <w:p w:rsidR="00AB543E" w:rsidRPr="008A0882" w:rsidRDefault="00AB543E" w:rsidP="00515775">
            <w:pPr>
              <w:ind w:left="-99"/>
              <w:jc w:val="center"/>
              <w:rPr>
                <w:rFonts w:cs="Arial"/>
                <w:color w:val="000000"/>
                <w:sz w:val="20"/>
                <w:szCs w:val="24"/>
              </w:rPr>
            </w:pPr>
            <w:r w:rsidRPr="008A0882">
              <w:rPr>
                <w:rFonts w:cs="Arial"/>
                <w:color w:val="000000"/>
                <w:sz w:val="20"/>
                <w:szCs w:val="24"/>
              </w:rPr>
              <w:t>Reading+</w:t>
            </w:r>
          </w:p>
        </w:tc>
        <w:tc>
          <w:tcPr>
            <w:tcW w:w="959"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Writing</w:t>
            </w:r>
            <w:r w:rsidR="00515775" w:rsidRPr="008A0882">
              <w:rPr>
                <w:rFonts w:cs="Arial"/>
                <w:color w:val="000000"/>
                <w:sz w:val="20"/>
                <w:szCs w:val="24"/>
              </w:rPr>
              <w:br/>
            </w:r>
            <w:r w:rsidRPr="008A0882">
              <w:rPr>
                <w:rFonts w:cs="Arial"/>
                <w:color w:val="000000"/>
                <w:sz w:val="20"/>
                <w:szCs w:val="24"/>
              </w:rPr>
              <w:t>+</w:t>
            </w:r>
          </w:p>
        </w:tc>
        <w:tc>
          <w:tcPr>
            <w:tcW w:w="959"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515775" w:rsidP="00AB543E">
            <w:pPr>
              <w:jc w:val="center"/>
              <w:rPr>
                <w:rFonts w:cs="Arial"/>
                <w:b/>
                <w:color w:val="000000"/>
                <w:sz w:val="20"/>
                <w:szCs w:val="24"/>
              </w:rPr>
            </w:pPr>
            <w:r w:rsidRPr="008A0882">
              <w:rPr>
                <w:rFonts w:cs="Arial"/>
                <w:color w:val="000000"/>
                <w:sz w:val="20"/>
                <w:szCs w:val="24"/>
              </w:rPr>
              <w:t>Maths</w:t>
            </w:r>
            <w:r w:rsidRPr="008A0882">
              <w:rPr>
                <w:rFonts w:cs="Arial"/>
                <w:color w:val="000000"/>
                <w:sz w:val="20"/>
                <w:szCs w:val="24"/>
              </w:rPr>
              <w:br/>
              <w:t>+</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RWM</w:t>
            </w:r>
            <w:r w:rsidR="00515775" w:rsidRPr="008A0882">
              <w:rPr>
                <w:rFonts w:cs="Arial"/>
                <w:color w:val="000000"/>
                <w:sz w:val="20"/>
                <w:szCs w:val="24"/>
              </w:rPr>
              <w:br/>
            </w:r>
            <w:r w:rsidRPr="008A0882">
              <w:rPr>
                <w:rFonts w:cs="Arial"/>
                <w:color w:val="000000"/>
                <w:sz w:val="20"/>
                <w:szCs w:val="24"/>
              </w:rPr>
              <w:t>+</w:t>
            </w:r>
          </w:p>
        </w:tc>
        <w:tc>
          <w:tcPr>
            <w:tcW w:w="957"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515775">
            <w:pPr>
              <w:ind w:left="-110"/>
              <w:jc w:val="center"/>
              <w:rPr>
                <w:rFonts w:cs="Arial"/>
                <w:color w:val="000000"/>
                <w:sz w:val="20"/>
                <w:szCs w:val="24"/>
              </w:rPr>
            </w:pPr>
            <w:r w:rsidRPr="008A0882">
              <w:rPr>
                <w:rFonts w:cs="Arial"/>
                <w:color w:val="000000"/>
                <w:sz w:val="20"/>
                <w:szCs w:val="24"/>
              </w:rPr>
              <w:t>Reading+</w:t>
            </w:r>
          </w:p>
        </w:tc>
        <w:tc>
          <w:tcPr>
            <w:tcW w:w="959"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Writing</w:t>
            </w:r>
            <w:r w:rsidR="00515775" w:rsidRPr="008A0882">
              <w:rPr>
                <w:rFonts w:cs="Arial"/>
                <w:color w:val="000000"/>
                <w:sz w:val="20"/>
                <w:szCs w:val="24"/>
              </w:rPr>
              <w:br/>
            </w:r>
            <w:r w:rsidRPr="008A0882">
              <w:rPr>
                <w:rFonts w:cs="Arial"/>
                <w:color w:val="000000"/>
                <w:sz w:val="20"/>
                <w:szCs w:val="24"/>
              </w:rPr>
              <w:t>+</w:t>
            </w:r>
          </w:p>
        </w:tc>
        <w:tc>
          <w:tcPr>
            <w:tcW w:w="958"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Maths</w:t>
            </w:r>
            <w:r w:rsidR="00515775" w:rsidRPr="008A0882">
              <w:rPr>
                <w:rFonts w:cs="Arial"/>
                <w:color w:val="000000"/>
                <w:sz w:val="20"/>
                <w:szCs w:val="24"/>
              </w:rPr>
              <w:br/>
            </w:r>
            <w:r w:rsidRPr="008A0882">
              <w:rPr>
                <w:rFonts w:cs="Arial"/>
                <w:color w:val="000000"/>
                <w:sz w:val="20"/>
                <w:szCs w:val="24"/>
              </w:rPr>
              <w:t>+</w:t>
            </w:r>
          </w:p>
        </w:tc>
        <w:tc>
          <w:tcPr>
            <w:tcW w:w="811"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RWM+</w:t>
            </w:r>
          </w:p>
        </w:tc>
        <w:tc>
          <w:tcPr>
            <w:tcW w:w="1107" w:type="dxa"/>
            <w:tcBorders>
              <w:top w:val="nil"/>
              <w:left w:val="nil"/>
              <w:bottom w:val="single" w:sz="4" w:space="0" w:color="auto"/>
              <w:right w:val="single" w:sz="4" w:space="0" w:color="auto"/>
            </w:tcBorders>
            <w:shd w:val="clear" w:color="auto" w:fill="D9D9D9" w:themeFill="background1" w:themeFillShade="D9"/>
            <w:vAlign w:val="center"/>
          </w:tcPr>
          <w:p w:rsidR="00AB543E" w:rsidRPr="008A0882" w:rsidRDefault="00AB543E" w:rsidP="00AB543E">
            <w:pPr>
              <w:jc w:val="center"/>
              <w:rPr>
                <w:rFonts w:cs="Arial"/>
                <w:b/>
                <w:color w:val="000000"/>
                <w:sz w:val="20"/>
                <w:szCs w:val="24"/>
              </w:rPr>
            </w:pPr>
            <w:r w:rsidRPr="008A0882">
              <w:rPr>
                <w:rFonts w:cs="Arial"/>
                <w:b/>
                <w:color w:val="000000"/>
                <w:sz w:val="20"/>
                <w:szCs w:val="24"/>
              </w:rPr>
              <w:t>RWM+</w:t>
            </w:r>
          </w:p>
          <w:p w:rsidR="00AB543E" w:rsidRPr="008A0882" w:rsidRDefault="00AB543E" w:rsidP="00AB543E">
            <w:pPr>
              <w:jc w:val="center"/>
              <w:rPr>
                <w:rFonts w:cs="Arial"/>
                <w:b/>
                <w:color w:val="000000"/>
                <w:sz w:val="20"/>
                <w:szCs w:val="24"/>
              </w:rPr>
            </w:pPr>
            <w:r w:rsidRPr="008A0882">
              <w:rPr>
                <w:rFonts w:cs="Arial"/>
                <w:b/>
                <w:color w:val="000000"/>
                <w:sz w:val="20"/>
                <w:szCs w:val="24"/>
              </w:rPr>
              <w:t>+/-</w:t>
            </w:r>
          </w:p>
        </w:tc>
      </w:tr>
      <w:tr w:rsidR="00AB543E" w:rsidRPr="008A0882" w:rsidTr="00515775">
        <w:trPr>
          <w:trHeight w:val="288"/>
          <w:jc w:val="center"/>
        </w:trPr>
        <w:tc>
          <w:tcPr>
            <w:tcW w:w="1121" w:type="dxa"/>
            <w:tcBorders>
              <w:top w:val="nil"/>
              <w:left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rPr>
                <w:rFonts w:ascii="Arial" w:hAnsi="Arial" w:cs="Arial"/>
                <w:b/>
                <w:sz w:val="20"/>
                <w:szCs w:val="24"/>
              </w:rPr>
            </w:pPr>
            <w:r w:rsidRPr="008A0882">
              <w:rPr>
                <w:rFonts w:ascii="Arial" w:hAnsi="Arial" w:cs="Arial"/>
                <w:b/>
                <w:sz w:val="20"/>
                <w:szCs w:val="24"/>
              </w:rPr>
              <w:t>England</w:t>
            </w:r>
          </w:p>
        </w:tc>
        <w:tc>
          <w:tcPr>
            <w:tcW w:w="958" w:type="dxa"/>
            <w:tcBorders>
              <w:top w:val="nil"/>
              <w:left w:val="nil"/>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75.0</w:t>
            </w:r>
          </w:p>
        </w:tc>
        <w:tc>
          <w:tcPr>
            <w:tcW w:w="959" w:type="dxa"/>
            <w:tcBorders>
              <w:top w:val="nil"/>
              <w:left w:val="nil"/>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69.0</w:t>
            </w:r>
          </w:p>
        </w:tc>
        <w:tc>
          <w:tcPr>
            <w:tcW w:w="959" w:type="dxa"/>
            <w:tcBorders>
              <w:top w:val="nil"/>
              <w:left w:val="nil"/>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76.0</w:t>
            </w:r>
          </w:p>
        </w:tc>
        <w:tc>
          <w:tcPr>
            <w:tcW w:w="960" w:type="dxa"/>
            <w:tcBorders>
              <w:top w:val="nil"/>
              <w:left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64.9</w:t>
            </w:r>
          </w:p>
        </w:tc>
        <w:tc>
          <w:tcPr>
            <w:tcW w:w="957" w:type="dxa"/>
            <w:tcBorders>
              <w:top w:val="nil"/>
              <w:left w:val="nil"/>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75.0</w:t>
            </w:r>
          </w:p>
        </w:tc>
        <w:tc>
          <w:tcPr>
            <w:tcW w:w="959" w:type="dxa"/>
            <w:tcBorders>
              <w:top w:val="nil"/>
              <w:left w:val="nil"/>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70.0</w:t>
            </w:r>
          </w:p>
        </w:tc>
        <w:tc>
          <w:tcPr>
            <w:tcW w:w="958" w:type="dxa"/>
            <w:tcBorders>
              <w:top w:val="nil"/>
              <w:left w:val="nil"/>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76.0</w:t>
            </w:r>
          </w:p>
        </w:tc>
        <w:tc>
          <w:tcPr>
            <w:tcW w:w="811" w:type="dxa"/>
            <w:tcBorders>
              <w:top w:val="nil"/>
              <w:left w:val="nil"/>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65.3</w:t>
            </w:r>
          </w:p>
        </w:tc>
        <w:tc>
          <w:tcPr>
            <w:tcW w:w="1107" w:type="dxa"/>
            <w:tcBorders>
              <w:top w:val="nil"/>
              <w:left w:val="nil"/>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lang w:eastAsia="en-GB"/>
              </w:rPr>
            </w:pPr>
            <w:r w:rsidRPr="008A0882">
              <w:rPr>
                <w:rFonts w:ascii="Arial" w:hAnsi="Arial" w:cs="Arial"/>
                <w:b/>
                <w:sz w:val="20"/>
                <w:szCs w:val="24"/>
                <w:lang w:eastAsia="en-GB"/>
              </w:rPr>
              <w:t>-0.4</w:t>
            </w:r>
          </w:p>
        </w:tc>
      </w:tr>
      <w:tr w:rsidR="00AB543E" w:rsidRPr="008A0882" w:rsidTr="00515775">
        <w:trPr>
          <w:trHeight w:val="288"/>
          <w:jc w:val="center"/>
        </w:trPr>
        <w:tc>
          <w:tcPr>
            <w:tcW w:w="1121" w:type="dxa"/>
            <w:tcBorders>
              <w:top w:val="nil"/>
              <w:left w:val="single" w:sz="4" w:space="0" w:color="auto"/>
              <w:bottom w:val="single" w:sz="12" w:space="0" w:color="auto"/>
              <w:right w:val="single" w:sz="4" w:space="0" w:color="auto"/>
            </w:tcBorders>
            <w:shd w:val="clear" w:color="auto" w:fill="D9D9D9" w:themeFill="background1" w:themeFillShade="D9"/>
            <w:noWrap/>
            <w:vAlign w:val="center"/>
            <w:hideMark/>
          </w:tcPr>
          <w:p w:rsidR="00AB543E" w:rsidRPr="008A0882" w:rsidRDefault="00AB543E" w:rsidP="00515775">
            <w:pPr>
              <w:pStyle w:val="NoSpacing"/>
              <w:rPr>
                <w:rFonts w:ascii="Arial" w:hAnsi="Arial" w:cs="Arial"/>
                <w:b/>
                <w:sz w:val="20"/>
                <w:szCs w:val="24"/>
              </w:rPr>
            </w:pPr>
            <w:proofErr w:type="spellStart"/>
            <w:r w:rsidRPr="008A0882">
              <w:rPr>
                <w:rFonts w:ascii="Arial" w:hAnsi="Arial" w:cs="Arial"/>
                <w:b/>
                <w:sz w:val="20"/>
                <w:szCs w:val="24"/>
              </w:rPr>
              <w:t>Lancs</w:t>
            </w:r>
            <w:proofErr w:type="spellEnd"/>
          </w:p>
        </w:tc>
        <w:tc>
          <w:tcPr>
            <w:tcW w:w="958" w:type="dxa"/>
            <w:tcBorders>
              <w:top w:val="nil"/>
              <w:left w:val="nil"/>
              <w:bottom w:val="single" w:sz="12" w:space="0" w:color="auto"/>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74.0</w:t>
            </w:r>
          </w:p>
        </w:tc>
        <w:tc>
          <w:tcPr>
            <w:tcW w:w="959" w:type="dxa"/>
            <w:tcBorders>
              <w:top w:val="nil"/>
              <w:left w:val="nil"/>
              <w:bottom w:val="single" w:sz="12" w:space="0" w:color="auto"/>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68.0</w:t>
            </w:r>
          </w:p>
        </w:tc>
        <w:tc>
          <w:tcPr>
            <w:tcW w:w="959" w:type="dxa"/>
            <w:tcBorders>
              <w:top w:val="nil"/>
              <w:left w:val="nil"/>
              <w:bottom w:val="single" w:sz="12" w:space="0" w:color="auto"/>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74.0</w:t>
            </w:r>
          </w:p>
        </w:tc>
        <w:tc>
          <w:tcPr>
            <w:tcW w:w="960" w:type="dxa"/>
            <w:tcBorders>
              <w:top w:val="nil"/>
              <w:left w:val="nil"/>
              <w:bottom w:val="single" w:sz="12"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63.3</w:t>
            </w:r>
          </w:p>
        </w:tc>
        <w:tc>
          <w:tcPr>
            <w:tcW w:w="957" w:type="dxa"/>
            <w:tcBorders>
              <w:top w:val="nil"/>
              <w:left w:val="nil"/>
              <w:bottom w:val="single" w:sz="12" w:space="0" w:color="auto"/>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74.6</w:t>
            </w:r>
          </w:p>
        </w:tc>
        <w:tc>
          <w:tcPr>
            <w:tcW w:w="959" w:type="dxa"/>
            <w:tcBorders>
              <w:top w:val="nil"/>
              <w:left w:val="nil"/>
              <w:bottom w:val="single" w:sz="12" w:space="0" w:color="auto"/>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69.3</w:t>
            </w:r>
          </w:p>
        </w:tc>
        <w:tc>
          <w:tcPr>
            <w:tcW w:w="958" w:type="dxa"/>
            <w:tcBorders>
              <w:top w:val="nil"/>
              <w:left w:val="nil"/>
              <w:bottom w:val="single" w:sz="12" w:space="0" w:color="auto"/>
              <w:right w:val="nil"/>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75.1</w:t>
            </w:r>
          </w:p>
        </w:tc>
        <w:tc>
          <w:tcPr>
            <w:tcW w:w="811" w:type="dxa"/>
            <w:tcBorders>
              <w:top w:val="nil"/>
              <w:left w:val="nil"/>
              <w:bottom w:val="single" w:sz="12"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64.2</w:t>
            </w:r>
          </w:p>
        </w:tc>
        <w:tc>
          <w:tcPr>
            <w:tcW w:w="1107" w:type="dxa"/>
            <w:tcBorders>
              <w:top w:val="nil"/>
              <w:left w:val="nil"/>
              <w:bottom w:val="single" w:sz="12"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lang w:eastAsia="en-GB"/>
              </w:rPr>
            </w:pPr>
            <w:r w:rsidRPr="008A0882">
              <w:rPr>
                <w:rFonts w:ascii="Arial" w:hAnsi="Arial" w:cs="Arial"/>
                <w:b/>
                <w:sz w:val="20"/>
                <w:szCs w:val="24"/>
                <w:lang w:eastAsia="en-GB"/>
              </w:rPr>
              <w:t>-0.9</w:t>
            </w:r>
          </w:p>
        </w:tc>
      </w:tr>
      <w:tr w:rsidR="00AB543E" w:rsidRPr="008A0882" w:rsidTr="00515775">
        <w:trPr>
          <w:trHeight w:val="288"/>
          <w:jc w:val="center"/>
        </w:trPr>
        <w:tc>
          <w:tcPr>
            <w:tcW w:w="1121"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Burnley</w:t>
            </w:r>
          </w:p>
        </w:tc>
        <w:tc>
          <w:tcPr>
            <w:tcW w:w="958"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66.0</w:t>
            </w:r>
          </w:p>
        </w:tc>
        <w:tc>
          <w:tcPr>
            <w:tcW w:w="959"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60.2</w:t>
            </w:r>
          </w:p>
        </w:tc>
        <w:tc>
          <w:tcPr>
            <w:tcW w:w="959"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66.9</w:t>
            </w:r>
          </w:p>
        </w:tc>
        <w:tc>
          <w:tcPr>
            <w:tcW w:w="96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56.9</w:t>
            </w:r>
          </w:p>
        </w:tc>
        <w:tc>
          <w:tcPr>
            <w:tcW w:w="957"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68.8</w:t>
            </w:r>
          </w:p>
        </w:tc>
        <w:tc>
          <w:tcPr>
            <w:tcW w:w="959"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63.2</w:t>
            </w:r>
          </w:p>
        </w:tc>
        <w:tc>
          <w:tcPr>
            <w:tcW w:w="9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69.2</w:t>
            </w:r>
          </w:p>
        </w:tc>
        <w:tc>
          <w:tcPr>
            <w:tcW w:w="811"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57.2</w:t>
            </w:r>
          </w:p>
        </w:tc>
        <w:tc>
          <w:tcPr>
            <w:tcW w:w="110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-0.3</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Chorley</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76.4</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69.8</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64.5</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76.5</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70.4</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77.2</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65.8</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-1.3</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Fylde</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76.2</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71.6</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67.9</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81.1</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75.8</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80.0</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71.1</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-3.2</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Hyndburn</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69.7</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64.2</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69.0</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59.3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72.7</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67.8</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72.5</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61.7</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-2.4</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Lancaster</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73.2</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67.1</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75.0</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62.3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72.1</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67.7</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73.3</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62.1</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0.2</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Pendle</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66.1</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61.2</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56.6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71.6</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64.1</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72.2</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60.3</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-3.7</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Preston</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74.9</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71.3</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66.3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75.1</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69.9</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75.8</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64.9</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1.4</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515775" w:rsidP="00AB543E">
            <w:pPr>
              <w:pStyle w:val="NoSpacing"/>
              <w:rPr>
                <w:rFonts w:ascii="Arial" w:hAnsi="Arial" w:cs="Arial"/>
                <w:sz w:val="20"/>
                <w:szCs w:val="24"/>
              </w:rPr>
            </w:pPr>
            <w:r w:rsidRPr="008A0882">
              <w:rPr>
                <w:rFonts w:ascii="Arial" w:hAnsi="Arial" w:cs="Arial"/>
                <w:sz w:val="20"/>
                <w:szCs w:val="24"/>
              </w:rPr>
              <w:t>R</w:t>
            </w:r>
            <w:r w:rsidR="00AB543E" w:rsidRPr="008A0882">
              <w:rPr>
                <w:rFonts w:ascii="Arial" w:hAnsi="Arial" w:cs="Arial"/>
                <w:sz w:val="20"/>
                <w:szCs w:val="24"/>
              </w:rPr>
              <w:t xml:space="preserve"> Valley</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81.6</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75.1</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79.2</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70.6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81.2</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76.1</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81.3</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71.0</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-0.4</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515775">
            <w:pPr>
              <w:pStyle w:val="NoSpacing"/>
              <w:rPr>
                <w:rFonts w:ascii="Arial" w:hAnsi="Arial" w:cs="Arial"/>
                <w:sz w:val="20"/>
                <w:szCs w:val="24"/>
              </w:rPr>
            </w:pPr>
            <w:proofErr w:type="spellStart"/>
            <w:r w:rsidRPr="008A0882">
              <w:rPr>
                <w:rFonts w:ascii="Arial" w:hAnsi="Arial" w:cs="Arial"/>
                <w:sz w:val="20"/>
                <w:szCs w:val="24"/>
              </w:rPr>
              <w:t>Ross</w:t>
            </w:r>
            <w:r w:rsidR="00515775" w:rsidRPr="008A0882">
              <w:rPr>
                <w:rFonts w:ascii="Arial" w:hAnsi="Arial" w:cs="Arial"/>
                <w:sz w:val="20"/>
                <w:szCs w:val="24"/>
              </w:rPr>
              <w:t>'</w:t>
            </w:r>
            <w:r w:rsidRPr="008A0882">
              <w:rPr>
                <w:rFonts w:ascii="Arial" w:hAnsi="Arial" w:cs="Arial"/>
                <w:sz w:val="20"/>
                <w:szCs w:val="24"/>
              </w:rPr>
              <w:t>dale</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74.2</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69.3</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72.8</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68.7</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73.9</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62.9</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2.2</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515775">
            <w:pPr>
              <w:pStyle w:val="NoSpacing"/>
              <w:rPr>
                <w:rFonts w:ascii="Arial" w:hAnsi="Arial" w:cs="Arial"/>
                <w:sz w:val="20"/>
                <w:szCs w:val="24"/>
              </w:rPr>
            </w:pPr>
            <w:r w:rsidRPr="008A0882">
              <w:rPr>
                <w:rFonts w:ascii="Arial" w:hAnsi="Arial" w:cs="Arial"/>
                <w:sz w:val="20"/>
                <w:szCs w:val="24"/>
              </w:rPr>
              <w:t xml:space="preserve">S </w:t>
            </w:r>
            <w:proofErr w:type="spellStart"/>
            <w:r w:rsidRPr="008A0882">
              <w:rPr>
                <w:rFonts w:ascii="Arial" w:hAnsi="Arial" w:cs="Arial"/>
                <w:sz w:val="20"/>
                <w:szCs w:val="24"/>
              </w:rPr>
              <w:t>Ribble</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75.6</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69.9</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75.9</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70.1</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75.5</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64.6</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-0.5</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515775">
            <w:pPr>
              <w:pStyle w:val="NoSpacing"/>
              <w:rPr>
                <w:rFonts w:ascii="Arial" w:hAnsi="Arial" w:cs="Arial"/>
                <w:sz w:val="20"/>
                <w:szCs w:val="24"/>
              </w:rPr>
            </w:pPr>
            <w:r w:rsidRPr="008A0882">
              <w:rPr>
                <w:rFonts w:ascii="Arial" w:hAnsi="Arial" w:cs="Arial"/>
                <w:sz w:val="20"/>
                <w:szCs w:val="24"/>
              </w:rPr>
              <w:t xml:space="preserve">W </w:t>
            </w:r>
            <w:proofErr w:type="spellStart"/>
            <w:r w:rsidRPr="008A0882">
              <w:rPr>
                <w:rFonts w:ascii="Arial" w:hAnsi="Arial" w:cs="Arial"/>
                <w:sz w:val="20"/>
                <w:szCs w:val="24"/>
              </w:rPr>
              <w:t>Lancs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76.4</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69.2</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77.0</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72.6</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78.7</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67.4</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-2.6</w:t>
            </w:r>
          </w:p>
        </w:tc>
      </w:tr>
      <w:tr w:rsidR="00AB543E" w:rsidRPr="008A0882" w:rsidTr="00515775">
        <w:trPr>
          <w:trHeight w:val="288"/>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Wyre</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75.3</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68.8</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77.1</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72.5</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77.5</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67.9</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-2.3</w:t>
            </w:r>
          </w:p>
        </w:tc>
      </w:tr>
    </w:tbl>
    <w:p w:rsidR="00AB543E" w:rsidRPr="008A0882" w:rsidRDefault="00AB543E" w:rsidP="00AB543E">
      <w:pPr>
        <w:rPr>
          <w:rFonts w:cs="Arial"/>
          <w:b/>
          <w:color w:val="000000" w:themeColor="text1"/>
          <w:sz w:val="10"/>
          <w:szCs w:val="10"/>
        </w:rPr>
      </w:pPr>
    </w:p>
    <w:p w:rsidR="00AB543E" w:rsidRPr="008A0882" w:rsidRDefault="00AB543E" w:rsidP="00AB543E">
      <w:pPr>
        <w:pStyle w:val="ListParagraph"/>
        <w:numPr>
          <w:ilvl w:val="0"/>
          <w:numId w:val="6"/>
        </w:numPr>
        <w:contextualSpacing w:val="0"/>
        <w:rPr>
          <w:rFonts w:cs="Arial"/>
        </w:rPr>
      </w:pPr>
      <w:r w:rsidRPr="008A0882">
        <w:rPr>
          <w:rFonts w:cs="Arial"/>
        </w:rPr>
        <w:t>Burnley, Hyndbu</w:t>
      </w:r>
      <w:r w:rsidR="00D77F0B">
        <w:rPr>
          <w:rFonts w:cs="Arial"/>
        </w:rPr>
        <w:t>rn, Pendle are below both 2019 n</w:t>
      </w:r>
      <w:r w:rsidRPr="008A0882">
        <w:rPr>
          <w:rFonts w:cs="Arial"/>
        </w:rPr>
        <w:t>ational and 2019 Lancashire average outcomes across all Key Performance Indicators. They are also all lower than 2018 Lancashire figures.</w:t>
      </w:r>
    </w:p>
    <w:p w:rsidR="00AB543E" w:rsidRPr="008A0882" w:rsidRDefault="00AB543E" w:rsidP="00AB543E">
      <w:pPr>
        <w:pStyle w:val="ListParagraph"/>
        <w:numPr>
          <w:ilvl w:val="0"/>
          <w:numId w:val="6"/>
        </w:numPr>
        <w:contextualSpacing w:val="0"/>
        <w:rPr>
          <w:rFonts w:cs="Arial"/>
          <w:b/>
        </w:rPr>
      </w:pPr>
      <w:r w:rsidRPr="008A0882">
        <w:rPr>
          <w:rFonts w:cs="Arial"/>
        </w:rPr>
        <w:t xml:space="preserve">In 2019, only three districts (Lancaster, Preston and </w:t>
      </w:r>
      <w:proofErr w:type="spellStart"/>
      <w:r w:rsidRPr="008A0882">
        <w:rPr>
          <w:rFonts w:cs="Arial"/>
        </w:rPr>
        <w:t>Ribble</w:t>
      </w:r>
      <w:proofErr w:type="spellEnd"/>
      <w:r w:rsidRPr="008A0882">
        <w:rPr>
          <w:rFonts w:cs="Arial"/>
        </w:rPr>
        <w:t xml:space="preserve"> Valley) of twelve have improved the % of children reaching the combined expected standard in Reading, Writing and Maths when compared against Lancashire 2018 outcomes.</w:t>
      </w:r>
    </w:p>
    <w:p w:rsidR="00FA3449" w:rsidRDefault="00FA3449" w:rsidP="00FA3449">
      <w:pPr>
        <w:rPr>
          <w:rFonts w:cs="Arial"/>
          <w:b/>
        </w:rPr>
      </w:pPr>
    </w:p>
    <w:p w:rsidR="0019496E" w:rsidRDefault="0019496E" w:rsidP="00FA3449">
      <w:pPr>
        <w:rPr>
          <w:rFonts w:cs="Arial"/>
          <w:b/>
        </w:rPr>
      </w:pPr>
    </w:p>
    <w:p w:rsidR="0019496E" w:rsidRDefault="0019496E" w:rsidP="00FA3449">
      <w:pPr>
        <w:rPr>
          <w:rFonts w:cs="Arial"/>
          <w:b/>
        </w:rPr>
      </w:pPr>
    </w:p>
    <w:p w:rsidR="0019496E" w:rsidRPr="008A0882" w:rsidRDefault="0019496E" w:rsidP="00FA3449">
      <w:pPr>
        <w:rPr>
          <w:rFonts w:cs="Arial"/>
          <w:b/>
        </w:rPr>
      </w:pPr>
    </w:p>
    <w:p w:rsidR="00AB543E" w:rsidRPr="008A0882" w:rsidRDefault="00AB543E" w:rsidP="00AB543E">
      <w:pPr>
        <w:rPr>
          <w:rFonts w:cs="Arial"/>
          <w:b/>
          <w:color w:val="000000" w:themeColor="text1"/>
          <w:sz w:val="10"/>
          <w:szCs w:val="10"/>
        </w:rPr>
      </w:pPr>
    </w:p>
    <w:p w:rsidR="00AB543E" w:rsidRPr="008A0882" w:rsidRDefault="00AB543E" w:rsidP="00AB543E">
      <w:pPr>
        <w:rPr>
          <w:rFonts w:cs="Arial"/>
          <w:b/>
        </w:rPr>
      </w:pPr>
      <w:r w:rsidRPr="008A0882">
        <w:rPr>
          <w:rFonts w:cs="Arial"/>
          <w:b/>
        </w:rPr>
        <w:lastRenderedPageBreak/>
        <w:t xml:space="preserve">Key Stage 2 (KS2) – District Profile </w:t>
      </w:r>
    </w:p>
    <w:p w:rsidR="00AB543E" w:rsidRPr="008A0882" w:rsidRDefault="00AB543E" w:rsidP="00AB543E">
      <w:pPr>
        <w:rPr>
          <w:rFonts w:cs="Arial"/>
          <w:b/>
          <w:i/>
          <w:color w:val="000000" w:themeColor="text1"/>
          <w:sz w:val="10"/>
          <w:szCs w:val="10"/>
        </w:rPr>
      </w:pPr>
    </w:p>
    <w:tbl>
      <w:tblPr>
        <w:tblW w:w="9776" w:type="dxa"/>
        <w:jc w:val="center"/>
        <w:tblLayout w:type="fixed"/>
        <w:tblLook w:val="04A0" w:firstRow="1" w:lastRow="0" w:firstColumn="1" w:lastColumn="0" w:noHBand="0" w:noVBand="1"/>
      </w:tblPr>
      <w:tblGrid>
        <w:gridCol w:w="1120"/>
        <w:gridCol w:w="957"/>
        <w:gridCol w:w="959"/>
        <w:gridCol w:w="959"/>
        <w:gridCol w:w="960"/>
        <w:gridCol w:w="959"/>
        <w:gridCol w:w="959"/>
        <w:gridCol w:w="958"/>
        <w:gridCol w:w="811"/>
        <w:gridCol w:w="1134"/>
      </w:tblGrid>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rsidR="00AB543E" w:rsidRPr="008A0882" w:rsidRDefault="00AB543E" w:rsidP="00AB543E">
            <w:pPr>
              <w:rPr>
                <w:rFonts w:cs="Arial"/>
                <w:b/>
                <w:color w:val="000000"/>
                <w:sz w:val="20"/>
                <w:szCs w:val="24"/>
              </w:rPr>
            </w:pPr>
            <w:r w:rsidRPr="008A0882">
              <w:rPr>
                <w:rFonts w:cs="Arial"/>
                <w:b/>
                <w:color w:val="000000"/>
                <w:sz w:val="20"/>
                <w:szCs w:val="24"/>
              </w:rPr>
              <w:t>KS2 Results</w:t>
            </w:r>
          </w:p>
        </w:tc>
        <w:tc>
          <w:tcPr>
            <w:tcW w:w="3835" w:type="dxa"/>
            <w:gridSpan w:val="4"/>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 w:val="20"/>
                <w:szCs w:val="24"/>
              </w:rPr>
            </w:pPr>
            <w:r w:rsidRPr="008A0882">
              <w:rPr>
                <w:rFonts w:cs="Arial"/>
                <w:b/>
                <w:bCs/>
                <w:color w:val="000000"/>
                <w:sz w:val="20"/>
                <w:szCs w:val="24"/>
              </w:rPr>
              <w:t>2019</w:t>
            </w:r>
          </w:p>
        </w:tc>
        <w:tc>
          <w:tcPr>
            <w:tcW w:w="3687"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b/>
                <w:bCs/>
                <w:color w:val="000000"/>
                <w:sz w:val="20"/>
                <w:szCs w:val="24"/>
              </w:rPr>
            </w:pPr>
            <w:r w:rsidRPr="008A0882">
              <w:rPr>
                <w:rFonts w:cs="Arial"/>
                <w:b/>
                <w:bCs/>
                <w:color w:val="000000"/>
                <w:sz w:val="20"/>
                <w:szCs w:val="24"/>
              </w:rPr>
              <w:t>2018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B543E" w:rsidRPr="008A0882" w:rsidRDefault="00AB543E" w:rsidP="00AB543E">
            <w:pPr>
              <w:jc w:val="center"/>
              <w:rPr>
                <w:rFonts w:cs="Arial"/>
                <w:b/>
                <w:bCs/>
                <w:color w:val="000000"/>
                <w:sz w:val="20"/>
                <w:szCs w:val="24"/>
              </w:rPr>
            </w:pPr>
            <w:r w:rsidRPr="008A0882">
              <w:rPr>
                <w:rFonts w:cs="Arial"/>
                <w:b/>
                <w:bCs/>
                <w:color w:val="000000"/>
                <w:sz w:val="20"/>
                <w:szCs w:val="24"/>
              </w:rPr>
              <w:t>2019 v 2018</w:t>
            </w:r>
          </w:p>
        </w:tc>
      </w:tr>
      <w:tr w:rsidR="00AB543E" w:rsidRPr="008A0882" w:rsidTr="00AB543E">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rPr>
                <w:rFonts w:cs="Arial"/>
                <w:b/>
                <w:color w:val="000000"/>
                <w:sz w:val="20"/>
                <w:szCs w:val="24"/>
              </w:rPr>
            </w:pPr>
            <w:r w:rsidRPr="008A0882">
              <w:rPr>
                <w:rFonts w:cs="Arial"/>
                <w:b/>
                <w:color w:val="000000"/>
                <w:sz w:val="20"/>
                <w:szCs w:val="24"/>
              </w:rPr>
              <w:t>KPI</w:t>
            </w:r>
          </w:p>
        </w:tc>
        <w:tc>
          <w:tcPr>
            <w:tcW w:w="957" w:type="dxa"/>
            <w:tcBorders>
              <w:top w:val="single" w:sz="4" w:space="0" w:color="auto"/>
              <w:left w:val="nil"/>
              <w:bottom w:val="single" w:sz="4" w:space="0" w:color="auto"/>
              <w:right w:val="nil"/>
            </w:tcBorders>
            <w:shd w:val="clear" w:color="auto" w:fill="D9D9D9" w:themeFill="background1" w:themeFillShade="D9"/>
            <w:noWrap/>
            <w:vAlign w:val="center"/>
            <w:hideMark/>
          </w:tcPr>
          <w:p w:rsidR="00AB543E" w:rsidRPr="008A0882" w:rsidRDefault="00AB543E" w:rsidP="00515775">
            <w:pPr>
              <w:ind w:left="-99"/>
              <w:jc w:val="center"/>
              <w:rPr>
                <w:rFonts w:cs="Arial"/>
                <w:color w:val="000000"/>
                <w:sz w:val="20"/>
                <w:szCs w:val="24"/>
              </w:rPr>
            </w:pPr>
            <w:r w:rsidRPr="008A0882">
              <w:rPr>
                <w:rFonts w:cs="Arial"/>
                <w:color w:val="000000"/>
                <w:sz w:val="20"/>
                <w:szCs w:val="24"/>
              </w:rPr>
              <w:t>Reading+</w:t>
            </w:r>
          </w:p>
        </w:tc>
        <w:tc>
          <w:tcPr>
            <w:tcW w:w="959"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Writing</w:t>
            </w:r>
            <w:r w:rsidR="00515775" w:rsidRPr="008A0882">
              <w:rPr>
                <w:rFonts w:cs="Arial"/>
                <w:color w:val="000000"/>
                <w:sz w:val="20"/>
                <w:szCs w:val="24"/>
              </w:rPr>
              <w:br/>
            </w:r>
            <w:r w:rsidRPr="008A0882">
              <w:rPr>
                <w:rFonts w:cs="Arial"/>
                <w:color w:val="000000"/>
                <w:sz w:val="20"/>
                <w:szCs w:val="24"/>
              </w:rPr>
              <w:t>+</w:t>
            </w:r>
          </w:p>
        </w:tc>
        <w:tc>
          <w:tcPr>
            <w:tcW w:w="959"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Maths</w:t>
            </w:r>
            <w:r w:rsidR="00515775" w:rsidRPr="008A0882">
              <w:rPr>
                <w:rFonts w:cs="Arial"/>
                <w:color w:val="000000"/>
                <w:sz w:val="20"/>
                <w:szCs w:val="24"/>
              </w:rPr>
              <w:br/>
            </w:r>
            <w:r w:rsidRPr="008A0882">
              <w:rPr>
                <w:rFonts w:cs="Arial"/>
                <w:color w:val="000000"/>
                <w:sz w:val="20"/>
                <w:szCs w:val="24"/>
              </w:rPr>
              <w:t>+</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RWM</w:t>
            </w:r>
            <w:r w:rsidR="00515775" w:rsidRPr="008A0882">
              <w:rPr>
                <w:rFonts w:cs="Arial"/>
                <w:color w:val="000000"/>
                <w:sz w:val="20"/>
                <w:szCs w:val="24"/>
              </w:rPr>
              <w:br/>
            </w:r>
            <w:r w:rsidRPr="008A0882">
              <w:rPr>
                <w:rFonts w:cs="Arial"/>
                <w:color w:val="000000"/>
                <w:sz w:val="20"/>
                <w:szCs w:val="24"/>
              </w:rPr>
              <w:t>+</w:t>
            </w:r>
          </w:p>
        </w:tc>
        <w:tc>
          <w:tcPr>
            <w:tcW w:w="959"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515775">
            <w:pPr>
              <w:ind w:left="-33"/>
              <w:jc w:val="center"/>
              <w:rPr>
                <w:rFonts w:cs="Arial"/>
                <w:color w:val="000000"/>
                <w:sz w:val="20"/>
                <w:szCs w:val="24"/>
              </w:rPr>
            </w:pPr>
            <w:r w:rsidRPr="008A0882">
              <w:rPr>
                <w:rFonts w:cs="Arial"/>
                <w:color w:val="000000"/>
                <w:sz w:val="20"/>
                <w:szCs w:val="24"/>
              </w:rPr>
              <w:t>Reading+</w:t>
            </w:r>
          </w:p>
        </w:tc>
        <w:tc>
          <w:tcPr>
            <w:tcW w:w="959"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Writing</w:t>
            </w:r>
            <w:r w:rsidR="00515775" w:rsidRPr="008A0882">
              <w:rPr>
                <w:rFonts w:cs="Arial"/>
                <w:color w:val="000000"/>
                <w:sz w:val="20"/>
                <w:szCs w:val="24"/>
              </w:rPr>
              <w:br/>
            </w:r>
            <w:r w:rsidRPr="008A0882">
              <w:rPr>
                <w:rFonts w:cs="Arial"/>
                <w:color w:val="000000"/>
                <w:sz w:val="20"/>
                <w:szCs w:val="24"/>
              </w:rPr>
              <w:t>+</w:t>
            </w:r>
          </w:p>
        </w:tc>
        <w:tc>
          <w:tcPr>
            <w:tcW w:w="958" w:type="dxa"/>
            <w:tcBorders>
              <w:top w:val="nil"/>
              <w:left w:val="nil"/>
              <w:bottom w:val="single" w:sz="4" w:space="0" w:color="auto"/>
              <w:right w:val="nil"/>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Maths</w:t>
            </w:r>
            <w:r w:rsidR="00515775" w:rsidRPr="008A0882">
              <w:rPr>
                <w:rFonts w:cs="Arial"/>
                <w:color w:val="000000"/>
                <w:sz w:val="20"/>
                <w:szCs w:val="24"/>
              </w:rPr>
              <w:br/>
            </w:r>
            <w:r w:rsidRPr="008A0882">
              <w:rPr>
                <w:rFonts w:cs="Arial"/>
                <w:color w:val="000000"/>
                <w:sz w:val="20"/>
                <w:szCs w:val="24"/>
              </w:rPr>
              <w:t>+</w:t>
            </w:r>
          </w:p>
        </w:tc>
        <w:tc>
          <w:tcPr>
            <w:tcW w:w="811" w:type="dxa"/>
            <w:tcBorders>
              <w:top w:val="nil"/>
              <w:left w:val="nil"/>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jc w:val="center"/>
              <w:rPr>
                <w:rFonts w:cs="Arial"/>
                <w:color w:val="000000"/>
                <w:sz w:val="20"/>
                <w:szCs w:val="24"/>
              </w:rPr>
            </w:pPr>
            <w:r w:rsidRPr="008A0882">
              <w:rPr>
                <w:rFonts w:cs="Arial"/>
                <w:color w:val="000000"/>
                <w:sz w:val="20"/>
                <w:szCs w:val="24"/>
              </w:rPr>
              <w:t>RWM+</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B543E" w:rsidRPr="008A0882" w:rsidRDefault="00AB543E" w:rsidP="00AB543E">
            <w:pPr>
              <w:jc w:val="center"/>
              <w:rPr>
                <w:rFonts w:cs="Arial"/>
                <w:b/>
                <w:color w:val="000000"/>
                <w:sz w:val="20"/>
                <w:szCs w:val="24"/>
              </w:rPr>
            </w:pPr>
            <w:r w:rsidRPr="008A0882">
              <w:rPr>
                <w:rFonts w:cs="Arial"/>
                <w:b/>
                <w:color w:val="000000"/>
                <w:sz w:val="20"/>
                <w:szCs w:val="24"/>
              </w:rPr>
              <w:t>RWM+</w:t>
            </w:r>
          </w:p>
          <w:p w:rsidR="00AB543E" w:rsidRPr="008A0882" w:rsidRDefault="00AB543E" w:rsidP="00AB543E">
            <w:pPr>
              <w:jc w:val="center"/>
              <w:rPr>
                <w:rFonts w:cs="Arial"/>
                <w:b/>
                <w:color w:val="000000"/>
                <w:sz w:val="20"/>
                <w:szCs w:val="24"/>
              </w:rPr>
            </w:pPr>
            <w:r w:rsidRPr="008A0882">
              <w:rPr>
                <w:rFonts w:cs="Arial"/>
                <w:b/>
                <w:color w:val="000000"/>
                <w:sz w:val="20"/>
                <w:szCs w:val="24"/>
              </w:rPr>
              <w:t>+/-</w:t>
            </w:r>
          </w:p>
        </w:tc>
      </w:tr>
      <w:tr w:rsidR="00AB543E" w:rsidRPr="008A0882" w:rsidTr="00515775">
        <w:trPr>
          <w:trHeight w:val="288"/>
          <w:jc w:val="center"/>
        </w:trPr>
        <w:tc>
          <w:tcPr>
            <w:tcW w:w="1120" w:type="dxa"/>
            <w:tcBorders>
              <w:top w:val="nil"/>
              <w:left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rPr>
                <w:rFonts w:ascii="Arial" w:hAnsi="Arial" w:cs="Arial"/>
                <w:b/>
                <w:sz w:val="20"/>
                <w:szCs w:val="24"/>
              </w:rPr>
            </w:pPr>
            <w:r w:rsidRPr="008A0882">
              <w:rPr>
                <w:rFonts w:ascii="Arial" w:hAnsi="Arial" w:cs="Arial"/>
                <w:b/>
                <w:sz w:val="20"/>
                <w:szCs w:val="24"/>
              </w:rPr>
              <w:t>England</w:t>
            </w:r>
          </w:p>
        </w:tc>
        <w:tc>
          <w:tcPr>
            <w:tcW w:w="957" w:type="dxa"/>
            <w:tcBorders>
              <w:top w:val="nil"/>
              <w:left w:val="nil"/>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73.0</w:t>
            </w:r>
          </w:p>
        </w:tc>
        <w:tc>
          <w:tcPr>
            <w:tcW w:w="959" w:type="dxa"/>
            <w:tcBorders>
              <w:top w:val="nil"/>
              <w:left w:val="nil"/>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78.0</w:t>
            </w:r>
          </w:p>
        </w:tc>
        <w:tc>
          <w:tcPr>
            <w:tcW w:w="959" w:type="dxa"/>
            <w:tcBorders>
              <w:top w:val="nil"/>
              <w:left w:val="nil"/>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79.0</w:t>
            </w:r>
          </w:p>
        </w:tc>
        <w:tc>
          <w:tcPr>
            <w:tcW w:w="960" w:type="dxa"/>
            <w:tcBorders>
              <w:top w:val="nil"/>
              <w:left w:val="nil"/>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65.0</w:t>
            </w:r>
          </w:p>
        </w:tc>
        <w:tc>
          <w:tcPr>
            <w:tcW w:w="959" w:type="dxa"/>
            <w:tcBorders>
              <w:top w:val="nil"/>
              <w:left w:val="nil"/>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75.0</w:t>
            </w:r>
          </w:p>
        </w:tc>
        <w:tc>
          <w:tcPr>
            <w:tcW w:w="959" w:type="dxa"/>
            <w:tcBorders>
              <w:top w:val="nil"/>
              <w:left w:val="nil"/>
              <w:right w:val="nil"/>
            </w:tcBorders>
            <w:shd w:val="clear" w:color="auto" w:fill="D9D9D9" w:themeFill="background1" w:themeFillShade="D9"/>
            <w:noWrap/>
            <w:vAlign w:val="center"/>
          </w:tcPr>
          <w:p w:rsidR="00AB543E" w:rsidRPr="008A0882" w:rsidRDefault="00AB543E" w:rsidP="00AB543E">
            <w:pPr>
              <w:pStyle w:val="NoSpacing"/>
              <w:ind w:left="-324" w:firstLine="324"/>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78.0</w:t>
            </w:r>
          </w:p>
        </w:tc>
        <w:tc>
          <w:tcPr>
            <w:tcW w:w="958" w:type="dxa"/>
            <w:tcBorders>
              <w:top w:val="nil"/>
              <w:left w:val="nil"/>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76.0</w:t>
            </w:r>
          </w:p>
        </w:tc>
        <w:tc>
          <w:tcPr>
            <w:tcW w:w="811" w:type="dxa"/>
            <w:tcBorders>
              <w:top w:val="nil"/>
              <w:left w:val="nil"/>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64.0</w:t>
            </w:r>
          </w:p>
        </w:tc>
        <w:tc>
          <w:tcPr>
            <w:tcW w:w="1134" w:type="dxa"/>
            <w:tcBorders>
              <w:top w:val="nil"/>
              <w:left w:val="nil"/>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lang w:eastAsia="en-GB"/>
              </w:rPr>
            </w:pPr>
            <w:r w:rsidRPr="008A0882">
              <w:rPr>
                <w:rFonts w:ascii="Arial" w:hAnsi="Arial" w:cs="Arial"/>
                <w:b/>
                <w:sz w:val="20"/>
                <w:szCs w:val="24"/>
                <w:lang w:eastAsia="en-GB"/>
              </w:rPr>
              <w:t>1.0</w:t>
            </w:r>
          </w:p>
        </w:tc>
      </w:tr>
      <w:tr w:rsidR="00AB543E" w:rsidRPr="008A0882" w:rsidTr="00515775">
        <w:trPr>
          <w:trHeight w:val="288"/>
          <w:jc w:val="center"/>
        </w:trPr>
        <w:tc>
          <w:tcPr>
            <w:tcW w:w="1120" w:type="dxa"/>
            <w:tcBorders>
              <w:top w:val="nil"/>
              <w:left w:val="single" w:sz="4" w:space="0" w:color="auto"/>
              <w:bottom w:val="single" w:sz="12" w:space="0" w:color="auto"/>
              <w:right w:val="single" w:sz="4" w:space="0" w:color="auto"/>
            </w:tcBorders>
            <w:shd w:val="clear" w:color="auto" w:fill="D9D9D9" w:themeFill="background1" w:themeFillShade="D9"/>
            <w:noWrap/>
            <w:vAlign w:val="center"/>
            <w:hideMark/>
          </w:tcPr>
          <w:p w:rsidR="00AB543E" w:rsidRPr="008A0882" w:rsidRDefault="00AB543E" w:rsidP="00515775">
            <w:pPr>
              <w:pStyle w:val="NoSpacing"/>
              <w:rPr>
                <w:rFonts w:ascii="Arial" w:hAnsi="Arial" w:cs="Arial"/>
                <w:b/>
                <w:sz w:val="20"/>
                <w:szCs w:val="24"/>
              </w:rPr>
            </w:pPr>
            <w:proofErr w:type="spellStart"/>
            <w:r w:rsidRPr="008A0882">
              <w:rPr>
                <w:rFonts w:ascii="Arial" w:hAnsi="Arial" w:cs="Arial"/>
                <w:b/>
                <w:sz w:val="20"/>
                <w:szCs w:val="24"/>
              </w:rPr>
              <w:t>Lancs</w:t>
            </w:r>
            <w:proofErr w:type="spellEnd"/>
          </w:p>
        </w:tc>
        <w:tc>
          <w:tcPr>
            <w:tcW w:w="957" w:type="dxa"/>
            <w:tcBorders>
              <w:top w:val="nil"/>
              <w:left w:val="nil"/>
              <w:bottom w:val="single" w:sz="12" w:space="0" w:color="auto"/>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72.3</w:t>
            </w:r>
          </w:p>
        </w:tc>
        <w:tc>
          <w:tcPr>
            <w:tcW w:w="959" w:type="dxa"/>
            <w:tcBorders>
              <w:top w:val="nil"/>
              <w:left w:val="nil"/>
              <w:bottom w:val="single" w:sz="12" w:space="0" w:color="auto"/>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78.1</w:t>
            </w:r>
          </w:p>
        </w:tc>
        <w:tc>
          <w:tcPr>
            <w:tcW w:w="959" w:type="dxa"/>
            <w:tcBorders>
              <w:top w:val="nil"/>
              <w:left w:val="nil"/>
              <w:bottom w:val="single" w:sz="12" w:space="0" w:color="auto"/>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78.4</w:t>
            </w:r>
          </w:p>
        </w:tc>
        <w:tc>
          <w:tcPr>
            <w:tcW w:w="960" w:type="dxa"/>
            <w:tcBorders>
              <w:top w:val="nil"/>
              <w:left w:val="nil"/>
              <w:bottom w:val="single" w:sz="12"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64.0</w:t>
            </w:r>
          </w:p>
        </w:tc>
        <w:tc>
          <w:tcPr>
            <w:tcW w:w="959" w:type="dxa"/>
            <w:tcBorders>
              <w:top w:val="nil"/>
              <w:left w:val="nil"/>
              <w:bottom w:val="single" w:sz="12" w:space="0" w:color="auto"/>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75.9</w:t>
            </w:r>
          </w:p>
        </w:tc>
        <w:tc>
          <w:tcPr>
            <w:tcW w:w="959" w:type="dxa"/>
            <w:tcBorders>
              <w:top w:val="nil"/>
              <w:left w:val="nil"/>
              <w:bottom w:val="single" w:sz="12" w:space="0" w:color="auto"/>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78.2</w:t>
            </w:r>
          </w:p>
        </w:tc>
        <w:tc>
          <w:tcPr>
            <w:tcW w:w="958" w:type="dxa"/>
            <w:tcBorders>
              <w:top w:val="nil"/>
              <w:left w:val="nil"/>
              <w:bottom w:val="single" w:sz="12" w:space="0" w:color="auto"/>
              <w:right w:val="nil"/>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76.2</w:t>
            </w:r>
          </w:p>
        </w:tc>
        <w:tc>
          <w:tcPr>
            <w:tcW w:w="811" w:type="dxa"/>
            <w:tcBorders>
              <w:top w:val="nil"/>
              <w:left w:val="nil"/>
              <w:bottom w:val="single" w:sz="12"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b/>
                <w:color w:val="000000" w:themeColor="text1"/>
                <w:sz w:val="20"/>
                <w:szCs w:val="24"/>
                <w:lang w:eastAsia="en-GB"/>
              </w:rPr>
            </w:pPr>
            <w:r w:rsidRPr="008A0882">
              <w:rPr>
                <w:rFonts w:ascii="Arial" w:hAnsi="Arial" w:cs="Arial"/>
                <w:b/>
                <w:color w:val="000000" w:themeColor="text1"/>
                <w:sz w:val="20"/>
                <w:szCs w:val="24"/>
                <w:lang w:eastAsia="en-GB"/>
              </w:rPr>
              <w:t>64.8</w:t>
            </w:r>
          </w:p>
        </w:tc>
        <w:tc>
          <w:tcPr>
            <w:tcW w:w="1134" w:type="dxa"/>
            <w:tcBorders>
              <w:top w:val="nil"/>
              <w:left w:val="nil"/>
              <w:bottom w:val="single" w:sz="12"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lang w:eastAsia="en-GB"/>
              </w:rPr>
            </w:pPr>
            <w:r w:rsidRPr="008A0882">
              <w:rPr>
                <w:rFonts w:ascii="Arial" w:hAnsi="Arial" w:cs="Arial"/>
                <w:b/>
                <w:sz w:val="20"/>
                <w:szCs w:val="24"/>
                <w:lang w:eastAsia="en-GB"/>
              </w:rPr>
              <w:t>-0.8</w:t>
            </w:r>
          </w:p>
        </w:tc>
      </w:tr>
      <w:tr w:rsidR="00AB543E" w:rsidRPr="008A0882" w:rsidTr="00515775">
        <w:trPr>
          <w:trHeight w:val="288"/>
          <w:jc w:val="center"/>
        </w:trPr>
        <w:tc>
          <w:tcPr>
            <w:tcW w:w="11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Burnley</w:t>
            </w:r>
          </w:p>
        </w:tc>
        <w:tc>
          <w:tcPr>
            <w:tcW w:w="957"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64.2</w:t>
            </w:r>
          </w:p>
        </w:tc>
        <w:tc>
          <w:tcPr>
            <w:tcW w:w="959"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71.8</w:t>
            </w:r>
          </w:p>
        </w:tc>
        <w:tc>
          <w:tcPr>
            <w:tcW w:w="959"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70.1</w:t>
            </w:r>
          </w:p>
        </w:tc>
        <w:tc>
          <w:tcPr>
            <w:tcW w:w="96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54.7</w:t>
            </w:r>
          </w:p>
        </w:tc>
        <w:tc>
          <w:tcPr>
            <w:tcW w:w="959"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68.9</w:t>
            </w:r>
          </w:p>
        </w:tc>
        <w:tc>
          <w:tcPr>
            <w:tcW w:w="959"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74.3</w:t>
            </w:r>
          </w:p>
        </w:tc>
        <w:tc>
          <w:tcPr>
            <w:tcW w:w="9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68.4</w:t>
            </w:r>
          </w:p>
        </w:tc>
        <w:tc>
          <w:tcPr>
            <w:tcW w:w="811"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55.8</w:t>
            </w:r>
          </w:p>
        </w:tc>
        <w:tc>
          <w:tcPr>
            <w:tcW w:w="11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-1.2</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Chorley</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76.5</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80.0</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82.3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67.7</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80.0</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81.0</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78.6</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-1.7</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Fylde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79.4</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84.0</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84.5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72.4</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81.0</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81.9</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80.1</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70.8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1.6</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Hyndburn</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68.6</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74.9</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75.9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59.9</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73.7</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76.8</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74.4</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61.5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-1.7</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Lancaster</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71.9</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76.4</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79.5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63.8</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74.0</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76.6</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73.6</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62.8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1.0</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Pendle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65.2</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73.1</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56.2</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67.4</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73.7</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73.0</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57.6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-1.5</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Preston</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70.8</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76.7</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63.4</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76.0</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77.3</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77.4</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-1.9</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515775">
            <w:pPr>
              <w:pStyle w:val="NoSpacing"/>
              <w:rPr>
                <w:rFonts w:ascii="Arial" w:hAnsi="Arial" w:cs="Arial"/>
                <w:sz w:val="20"/>
                <w:szCs w:val="24"/>
              </w:rPr>
            </w:pPr>
            <w:r w:rsidRPr="008A0882">
              <w:rPr>
                <w:rFonts w:ascii="Arial" w:hAnsi="Arial" w:cs="Arial"/>
                <w:sz w:val="20"/>
                <w:szCs w:val="24"/>
              </w:rPr>
              <w:t>R Valley</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77.8</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82.6</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82.8</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69.1</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81.3</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81.7</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79.7</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1.8</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515775">
            <w:pPr>
              <w:pStyle w:val="NoSpacing"/>
              <w:rPr>
                <w:rFonts w:ascii="Arial" w:hAnsi="Arial" w:cs="Arial"/>
                <w:sz w:val="20"/>
                <w:szCs w:val="24"/>
              </w:rPr>
            </w:pPr>
            <w:proofErr w:type="spellStart"/>
            <w:r w:rsidRPr="008A0882">
              <w:rPr>
                <w:rFonts w:ascii="Arial" w:hAnsi="Arial" w:cs="Arial"/>
                <w:sz w:val="20"/>
                <w:szCs w:val="24"/>
              </w:rPr>
              <w:t>Ross</w:t>
            </w:r>
            <w:r w:rsidR="00515775" w:rsidRPr="008A0882">
              <w:rPr>
                <w:rFonts w:ascii="Arial" w:hAnsi="Arial" w:cs="Arial"/>
                <w:sz w:val="20"/>
                <w:szCs w:val="24"/>
              </w:rPr>
              <w:t>'</w:t>
            </w:r>
            <w:r w:rsidRPr="008A0882">
              <w:rPr>
                <w:rFonts w:ascii="Arial" w:hAnsi="Arial" w:cs="Arial"/>
                <w:sz w:val="20"/>
                <w:szCs w:val="24"/>
              </w:rPr>
              <w:t>dale</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73.0</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79.6</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64.7</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79.3</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79.7</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78.5</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-3.5</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515775">
            <w:pPr>
              <w:pStyle w:val="NoSpacing"/>
              <w:rPr>
                <w:rFonts w:ascii="Arial" w:hAnsi="Arial" w:cs="Arial"/>
                <w:sz w:val="20"/>
                <w:szCs w:val="24"/>
              </w:rPr>
            </w:pPr>
            <w:r w:rsidRPr="008A0882">
              <w:rPr>
                <w:rFonts w:ascii="Arial" w:hAnsi="Arial" w:cs="Arial"/>
                <w:sz w:val="20"/>
                <w:szCs w:val="24"/>
              </w:rPr>
              <w:t>S</w:t>
            </w:r>
            <w:r w:rsidR="00515775" w:rsidRPr="008A0882">
              <w:rPr>
                <w:rFonts w:ascii="Arial" w:hAnsi="Arial" w:cs="Arial"/>
                <w:sz w:val="20"/>
                <w:szCs w:val="24"/>
              </w:rPr>
              <w:t xml:space="preserve"> </w:t>
            </w:r>
            <w:proofErr w:type="spellStart"/>
            <w:r w:rsidRPr="008A0882">
              <w:rPr>
                <w:rFonts w:ascii="Arial" w:hAnsi="Arial" w:cs="Arial"/>
                <w:sz w:val="20"/>
                <w:szCs w:val="24"/>
              </w:rPr>
              <w:t>Ribble</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72.6</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78.8</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65.1</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78.3</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77.7</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77.2</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66.3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-1.2</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515775">
            <w:pPr>
              <w:pStyle w:val="NoSpacing"/>
              <w:rPr>
                <w:rFonts w:ascii="Arial" w:hAnsi="Arial" w:cs="Arial"/>
                <w:sz w:val="20"/>
                <w:szCs w:val="24"/>
              </w:rPr>
            </w:pPr>
            <w:r w:rsidRPr="008A0882">
              <w:rPr>
                <w:rFonts w:ascii="Arial" w:hAnsi="Arial" w:cs="Arial"/>
                <w:sz w:val="20"/>
                <w:szCs w:val="24"/>
              </w:rPr>
              <w:t xml:space="preserve">W </w:t>
            </w:r>
            <w:proofErr w:type="spellStart"/>
            <w:r w:rsidRPr="008A0882">
              <w:rPr>
                <w:rFonts w:ascii="Arial" w:hAnsi="Arial" w:cs="Arial"/>
                <w:sz w:val="20"/>
                <w:szCs w:val="24"/>
              </w:rPr>
              <w:t>Lancs</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73.8</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81.1</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77.8</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65.5</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78.1</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81.3</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78.7</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68.7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43E" w:rsidRPr="008A0882" w:rsidRDefault="00AB543E" w:rsidP="00AB543E">
            <w:pPr>
              <w:pStyle w:val="NoSpacing"/>
              <w:jc w:val="center"/>
              <w:rPr>
                <w:rFonts w:ascii="Arial" w:hAnsi="Arial" w:cs="Arial"/>
                <w:b/>
                <w:sz w:val="20"/>
                <w:szCs w:val="24"/>
              </w:rPr>
            </w:pPr>
            <w:r w:rsidRPr="008A0882">
              <w:rPr>
                <w:rFonts w:ascii="Arial" w:hAnsi="Arial" w:cs="Arial"/>
                <w:b/>
                <w:sz w:val="20"/>
                <w:szCs w:val="24"/>
              </w:rPr>
              <w:t>-3.1</w:t>
            </w:r>
          </w:p>
        </w:tc>
      </w:tr>
      <w:tr w:rsidR="00AB543E" w:rsidRPr="008A0882" w:rsidTr="00515775">
        <w:trPr>
          <w:trHeight w:val="288"/>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543E" w:rsidRPr="008A0882" w:rsidRDefault="00AB543E" w:rsidP="00AB543E">
            <w:pPr>
              <w:pStyle w:val="NoSpacing"/>
              <w:rPr>
                <w:rFonts w:ascii="Arial" w:hAnsi="Arial" w:cs="Arial"/>
                <w:sz w:val="20"/>
                <w:szCs w:val="24"/>
              </w:rPr>
            </w:pPr>
            <w:r w:rsidRPr="008A0882">
              <w:rPr>
                <w:rFonts w:ascii="Arial" w:hAnsi="Arial" w:cs="Arial"/>
                <w:sz w:val="20"/>
                <w:szCs w:val="24"/>
              </w:rPr>
              <w:t>Wyre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73.3</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77.5</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80.7</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65.3</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77.9</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80.1</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78.0</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543E" w:rsidRPr="008A0882" w:rsidRDefault="00AB543E" w:rsidP="00AB543E">
            <w:pPr>
              <w:pStyle w:val="NoSpacing"/>
              <w:jc w:val="center"/>
              <w:rPr>
                <w:rFonts w:ascii="Arial" w:hAnsi="Arial" w:cs="Arial"/>
                <w:sz w:val="20"/>
                <w:szCs w:val="24"/>
              </w:rPr>
            </w:pPr>
            <w:r w:rsidRPr="008A0882">
              <w:rPr>
                <w:rFonts w:ascii="Arial" w:hAnsi="Arial" w:cs="Arial"/>
                <w:sz w:val="20"/>
                <w:szCs w:val="24"/>
              </w:rPr>
              <w:t>67.5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B543E" w:rsidRPr="008A0882" w:rsidRDefault="00AB543E" w:rsidP="00AB543E">
            <w:pPr>
              <w:pStyle w:val="NoSpacing"/>
              <w:jc w:val="center"/>
              <w:rPr>
                <w:rFonts w:ascii="Arial" w:hAnsi="Arial" w:cs="Arial"/>
                <w:b/>
                <w:bCs/>
                <w:sz w:val="20"/>
                <w:szCs w:val="24"/>
              </w:rPr>
            </w:pPr>
            <w:r w:rsidRPr="008A0882">
              <w:rPr>
                <w:rFonts w:ascii="Arial" w:hAnsi="Arial" w:cs="Arial"/>
                <w:b/>
                <w:bCs/>
                <w:sz w:val="20"/>
                <w:szCs w:val="24"/>
              </w:rPr>
              <w:t>-2.2</w:t>
            </w:r>
          </w:p>
        </w:tc>
      </w:tr>
    </w:tbl>
    <w:p w:rsidR="00AB543E" w:rsidRPr="008A0882" w:rsidRDefault="00AB543E" w:rsidP="00AB543E">
      <w:pPr>
        <w:pStyle w:val="ListParagraph"/>
        <w:ind w:left="436"/>
        <w:contextualSpacing w:val="0"/>
        <w:rPr>
          <w:rFonts w:cs="Arial"/>
        </w:rPr>
      </w:pPr>
    </w:p>
    <w:p w:rsidR="00AB543E" w:rsidRPr="008A0882" w:rsidRDefault="00AB543E" w:rsidP="00AB543E">
      <w:pPr>
        <w:pStyle w:val="ListParagraph"/>
        <w:numPr>
          <w:ilvl w:val="0"/>
          <w:numId w:val="6"/>
        </w:numPr>
        <w:contextualSpacing w:val="0"/>
        <w:rPr>
          <w:rFonts w:cs="Arial"/>
        </w:rPr>
      </w:pPr>
      <w:r w:rsidRPr="008A0882">
        <w:rPr>
          <w:rFonts w:cs="Arial"/>
        </w:rPr>
        <w:t>Burnley, Hyndburn, Pendle are below both 2019 National and 2019 Lancashire average outcomes across all Key Performance Indicators. They are also all lower than their 2018 Lancashire figures.</w:t>
      </w:r>
    </w:p>
    <w:p w:rsidR="00AB543E" w:rsidRPr="008A0882" w:rsidRDefault="0019496E" w:rsidP="00AB543E">
      <w:pPr>
        <w:pStyle w:val="ListParagraph"/>
        <w:numPr>
          <w:ilvl w:val="0"/>
          <w:numId w:val="6"/>
        </w:numPr>
        <w:contextualSpacing w:val="0"/>
        <w:rPr>
          <w:rFonts w:cs="Arial"/>
          <w:b/>
        </w:rPr>
      </w:pPr>
      <w:r>
        <w:rPr>
          <w:rFonts w:cs="Arial"/>
        </w:rPr>
        <w:t>In 2019, only 3</w:t>
      </w:r>
      <w:r w:rsidR="00AB543E" w:rsidRPr="008A0882">
        <w:rPr>
          <w:rFonts w:cs="Arial"/>
        </w:rPr>
        <w:t xml:space="preserve"> districts (Fylde, Lancas</w:t>
      </w:r>
      <w:r>
        <w:rPr>
          <w:rFonts w:cs="Arial"/>
        </w:rPr>
        <w:t xml:space="preserve">ter and </w:t>
      </w:r>
      <w:proofErr w:type="spellStart"/>
      <w:r>
        <w:rPr>
          <w:rFonts w:cs="Arial"/>
        </w:rPr>
        <w:t>Ribble</w:t>
      </w:r>
      <w:proofErr w:type="spellEnd"/>
      <w:r>
        <w:rPr>
          <w:rFonts w:cs="Arial"/>
        </w:rPr>
        <w:t xml:space="preserve"> Valley) of 12</w:t>
      </w:r>
      <w:r w:rsidR="00AB543E" w:rsidRPr="008A0882">
        <w:rPr>
          <w:rFonts w:cs="Arial"/>
        </w:rPr>
        <w:t xml:space="preserve"> have improved the % of children reaching the combined expected standard in Reading, Writing and Maths when compared against Lancashire 2018 outcomes.</w:t>
      </w:r>
    </w:p>
    <w:p w:rsidR="00D77F0B" w:rsidRPr="008A0882" w:rsidRDefault="00D77F0B" w:rsidP="00AB543E">
      <w:pPr>
        <w:autoSpaceDE w:val="0"/>
        <w:autoSpaceDN w:val="0"/>
        <w:adjustRightInd w:val="0"/>
        <w:spacing w:after="120"/>
        <w:contextualSpacing/>
        <w:jc w:val="both"/>
        <w:rPr>
          <w:rFonts w:cs="Arial"/>
          <w:color w:val="000000"/>
        </w:rPr>
      </w:pPr>
    </w:p>
    <w:p w:rsidR="002461F1" w:rsidRPr="008A0882" w:rsidRDefault="002461F1" w:rsidP="002461F1">
      <w:pPr>
        <w:autoSpaceDE w:val="0"/>
        <w:autoSpaceDN w:val="0"/>
        <w:adjustRightInd w:val="0"/>
        <w:rPr>
          <w:rFonts w:cs="Arial"/>
          <w:b/>
          <w:bCs/>
          <w:szCs w:val="24"/>
        </w:rPr>
      </w:pPr>
      <w:r w:rsidRPr="008A0882">
        <w:rPr>
          <w:rFonts w:cs="Arial"/>
          <w:b/>
          <w:bCs/>
          <w:szCs w:val="24"/>
        </w:rPr>
        <w:t>Secondary Schools</w:t>
      </w:r>
    </w:p>
    <w:p w:rsidR="00AB543E" w:rsidRPr="008A0882" w:rsidRDefault="00AB543E" w:rsidP="00E54BF9">
      <w:pPr>
        <w:autoSpaceDE w:val="0"/>
        <w:autoSpaceDN w:val="0"/>
        <w:adjustRightInd w:val="0"/>
        <w:rPr>
          <w:rFonts w:cs="Arial"/>
          <w:b/>
          <w:bCs/>
          <w:color w:val="FF0000"/>
          <w:szCs w:val="24"/>
        </w:rPr>
      </w:pPr>
    </w:p>
    <w:p w:rsidR="002461F1" w:rsidRPr="008A0882" w:rsidRDefault="002461F1" w:rsidP="002461F1">
      <w:pPr>
        <w:pStyle w:val="NoSpacing"/>
        <w:ind w:left="-284"/>
        <w:rPr>
          <w:rFonts w:ascii="Arial" w:hAnsi="Arial" w:cs="Arial"/>
          <w:b/>
          <w:sz w:val="24"/>
          <w:szCs w:val="24"/>
        </w:rPr>
      </w:pPr>
      <w:r w:rsidRPr="008A0882">
        <w:rPr>
          <w:rFonts w:ascii="Arial" w:hAnsi="Arial" w:cs="Arial"/>
          <w:b/>
          <w:sz w:val="24"/>
          <w:szCs w:val="24"/>
        </w:rPr>
        <w:t>Key Stage 4</w:t>
      </w:r>
    </w:p>
    <w:tbl>
      <w:tblPr>
        <w:tblpPr w:leftFromText="180" w:rightFromText="180" w:vertAnchor="text" w:horzAnchor="margin" w:tblpX="-289"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293"/>
        <w:gridCol w:w="840"/>
        <w:gridCol w:w="840"/>
        <w:gridCol w:w="712"/>
        <w:gridCol w:w="751"/>
        <w:gridCol w:w="751"/>
        <w:gridCol w:w="752"/>
        <w:gridCol w:w="669"/>
        <w:gridCol w:w="728"/>
        <w:gridCol w:w="669"/>
      </w:tblGrid>
      <w:tr w:rsidR="00CB2682" w:rsidRPr="008A0882" w:rsidTr="00CB2682">
        <w:trPr>
          <w:cantSplit/>
          <w:trHeight w:val="1985"/>
        </w:trPr>
        <w:tc>
          <w:tcPr>
            <w:tcW w:w="562" w:type="pct"/>
            <w:shd w:val="clear" w:color="auto" w:fill="auto"/>
            <w:noWrap/>
            <w:textDirection w:val="btLr"/>
            <w:vAlign w:val="center"/>
            <w:hideMark/>
          </w:tcPr>
          <w:p w:rsidR="00CB2682" w:rsidRPr="008A0882" w:rsidRDefault="00CB2682" w:rsidP="00943FD6">
            <w:pPr>
              <w:ind w:left="27" w:right="113" w:firstLine="86"/>
              <w:jc w:val="center"/>
              <w:rPr>
                <w:rFonts w:cs="Arial"/>
                <w:color w:val="000000"/>
                <w:sz w:val="22"/>
                <w:szCs w:val="24"/>
              </w:rPr>
            </w:pPr>
            <w:r w:rsidRPr="008A0882">
              <w:rPr>
                <w:rFonts w:cs="Arial"/>
                <w:color w:val="000000"/>
                <w:sz w:val="22"/>
                <w:szCs w:val="24"/>
              </w:rPr>
              <w:t>Year</w:t>
            </w:r>
          </w:p>
        </w:tc>
        <w:tc>
          <w:tcPr>
            <w:tcW w:w="659" w:type="pct"/>
            <w:shd w:val="clear" w:color="auto" w:fill="auto"/>
            <w:noWrap/>
            <w:textDirection w:val="btLr"/>
            <w:vAlign w:val="center"/>
            <w:hideMark/>
          </w:tcPr>
          <w:p w:rsidR="00CB2682" w:rsidRPr="008A0882" w:rsidRDefault="00CB2682" w:rsidP="00943FD6">
            <w:pPr>
              <w:ind w:left="113" w:right="113"/>
              <w:jc w:val="center"/>
              <w:rPr>
                <w:rFonts w:cs="Arial"/>
                <w:b/>
                <w:color w:val="000000"/>
                <w:sz w:val="22"/>
                <w:szCs w:val="24"/>
              </w:rPr>
            </w:pPr>
            <w:r w:rsidRPr="008A0882">
              <w:rPr>
                <w:rFonts w:cs="Arial"/>
                <w:b/>
                <w:color w:val="000000"/>
                <w:sz w:val="22"/>
                <w:szCs w:val="24"/>
              </w:rPr>
              <w:t>Region</w:t>
            </w:r>
          </w:p>
        </w:tc>
        <w:tc>
          <w:tcPr>
            <w:tcW w:w="443" w:type="pct"/>
            <w:shd w:val="clear" w:color="000000" w:fill="D9D9D9"/>
            <w:textDirection w:val="btLr"/>
            <w:vAlign w:val="center"/>
            <w:hideMark/>
          </w:tcPr>
          <w:p w:rsidR="00CB2682" w:rsidRPr="008A0882" w:rsidRDefault="00CB2682" w:rsidP="00943FD6">
            <w:pPr>
              <w:ind w:left="113" w:right="113"/>
              <w:jc w:val="center"/>
              <w:rPr>
                <w:rFonts w:cs="Arial"/>
                <w:color w:val="000000"/>
                <w:sz w:val="22"/>
                <w:szCs w:val="24"/>
              </w:rPr>
            </w:pPr>
            <w:r w:rsidRPr="008A0882">
              <w:rPr>
                <w:rFonts w:cs="Arial"/>
                <w:color w:val="000000"/>
                <w:sz w:val="22"/>
                <w:szCs w:val="24"/>
              </w:rPr>
              <w:t>P8</w:t>
            </w:r>
          </w:p>
        </w:tc>
        <w:tc>
          <w:tcPr>
            <w:tcW w:w="443" w:type="pct"/>
            <w:shd w:val="clear" w:color="000000" w:fill="BFBFBF"/>
            <w:textDirection w:val="btLr"/>
            <w:vAlign w:val="center"/>
            <w:hideMark/>
          </w:tcPr>
          <w:p w:rsidR="00CB2682" w:rsidRPr="008A0882" w:rsidRDefault="00CB2682" w:rsidP="00943FD6">
            <w:pPr>
              <w:ind w:left="113" w:right="113"/>
              <w:jc w:val="center"/>
              <w:rPr>
                <w:rFonts w:cs="Arial"/>
                <w:i/>
                <w:iCs/>
                <w:color w:val="000000"/>
                <w:sz w:val="22"/>
                <w:szCs w:val="24"/>
              </w:rPr>
            </w:pPr>
            <w:r w:rsidRPr="008A0882">
              <w:rPr>
                <w:rFonts w:cs="Arial"/>
                <w:i/>
                <w:iCs/>
                <w:color w:val="000000"/>
                <w:sz w:val="22"/>
                <w:szCs w:val="24"/>
              </w:rPr>
              <w:t>P8 (Disadvantaged)</w:t>
            </w:r>
          </w:p>
        </w:tc>
        <w:tc>
          <w:tcPr>
            <w:tcW w:w="443" w:type="pct"/>
            <w:shd w:val="clear" w:color="000000" w:fill="D9D9D9"/>
            <w:textDirection w:val="btLr"/>
            <w:vAlign w:val="center"/>
            <w:hideMark/>
          </w:tcPr>
          <w:p w:rsidR="00CB2682" w:rsidRPr="008A0882" w:rsidRDefault="00CB2682" w:rsidP="00943FD6">
            <w:pPr>
              <w:ind w:left="113" w:right="113"/>
              <w:jc w:val="center"/>
              <w:rPr>
                <w:rFonts w:cs="Arial"/>
                <w:color w:val="000000"/>
                <w:sz w:val="22"/>
                <w:szCs w:val="24"/>
              </w:rPr>
            </w:pPr>
            <w:r w:rsidRPr="008A0882">
              <w:rPr>
                <w:rFonts w:cs="Arial"/>
                <w:color w:val="000000"/>
                <w:sz w:val="22"/>
                <w:szCs w:val="24"/>
              </w:rPr>
              <w:t>Attainment 8</w:t>
            </w:r>
          </w:p>
        </w:tc>
        <w:tc>
          <w:tcPr>
            <w:tcW w:w="443" w:type="pct"/>
            <w:shd w:val="clear" w:color="000000" w:fill="D9D9D9"/>
            <w:textDirection w:val="btLr"/>
            <w:vAlign w:val="center"/>
            <w:hideMark/>
          </w:tcPr>
          <w:p w:rsidR="00CB2682" w:rsidRPr="008A0882" w:rsidRDefault="00CB2682" w:rsidP="00943FD6">
            <w:pPr>
              <w:ind w:left="113" w:right="113"/>
              <w:jc w:val="center"/>
              <w:rPr>
                <w:rFonts w:cs="Arial"/>
                <w:color w:val="000000"/>
                <w:sz w:val="22"/>
                <w:szCs w:val="24"/>
              </w:rPr>
            </w:pPr>
            <w:r w:rsidRPr="008A0882">
              <w:rPr>
                <w:rFonts w:cs="Arial"/>
                <w:color w:val="000000"/>
                <w:sz w:val="22"/>
                <w:szCs w:val="24"/>
              </w:rPr>
              <w:t xml:space="preserve"> % Maths G9-4</w:t>
            </w:r>
          </w:p>
        </w:tc>
        <w:tc>
          <w:tcPr>
            <w:tcW w:w="443" w:type="pct"/>
            <w:shd w:val="clear" w:color="000000" w:fill="D9D9D9"/>
            <w:textDirection w:val="btLr"/>
            <w:vAlign w:val="center"/>
            <w:hideMark/>
          </w:tcPr>
          <w:p w:rsidR="00CB2682" w:rsidRPr="008A0882" w:rsidRDefault="00CB2682" w:rsidP="00943FD6">
            <w:pPr>
              <w:ind w:left="113" w:right="113"/>
              <w:jc w:val="center"/>
              <w:rPr>
                <w:rFonts w:cs="Arial"/>
                <w:color w:val="000000"/>
                <w:sz w:val="22"/>
                <w:szCs w:val="24"/>
              </w:rPr>
            </w:pPr>
            <w:r w:rsidRPr="008A0882">
              <w:rPr>
                <w:rFonts w:cs="Arial"/>
                <w:color w:val="000000"/>
                <w:sz w:val="22"/>
                <w:szCs w:val="24"/>
              </w:rPr>
              <w:t>% English  G9-4</w:t>
            </w:r>
          </w:p>
        </w:tc>
        <w:tc>
          <w:tcPr>
            <w:tcW w:w="443" w:type="pct"/>
            <w:shd w:val="clear" w:color="000000" w:fill="D9D9D9"/>
            <w:textDirection w:val="btLr"/>
            <w:vAlign w:val="center"/>
            <w:hideMark/>
          </w:tcPr>
          <w:p w:rsidR="00CB2682" w:rsidRPr="008A0882" w:rsidRDefault="00CB2682" w:rsidP="00943FD6">
            <w:pPr>
              <w:ind w:left="113" w:right="113"/>
              <w:jc w:val="center"/>
              <w:rPr>
                <w:rFonts w:cs="Arial"/>
                <w:color w:val="000000"/>
                <w:sz w:val="22"/>
                <w:szCs w:val="24"/>
              </w:rPr>
            </w:pPr>
            <w:r w:rsidRPr="008A0882">
              <w:rPr>
                <w:rFonts w:cs="Arial"/>
                <w:color w:val="000000"/>
                <w:sz w:val="22"/>
                <w:szCs w:val="24"/>
              </w:rPr>
              <w:t>% Maths &amp; English  G9-4</w:t>
            </w:r>
          </w:p>
        </w:tc>
        <w:tc>
          <w:tcPr>
            <w:tcW w:w="368" w:type="pct"/>
            <w:shd w:val="clear" w:color="000000" w:fill="BFBFBF"/>
            <w:textDirection w:val="btLr"/>
            <w:vAlign w:val="center"/>
            <w:hideMark/>
          </w:tcPr>
          <w:p w:rsidR="00CB2682" w:rsidRPr="008A0882" w:rsidRDefault="00CB2682" w:rsidP="00943FD6">
            <w:pPr>
              <w:ind w:left="113" w:right="113"/>
              <w:jc w:val="center"/>
              <w:rPr>
                <w:rFonts w:cs="Arial"/>
                <w:i/>
                <w:iCs/>
                <w:color w:val="000000"/>
                <w:sz w:val="22"/>
                <w:szCs w:val="24"/>
              </w:rPr>
            </w:pPr>
            <w:r w:rsidRPr="008A0882">
              <w:rPr>
                <w:rFonts w:cs="Arial"/>
                <w:i/>
                <w:iCs/>
                <w:color w:val="000000"/>
                <w:sz w:val="22"/>
                <w:szCs w:val="24"/>
              </w:rPr>
              <w:t xml:space="preserve">% Ma &amp; </w:t>
            </w:r>
            <w:proofErr w:type="spellStart"/>
            <w:r w:rsidRPr="008A0882">
              <w:rPr>
                <w:rFonts w:cs="Arial"/>
                <w:i/>
                <w:iCs/>
                <w:color w:val="000000"/>
                <w:sz w:val="22"/>
                <w:szCs w:val="24"/>
              </w:rPr>
              <w:t>En</w:t>
            </w:r>
            <w:proofErr w:type="spellEnd"/>
            <w:r w:rsidRPr="008A0882">
              <w:rPr>
                <w:rFonts w:cs="Arial"/>
                <w:i/>
                <w:iCs/>
                <w:color w:val="000000"/>
                <w:sz w:val="22"/>
                <w:szCs w:val="24"/>
              </w:rPr>
              <w:t xml:space="preserve"> G9-4 (Disadvantaged)</w:t>
            </w:r>
          </w:p>
        </w:tc>
        <w:tc>
          <w:tcPr>
            <w:tcW w:w="377" w:type="pct"/>
            <w:shd w:val="clear" w:color="000000" w:fill="BFBFBF"/>
            <w:textDirection w:val="btLr"/>
            <w:vAlign w:val="center"/>
            <w:hideMark/>
          </w:tcPr>
          <w:p w:rsidR="00CB2682" w:rsidRPr="008A0882" w:rsidRDefault="00CB2682" w:rsidP="00D80F70">
            <w:pPr>
              <w:ind w:left="113" w:right="113"/>
              <w:jc w:val="center"/>
              <w:rPr>
                <w:rFonts w:cs="Arial"/>
                <w:i/>
                <w:iCs/>
                <w:color w:val="000000"/>
                <w:sz w:val="22"/>
                <w:szCs w:val="24"/>
              </w:rPr>
            </w:pPr>
            <w:r w:rsidRPr="008A0882">
              <w:rPr>
                <w:rFonts w:cs="Arial"/>
                <w:i/>
                <w:iCs/>
                <w:color w:val="000000"/>
                <w:sz w:val="22"/>
                <w:szCs w:val="24"/>
              </w:rPr>
              <w:t xml:space="preserve">% Ma &amp; </w:t>
            </w:r>
            <w:proofErr w:type="spellStart"/>
            <w:r w:rsidRPr="008A0882">
              <w:rPr>
                <w:rFonts w:cs="Arial"/>
                <w:i/>
                <w:iCs/>
                <w:color w:val="000000"/>
                <w:sz w:val="22"/>
                <w:szCs w:val="24"/>
              </w:rPr>
              <w:t>En</w:t>
            </w:r>
            <w:proofErr w:type="spellEnd"/>
            <w:r w:rsidRPr="008A0882">
              <w:rPr>
                <w:rFonts w:cs="Arial"/>
                <w:i/>
                <w:iCs/>
                <w:color w:val="000000"/>
                <w:sz w:val="22"/>
                <w:szCs w:val="24"/>
              </w:rPr>
              <w:t xml:space="preserve"> G9-4 </w:t>
            </w:r>
            <w:r w:rsidRPr="008A0882">
              <w:rPr>
                <w:rFonts w:cs="Arial"/>
                <w:i/>
                <w:iCs/>
                <w:color w:val="000000"/>
                <w:sz w:val="22"/>
                <w:szCs w:val="24"/>
              </w:rPr>
              <w:br/>
              <w:t>(SEN</w:t>
            </w:r>
            <w:r w:rsidR="00D80F70" w:rsidRPr="008A0882">
              <w:rPr>
                <w:rFonts w:cs="Arial"/>
                <w:i/>
                <w:iCs/>
                <w:color w:val="000000"/>
                <w:sz w:val="22"/>
                <w:szCs w:val="24"/>
              </w:rPr>
              <w:t>D</w:t>
            </w:r>
            <w:r w:rsidRPr="008A0882">
              <w:rPr>
                <w:rFonts w:cs="Arial"/>
                <w:i/>
                <w:iCs/>
                <w:color w:val="000000"/>
                <w:sz w:val="22"/>
                <w:szCs w:val="24"/>
              </w:rPr>
              <w:t>)</w:t>
            </w:r>
          </w:p>
        </w:tc>
        <w:tc>
          <w:tcPr>
            <w:tcW w:w="377" w:type="pct"/>
            <w:shd w:val="clear" w:color="000000" w:fill="BFBFBF"/>
            <w:textDirection w:val="btLr"/>
            <w:vAlign w:val="center"/>
            <w:hideMark/>
          </w:tcPr>
          <w:p w:rsidR="00CB2682" w:rsidRPr="008A0882" w:rsidRDefault="00CB2682" w:rsidP="00943FD6">
            <w:pPr>
              <w:ind w:left="113" w:right="113"/>
              <w:jc w:val="center"/>
              <w:rPr>
                <w:rFonts w:cs="Arial"/>
                <w:i/>
                <w:iCs/>
                <w:color w:val="000000"/>
                <w:sz w:val="22"/>
                <w:szCs w:val="24"/>
              </w:rPr>
            </w:pPr>
            <w:r w:rsidRPr="008A0882">
              <w:rPr>
                <w:rFonts w:cs="Arial"/>
                <w:i/>
                <w:iCs/>
                <w:color w:val="000000"/>
                <w:sz w:val="22"/>
                <w:szCs w:val="24"/>
              </w:rPr>
              <w:t xml:space="preserve">% Ma &amp; </w:t>
            </w:r>
            <w:proofErr w:type="spellStart"/>
            <w:r w:rsidRPr="008A0882">
              <w:rPr>
                <w:rFonts w:cs="Arial"/>
                <w:i/>
                <w:iCs/>
                <w:color w:val="000000"/>
                <w:sz w:val="22"/>
                <w:szCs w:val="24"/>
              </w:rPr>
              <w:t>En</w:t>
            </w:r>
            <w:proofErr w:type="spellEnd"/>
            <w:r w:rsidRPr="008A0882">
              <w:rPr>
                <w:rFonts w:cs="Arial"/>
                <w:i/>
                <w:iCs/>
                <w:color w:val="000000"/>
                <w:sz w:val="22"/>
                <w:szCs w:val="24"/>
              </w:rPr>
              <w:t xml:space="preserve"> G9-4 (CLA)</w:t>
            </w:r>
          </w:p>
        </w:tc>
      </w:tr>
      <w:tr w:rsidR="00CB2682" w:rsidRPr="008A0882" w:rsidTr="00CB2682">
        <w:trPr>
          <w:trHeight w:val="312"/>
        </w:trPr>
        <w:tc>
          <w:tcPr>
            <w:tcW w:w="562"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2018/19</w:t>
            </w:r>
          </w:p>
        </w:tc>
        <w:tc>
          <w:tcPr>
            <w:tcW w:w="659"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England</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-0.030</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NYA</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46.7</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70.1</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75.9</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64.6</w:t>
            </w:r>
          </w:p>
        </w:tc>
        <w:tc>
          <w:tcPr>
            <w:tcW w:w="368"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NYA</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NYA</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NYA</w:t>
            </w:r>
          </w:p>
        </w:tc>
      </w:tr>
      <w:tr w:rsidR="00CB2682" w:rsidRPr="008A0882" w:rsidTr="00CB2682">
        <w:trPr>
          <w:trHeight w:val="312"/>
        </w:trPr>
        <w:tc>
          <w:tcPr>
            <w:tcW w:w="562"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2017/18</w:t>
            </w:r>
          </w:p>
        </w:tc>
        <w:tc>
          <w:tcPr>
            <w:tcW w:w="659"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England</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-0.020</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-0.440</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46.5</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69.5</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75.4</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64.2</w:t>
            </w:r>
          </w:p>
        </w:tc>
        <w:tc>
          <w:tcPr>
            <w:tcW w:w="368"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44.5</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25.9</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17.5</w:t>
            </w:r>
          </w:p>
        </w:tc>
      </w:tr>
      <w:tr w:rsidR="00CB2682" w:rsidRPr="008A0882" w:rsidTr="00CB2682">
        <w:trPr>
          <w:trHeight w:val="312"/>
        </w:trPr>
        <w:tc>
          <w:tcPr>
            <w:tcW w:w="562"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2016/17</w:t>
            </w:r>
          </w:p>
        </w:tc>
        <w:tc>
          <w:tcPr>
            <w:tcW w:w="659"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England</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-0.030</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-0.400</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46.3</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69.2</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75.5</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63.9</w:t>
            </w:r>
          </w:p>
        </w:tc>
        <w:tc>
          <w:tcPr>
            <w:tcW w:w="368"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44.5</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25.1</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17.4</w:t>
            </w:r>
          </w:p>
        </w:tc>
      </w:tr>
      <w:tr w:rsidR="00CB2682" w:rsidRPr="008A0882" w:rsidTr="00CB2682">
        <w:trPr>
          <w:trHeight w:val="312"/>
        </w:trPr>
        <w:tc>
          <w:tcPr>
            <w:tcW w:w="562"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2015/16</w:t>
            </w:r>
          </w:p>
        </w:tc>
        <w:tc>
          <w:tcPr>
            <w:tcW w:w="659" w:type="pct"/>
            <w:shd w:val="clear" w:color="auto" w:fill="D9D9D9" w:themeFill="background1" w:themeFillShade="D9"/>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England</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-0.030</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-0.380</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50.1</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68.8</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75.1</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63.3</w:t>
            </w:r>
          </w:p>
        </w:tc>
        <w:tc>
          <w:tcPr>
            <w:tcW w:w="368"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43.2</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24.2</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17.4</w:t>
            </w:r>
          </w:p>
        </w:tc>
      </w:tr>
      <w:tr w:rsidR="00CB2682" w:rsidRPr="008A0882" w:rsidTr="00CB2682">
        <w:trPr>
          <w:trHeight w:val="312"/>
        </w:trPr>
        <w:tc>
          <w:tcPr>
            <w:tcW w:w="562"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2018/19</w:t>
            </w:r>
          </w:p>
        </w:tc>
        <w:tc>
          <w:tcPr>
            <w:tcW w:w="659"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Lancashire</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-0.11</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NYA</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46.6</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70.7</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76.5</w:t>
            </w:r>
          </w:p>
        </w:tc>
        <w:tc>
          <w:tcPr>
            <w:tcW w:w="443"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65.5</w:t>
            </w:r>
          </w:p>
        </w:tc>
        <w:tc>
          <w:tcPr>
            <w:tcW w:w="368"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42.6</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27.3</w:t>
            </w:r>
          </w:p>
        </w:tc>
        <w:tc>
          <w:tcPr>
            <w:tcW w:w="377" w:type="pct"/>
            <w:shd w:val="clear" w:color="auto" w:fill="auto"/>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25.3</w:t>
            </w:r>
          </w:p>
        </w:tc>
      </w:tr>
      <w:tr w:rsidR="00CB2682" w:rsidRPr="008A0882" w:rsidTr="00CB2682">
        <w:trPr>
          <w:trHeight w:val="312"/>
        </w:trPr>
        <w:tc>
          <w:tcPr>
            <w:tcW w:w="562"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2017/18</w:t>
            </w:r>
          </w:p>
        </w:tc>
        <w:tc>
          <w:tcPr>
            <w:tcW w:w="659"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Lancashire</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-0.085</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-0.619</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46.7</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70.9</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76.7</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66.1</w:t>
            </w:r>
          </w:p>
        </w:tc>
        <w:tc>
          <w:tcPr>
            <w:tcW w:w="368"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43.1</w:t>
            </w:r>
          </w:p>
        </w:tc>
        <w:tc>
          <w:tcPr>
            <w:tcW w:w="377"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26.5</w:t>
            </w:r>
          </w:p>
        </w:tc>
        <w:tc>
          <w:tcPr>
            <w:tcW w:w="377"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21.9</w:t>
            </w:r>
          </w:p>
        </w:tc>
      </w:tr>
      <w:tr w:rsidR="00CB2682" w:rsidRPr="008A0882" w:rsidTr="00CB2682">
        <w:trPr>
          <w:trHeight w:val="312"/>
        </w:trPr>
        <w:tc>
          <w:tcPr>
            <w:tcW w:w="562"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2016/17</w:t>
            </w:r>
          </w:p>
        </w:tc>
        <w:tc>
          <w:tcPr>
            <w:tcW w:w="659"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Lancashire</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-0.136</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-0.597</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45.7</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70.0</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76.0</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64.8</w:t>
            </w:r>
          </w:p>
        </w:tc>
        <w:tc>
          <w:tcPr>
            <w:tcW w:w="368"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42.1</w:t>
            </w:r>
          </w:p>
        </w:tc>
        <w:tc>
          <w:tcPr>
            <w:tcW w:w="377"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22.8</w:t>
            </w:r>
          </w:p>
        </w:tc>
        <w:tc>
          <w:tcPr>
            <w:tcW w:w="377"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18.2</w:t>
            </w:r>
          </w:p>
        </w:tc>
      </w:tr>
      <w:tr w:rsidR="00CB2682" w:rsidRPr="008A0882" w:rsidTr="00CB2682">
        <w:trPr>
          <w:trHeight w:val="312"/>
        </w:trPr>
        <w:tc>
          <w:tcPr>
            <w:tcW w:w="562"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2015/16</w:t>
            </w:r>
          </w:p>
        </w:tc>
        <w:tc>
          <w:tcPr>
            <w:tcW w:w="659" w:type="pct"/>
            <w:shd w:val="clear" w:color="auto" w:fill="000000" w:themeFill="text1"/>
            <w:noWrap/>
            <w:vAlign w:val="center"/>
            <w:hideMark/>
          </w:tcPr>
          <w:p w:rsidR="00CB2682" w:rsidRPr="008A0882" w:rsidRDefault="00CB2682"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Lancashire</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-0.106</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-0.580</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49.7</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69.9</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74.5</w:t>
            </w:r>
          </w:p>
        </w:tc>
        <w:tc>
          <w:tcPr>
            <w:tcW w:w="443"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63.6</w:t>
            </w:r>
          </w:p>
        </w:tc>
        <w:tc>
          <w:tcPr>
            <w:tcW w:w="368"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38.8</w:t>
            </w:r>
          </w:p>
        </w:tc>
        <w:tc>
          <w:tcPr>
            <w:tcW w:w="377"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22.7</w:t>
            </w:r>
          </w:p>
        </w:tc>
        <w:tc>
          <w:tcPr>
            <w:tcW w:w="377" w:type="pct"/>
            <w:shd w:val="clear" w:color="auto" w:fill="FFFFFF" w:themeFill="background1"/>
            <w:noWrap/>
            <w:vAlign w:val="center"/>
            <w:hideMark/>
          </w:tcPr>
          <w:p w:rsidR="00CB2682" w:rsidRPr="008A0882" w:rsidRDefault="00CB2682" w:rsidP="00943FD6">
            <w:pPr>
              <w:pStyle w:val="NoSpacing"/>
              <w:jc w:val="center"/>
              <w:rPr>
                <w:rFonts w:ascii="Arial" w:hAnsi="Arial" w:cs="Arial"/>
                <w:szCs w:val="24"/>
                <w:lang w:eastAsia="en-GB"/>
              </w:rPr>
            </w:pPr>
            <w:r w:rsidRPr="008A0882">
              <w:rPr>
                <w:rFonts w:ascii="Arial" w:hAnsi="Arial" w:cs="Arial"/>
                <w:szCs w:val="24"/>
                <w:lang w:eastAsia="en-GB"/>
              </w:rPr>
              <w:t>15.1</w:t>
            </w:r>
          </w:p>
        </w:tc>
      </w:tr>
    </w:tbl>
    <w:p w:rsidR="00CB2682" w:rsidRPr="008A0882" w:rsidRDefault="00CB2682" w:rsidP="0019496E">
      <w:pPr>
        <w:ind w:right="-755"/>
        <w:rPr>
          <w:rFonts w:cs="Arial"/>
          <w:color w:val="000000" w:themeColor="text1"/>
          <w:sz w:val="22"/>
          <w:szCs w:val="10"/>
        </w:rPr>
      </w:pPr>
      <w:r w:rsidRPr="0019496E">
        <w:rPr>
          <w:rFonts w:cs="Arial"/>
          <w:color w:val="000000" w:themeColor="text1"/>
          <w:sz w:val="22"/>
          <w:szCs w:val="22"/>
        </w:rPr>
        <w:t>NYA – Not Yet Available</w:t>
      </w:r>
      <w:r w:rsidR="0019496E">
        <w:rPr>
          <w:rFonts w:cs="Arial"/>
          <w:color w:val="000000" w:themeColor="text1"/>
          <w:sz w:val="22"/>
          <w:szCs w:val="10"/>
        </w:rPr>
        <w:t xml:space="preserve"> </w:t>
      </w:r>
      <w:r w:rsidRPr="008A0882">
        <w:rPr>
          <w:rFonts w:cs="Arial"/>
          <w:color w:val="000000" w:themeColor="text1"/>
          <w:sz w:val="22"/>
          <w:szCs w:val="10"/>
        </w:rPr>
        <w:t>G9-4 = a "standard pass", equivalent to A*C in legacy GCSE exams</w:t>
      </w:r>
    </w:p>
    <w:p w:rsidR="002461F1" w:rsidRPr="008A0882" w:rsidRDefault="002461F1" w:rsidP="002461F1">
      <w:pPr>
        <w:ind w:right="-755"/>
        <w:rPr>
          <w:rFonts w:cs="Arial"/>
          <w:color w:val="000000" w:themeColor="text1"/>
          <w:sz w:val="10"/>
          <w:szCs w:val="10"/>
        </w:rPr>
      </w:pPr>
    </w:p>
    <w:p w:rsidR="002461F1" w:rsidRPr="008A0882" w:rsidRDefault="002461F1" w:rsidP="002461F1">
      <w:pPr>
        <w:pStyle w:val="ListParagraph"/>
        <w:numPr>
          <w:ilvl w:val="0"/>
          <w:numId w:val="10"/>
        </w:numPr>
        <w:spacing w:line="276" w:lineRule="auto"/>
        <w:contextualSpacing w:val="0"/>
        <w:rPr>
          <w:rFonts w:cs="Arial"/>
          <w:sz w:val="10"/>
          <w:szCs w:val="10"/>
        </w:rPr>
      </w:pPr>
      <w:r w:rsidRPr="008A0882">
        <w:rPr>
          <w:rFonts w:cs="Arial"/>
        </w:rPr>
        <w:t xml:space="preserve">Attainment 8 (A8) is just below the 2019 National Average figure. </w:t>
      </w:r>
    </w:p>
    <w:p w:rsidR="002461F1" w:rsidRPr="008A0882" w:rsidRDefault="002461F1" w:rsidP="002461F1">
      <w:pPr>
        <w:pStyle w:val="ListParagraph"/>
        <w:numPr>
          <w:ilvl w:val="0"/>
          <w:numId w:val="10"/>
        </w:numPr>
        <w:spacing w:line="276" w:lineRule="auto"/>
        <w:contextualSpacing w:val="0"/>
        <w:rPr>
          <w:rFonts w:cs="Arial"/>
          <w:sz w:val="10"/>
          <w:szCs w:val="10"/>
        </w:rPr>
      </w:pPr>
      <w:r w:rsidRPr="008A0882">
        <w:rPr>
          <w:rFonts w:cs="Arial"/>
        </w:rPr>
        <w:t xml:space="preserve">The </w:t>
      </w:r>
      <w:r w:rsidR="00CB2682" w:rsidRPr="008A0882">
        <w:rPr>
          <w:rFonts w:cs="Arial"/>
        </w:rPr>
        <w:t>proportion</w:t>
      </w:r>
      <w:r w:rsidRPr="008A0882">
        <w:rPr>
          <w:rFonts w:cs="Arial"/>
        </w:rPr>
        <w:t xml:space="preserve"> of KS4 pupils attaining a standard pass in English, a standard pass in Maths and the combined English &amp; Mathematics measure </w:t>
      </w:r>
      <w:r w:rsidR="00D77F0B">
        <w:rPr>
          <w:rFonts w:cs="Arial"/>
        </w:rPr>
        <w:t>are above 2019 National A</w:t>
      </w:r>
      <w:r w:rsidR="00AB2C9F" w:rsidRPr="008A0882">
        <w:rPr>
          <w:rFonts w:cs="Arial"/>
        </w:rPr>
        <w:t>verage</w:t>
      </w:r>
      <w:r w:rsidRPr="008A0882">
        <w:rPr>
          <w:rFonts w:cs="Arial"/>
        </w:rPr>
        <w:t xml:space="preserve"> figures. </w:t>
      </w:r>
    </w:p>
    <w:p w:rsidR="002461F1" w:rsidRPr="008A0882" w:rsidRDefault="002461F1" w:rsidP="002461F1">
      <w:pPr>
        <w:pStyle w:val="ListParagraph"/>
        <w:numPr>
          <w:ilvl w:val="0"/>
          <w:numId w:val="10"/>
        </w:numPr>
        <w:spacing w:line="276" w:lineRule="auto"/>
        <w:contextualSpacing w:val="0"/>
        <w:rPr>
          <w:rFonts w:cs="Arial"/>
          <w:sz w:val="10"/>
          <w:szCs w:val="10"/>
        </w:rPr>
      </w:pPr>
      <w:r w:rsidRPr="008A0882">
        <w:rPr>
          <w:rFonts w:cs="Arial"/>
        </w:rPr>
        <w:t>All four KPIs are below 2018 figures.</w:t>
      </w:r>
    </w:p>
    <w:p w:rsidR="002461F1" w:rsidRPr="0019496E" w:rsidRDefault="00CB2682" w:rsidP="002461F1">
      <w:pPr>
        <w:pStyle w:val="ListParagraph"/>
        <w:numPr>
          <w:ilvl w:val="0"/>
          <w:numId w:val="10"/>
        </w:numPr>
        <w:spacing w:line="276" w:lineRule="auto"/>
        <w:contextualSpacing w:val="0"/>
        <w:rPr>
          <w:rFonts w:cs="Arial"/>
          <w:sz w:val="10"/>
          <w:szCs w:val="10"/>
        </w:rPr>
      </w:pPr>
      <w:r w:rsidRPr="008A0882">
        <w:rPr>
          <w:rFonts w:cs="Arial"/>
        </w:rPr>
        <w:t>The proportion achieving a s</w:t>
      </w:r>
      <w:r w:rsidR="002461F1" w:rsidRPr="008A0882">
        <w:rPr>
          <w:rFonts w:cs="Arial"/>
        </w:rPr>
        <w:t xml:space="preserve">tandard pass for </w:t>
      </w:r>
      <w:r w:rsidRPr="008A0882">
        <w:rPr>
          <w:rFonts w:cs="Arial"/>
        </w:rPr>
        <w:t xml:space="preserve">the </w:t>
      </w:r>
      <w:r w:rsidR="002461F1" w:rsidRPr="008A0882">
        <w:rPr>
          <w:rFonts w:cs="Arial"/>
        </w:rPr>
        <w:t xml:space="preserve">combined English &amp; Mathematics measure </w:t>
      </w:r>
      <w:r w:rsidRPr="008A0882">
        <w:rPr>
          <w:rFonts w:cs="Arial"/>
        </w:rPr>
        <w:t xml:space="preserve">is </w:t>
      </w:r>
      <w:r w:rsidR="002461F1" w:rsidRPr="008A0882">
        <w:rPr>
          <w:rFonts w:cs="Arial"/>
        </w:rPr>
        <w:t>lower than 2018 for Disadvantaged pupils (dip not quite as great as for all pupils), higher than 2018 for pupils with SEND and CLA (no national comparative data at this stage).</w:t>
      </w:r>
    </w:p>
    <w:p w:rsidR="0019496E" w:rsidRPr="008A0882" w:rsidRDefault="0019496E" w:rsidP="0019496E">
      <w:pPr>
        <w:pStyle w:val="ListParagraph"/>
        <w:spacing w:line="276" w:lineRule="auto"/>
        <w:ind w:left="578"/>
        <w:contextualSpacing w:val="0"/>
        <w:rPr>
          <w:rFonts w:cs="Arial"/>
          <w:sz w:val="10"/>
          <w:szCs w:val="10"/>
        </w:rPr>
      </w:pPr>
    </w:p>
    <w:p w:rsidR="002461F1" w:rsidRPr="008A0882" w:rsidRDefault="002461F1" w:rsidP="002461F1">
      <w:pPr>
        <w:rPr>
          <w:rFonts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293"/>
        <w:gridCol w:w="645"/>
        <w:gridCol w:w="728"/>
        <w:gridCol w:w="645"/>
        <w:gridCol w:w="917"/>
        <w:gridCol w:w="992"/>
        <w:gridCol w:w="993"/>
      </w:tblGrid>
      <w:tr w:rsidR="002461F1" w:rsidRPr="008A0882" w:rsidTr="00676D0E">
        <w:trPr>
          <w:cantSplit/>
          <w:trHeight w:val="1701"/>
          <w:jc w:val="center"/>
        </w:trPr>
        <w:tc>
          <w:tcPr>
            <w:tcW w:w="1012" w:type="dxa"/>
            <w:shd w:val="clear" w:color="auto" w:fill="auto"/>
            <w:noWrap/>
            <w:textDirection w:val="btLr"/>
            <w:vAlign w:val="center"/>
            <w:hideMark/>
          </w:tcPr>
          <w:p w:rsidR="002461F1" w:rsidRPr="008A0882" w:rsidRDefault="002461F1" w:rsidP="00943FD6">
            <w:pPr>
              <w:ind w:left="27" w:right="113" w:firstLine="86"/>
              <w:jc w:val="center"/>
              <w:rPr>
                <w:rFonts w:cs="Arial"/>
                <w:color w:val="000000"/>
                <w:sz w:val="22"/>
                <w:szCs w:val="24"/>
              </w:rPr>
            </w:pPr>
            <w:r w:rsidRPr="008A0882">
              <w:rPr>
                <w:rFonts w:cs="Arial"/>
                <w:color w:val="000000"/>
                <w:sz w:val="22"/>
                <w:szCs w:val="24"/>
              </w:rPr>
              <w:t>Year</w:t>
            </w:r>
          </w:p>
        </w:tc>
        <w:tc>
          <w:tcPr>
            <w:tcW w:w="1293" w:type="dxa"/>
            <w:shd w:val="clear" w:color="auto" w:fill="auto"/>
            <w:noWrap/>
            <w:textDirection w:val="btLr"/>
            <w:vAlign w:val="center"/>
            <w:hideMark/>
          </w:tcPr>
          <w:p w:rsidR="002461F1" w:rsidRPr="008A0882" w:rsidRDefault="002461F1" w:rsidP="00943FD6">
            <w:pPr>
              <w:ind w:left="113" w:right="113"/>
              <w:jc w:val="center"/>
              <w:rPr>
                <w:rFonts w:cs="Arial"/>
                <w:b/>
                <w:color w:val="000000"/>
                <w:sz w:val="22"/>
                <w:szCs w:val="24"/>
              </w:rPr>
            </w:pPr>
            <w:r w:rsidRPr="008A0882">
              <w:rPr>
                <w:rFonts w:cs="Arial"/>
                <w:b/>
                <w:color w:val="000000"/>
                <w:sz w:val="22"/>
                <w:szCs w:val="24"/>
              </w:rPr>
              <w:t>Region</w:t>
            </w:r>
          </w:p>
        </w:tc>
        <w:tc>
          <w:tcPr>
            <w:tcW w:w="645" w:type="dxa"/>
            <w:shd w:val="clear" w:color="000000" w:fill="D9D9D9"/>
            <w:textDirection w:val="btLr"/>
            <w:vAlign w:val="center"/>
            <w:hideMark/>
          </w:tcPr>
          <w:p w:rsidR="002461F1" w:rsidRPr="008A0882" w:rsidRDefault="00CB2682" w:rsidP="00943FD6">
            <w:pPr>
              <w:ind w:left="113" w:right="113"/>
              <w:jc w:val="center"/>
              <w:rPr>
                <w:rFonts w:cs="Arial"/>
                <w:color w:val="000000"/>
                <w:sz w:val="22"/>
                <w:szCs w:val="24"/>
              </w:rPr>
            </w:pPr>
            <w:r w:rsidRPr="008A0882">
              <w:rPr>
                <w:rFonts w:cs="Arial"/>
                <w:color w:val="000000"/>
                <w:sz w:val="22"/>
                <w:szCs w:val="24"/>
              </w:rPr>
              <w:t xml:space="preserve">% </w:t>
            </w:r>
            <w:r w:rsidR="002461F1" w:rsidRPr="008A0882">
              <w:rPr>
                <w:rFonts w:cs="Arial"/>
                <w:color w:val="000000"/>
                <w:sz w:val="22"/>
                <w:szCs w:val="24"/>
              </w:rPr>
              <w:t xml:space="preserve">Maths </w:t>
            </w:r>
            <w:r w:rsidRPr="008A0882">
              <w:rPr>
                <w:rFonts w:cs="Arial"/>
                <w:color w:val="000000"/>
                <w:sz w:val="22"/>
                <w:szCs w:val="24"/>
              </w:rPr>
              <w:t>G</w:t>
            </w:r>
            <w:r w:rsidR="002461F1" w:rsidRPr="008A0882">
              <w:rPr>
                <w:rFonts w:cs="Arial"/>
                <w:color w:val="000000"/>
                <w:sz w:val="22"/>
                <w:szCs w:val="24"/>
              </w:rPr>
              <w:t>9-5</w:t>
            </w:r>
          </w:p>
        </w:tc>
        <w:tc>
          <w:tcPr>
            <w:tcW w:w="728" w:type="dxa"/>
            <w:shd w:val="clear" w:color="000000" w:fill="D9D9D9"/>
            <w:textDirection w:val="btLr"/>
            <w:vAlign w:val="center"/>
            <w:hideMark/>
          </w:tcPr>
          <w:p w:rsidR="002461F1" w:rsidRPr="008A0882" w:rsidRDefault="00CB2682" w:rsidP="00943FD6">
            <w:pPr>
              <w:ind w:left="113" w:right="113"/>
              <w:jc w:val="center"/>
              <w:rPr>
                <w:rFonts w:cs="Arial"/>
                <w:color w:val="000000"/>
                <w:sz w:val="22"/>
                <w:szCs w:val="24"/>
              </w:rPr>
            </w:pPr>
            <w:r w:rsidRPr="008A0882">
              <w:rPr>
                <w:rFonts w:cs="Arial"/>
                <w:color w:val="000000"/>
                <w:sz w:val="22"/>
                <w:szCs w:val="24"/>
              </w:rPr>
              <w:t xml:space="preserve">% </w:t>
            </w:r>
            <w:r w:rsidR="002461F1" w:rsidRPr="008A0882">
              <w:rPr>
                <w:rFonts w:cs="Arial"/>
                <w:color w:val="000000"/>
                <w:sz w:val="22"/>
                <w:szCs w:val="24"/>
              </w:rPr>
              <w:t>E</w:t>
            </w:r>
            <w:r w:rsidRPr="008A0882">
              <w:rPr>
                <w:rFonts w:cs="Arial"/>
                <w:color w:val="000000"/>
                <w:sz w:val="22"/>
                <w:szCs w:val="24"/>
              </w:rPr>
              <w:t>nglish </w:t>
            </w:r>
            <w:r w:rsidRPr="008A0882">
              <w:rPr>
                <w:rFonts w:cs="Arial"/>
                <w:color w:val="000000"/>
                <w:sz w:val="22"/>
                <w:szCs w:val="24"/>
              </w:rPr>
              <w:br/>
              <w:t>G</w:t>
            </w:r>
            <w:r w:rsidR="002461F1" w:rsidRPr="008A0882">
              <w:rPr>
                <w:rFonts w:cs="Arial"/>
                <w:color w:val="000000"/>
                <w:sz w:val="22"/>
                <w:szCs w:val="24"/>
              </w:rPr>
              <w:t>9-5</w:t>
            </w:r>
          </w:p>
        </w:tc>
        <w:tc>
          <w:tcPr>
            <w:tcW w:w="645" w:type="dxa"/>
            <w:shd w:val="clear" w:color="000000" w:fill="D9D9D9"/>
            <w:textDirection w:val="btLr"/>
            <w:vAlign w:val="center"/>
            <w:hideMark/>
          </w:tcPr>
          <w:p w:rsidR="002461F1" w:rsidRPr="008A0882" w:rsidRDefault="00CB2682" w:rsidP="00943FD6">
            <w:pPr>
              <w:ind w:left="113" w:right="113"/>
              <w:jc w:val="center"/>
              <w:rPr>
                <w:rFonts w:cs="Arial"/>
                <w:color w:val="000000"/>
                <w:sz w:val="22"/>
                <w:szCs w:val="24"/>
              </w:rPr>
            </w:pPr>
            <w:r w:rsidRPr="008A0882">
              <w:rPr>
                <w:rFonts w:cs="Arial"/>
                <w:color w:val="000000"/>
                <w:sz w:val="22"/>
                <w:szCs w:val="24"/>
              </w:rPr>
              <w:t xml:space="preserve">% </w:t>
            </w:r>
            <w:r w:rsidR="002461F1" w:rsidRPr="008A0882">
              <w:rPr>
                <w:rFonts w:cs="Arial"/>
                <w:color w:val="000000"/>
                <w:sz w:val="22"/>
                <w:szCs w:val="24"/>
              </w:rPr>
              <w:t xml:space="preserve">Maths &amp; English  </w:t>
            </w:r>
            <w:r w:rsidRPr="008A0882">
              <w:rPr>
                <w:rFonts w:cs="Arial"/>
                <w:color w:val="000000"/>
                <w:sz w:val="22"/>
                <w:szCs w:val="24"/>
              </w:rPr>
              <w:t>G</w:t>
            </w:r>
            <w:r w:rsidR="002461F1" w:rsidRPr="008A0882">
              <w:rPr>
                <w:rFonts w:cs="Arial"/>
                <w:color w:val="000000"/>
                <w:sz w:val="22"/>
                <w:szCs w:val="24"/>
              </w:rPr>
              <w:t>9-5</w:t>
            </w:r>
          </w:p>
        </w:tc>
        <w:tc>
          <w:tcPr>
            <w:tcW w:w="917" w:type="dxa"/>
            <w:shd w:val="clear" w:color="000000" w:fill="D9D9D9"/>
            <w:textDirection w:val="btLr"/>
            <w:vAlign w:val="center"/>
          </w:tcPr>
          <w:p w:rsidR="002461F1" w:rsidRPr="008A0882" w:rsidRDefault="00CB2682" w:rsidP="00943FD6">
            <w:pPr>
              <w:ind w:left="113" w:right="113"/>
              <w:jc w:val="center"/>
              <w:rPr>
                <w:rFonts w:cs="Arial"/>
                <w:color w:val="000000"/>
                <w:sz w:val="22"/>
                <w:szCs w:val="24"/>
              </w:rPr>
            </w:pPr>
            <w:r w:rsidRPr="008A0882">
              <w:rPr>
                <w:rFonts w:cs="Arial"/>
                <w:color w:val="000000"/>
                <w:sz w:val="22"/>
                <w:szCs w:val="24"/>
              </w:rPr>
              <w:t xml:space="preserve">% </w:t>
            </w:r>
            <w:r w:rsidR="002461F1" w:rsidRPr="008A0882">
              <w:rPr>
                <w:rFonts w:cs="Arial"/>
                <w:color w:val="000000"/>
                <w:sz w:val="22"/>
                <w:szCs w:val="24"/>
              </w:rPr>
              <w:t>English Baccalaureate 9-4</w:t>
            </w:r>
          </w:p>
        </w:tc>
        <w:tc>
          <w:tcPr>
            <w:tcW w:w="992" w:type="dxa"/>
            <w:shd w:val="clear" w:color="000000" w:fill="D9D9D9"/>
            <w:textDirection w:val="btLr"/>
            <w:vAlign w:val="center"/>
          </w:tcPr>
          <w:p w:rsidR="002461F1" w:rsidRPr="008A0882" w:rsidRDefault="00CB2682" w:rsidP="00943FD6">
            <w:pPr>
              <w:ind w:left="113" w:right="113"/>
              <w:jc w:val="center"/>
              <w:rPr>
                <w:rFonts w:cs="Arial"/>
                <w:color w:val="000000"/>
                <w:sz w:val="22"/>
                <w:szCs w:val="24"/>
              </w:rPr>
            </w:pPr>
            <w:r w:rsidRPr="008A0882">
              <w:rPr>
                <w:rFonts w:cs="Arial"/>
                <w:color w:val="000000"/>
                <w:sz w:val="22"/>
                <w:szCs w:val="24"/>
              </w:rPr>
              <w:t xml:space="preserve">% </w:t>
            </w:r>
            <w:r w:rsidR="002461F1" w:rsidRPr="008A0882">
              <w:rPr>
                <w:rFonts w:cs="Arial"/>
                <w:color w:val="000000"/>
                <w:sz w:val="22"/>
                <w:szCs w:val="24"/>
              </w:rPr>
              <w:t>English Baccalaureate 9-5</w:t>
            </w:r>
          </w:p>
        </w:tc>
        <w:tc>
          <w:tcPr>
            <w:tcW w:w="993" w:type="dxa"/>
            <w:shd w:val="clear" w:color="000000" w:fill="D9D9D9"/>
            <w:textDirection w:val="btLr"/>
            <w:vAlign w:val="center"/>
          </w:tcPr>
          <w:p w:rsidR="002461F1" w:rsidRPr="008A0882" w:rsidRDefault="002461F1" w:rsidP="00676D0E">
            <w:pPr>
              <w:ind w:left="113" w:right="113"/>
              <w:jc w:val="center"/>
              <w:rPr>
                <w:rFonts w:cs="Arial"/>
                <w:color w:val="000000"/>
                <w:sz w:val="22"/>
                <w:szCs w:val="24"/>
              </w:rPr>
            </w:pPr>
            <w:r w:rsidRPr="008A0882">
              <w:rPr>
                <w:rFonts w:cs="Arial"/>
                <w:color w:val="000000"/>
                <w:sz w:val="22"/>
                <w:szCs w:val="24"/>
              </w:rPr>
              <w:t>English Baccalaureate APS</w:t>
            </w:r>
          </w:p>
        </w:tc>
      </w:tr>
      <w:tr w:rsidR="002461F1" w:rsidRPr="008A0882" w:rsidTr="00676D0E">
        <w:trPr>
          <w:trHeight w:val="312"/>
          <w:jc w:val="center"/>
        </w:trPr>
        <w:tc>
          <w:tcPr>
            <w:tcW w:w="1012" w:type="dxa"/>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2018/19</w:t>
            </w:r>
          </w:p>
        </w:tc>
        <w:tc>
          <w:tcPr>
            <w:tcW w:w="1293" w:type="dxa"/>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England</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49.0</w:t>
            </w:r>
          </w:p>
        </w:tc>
        <w:tc>
          <w:tcPr>
            <w:tcW w:w="728"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60.6</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43.2</w:t>
            </w:r>
          </w:p>
        </w:tc>
        <w:tc>
          <w:tcPr>
            <w:tcW w:w="917"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24.9</w:t>
            </w:r>
          </w:p>
        </w:tc>
        <w:tc>
          <w:tcPr>
            <w:tcW w:w="992"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17.1</w:t>
            </w:r>
          </w:p>
        </w:tc>
        <w:tc>
          <w:tcPr>
            <w:tcW w:w="993"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4.08</w:t>
            </w:r>
          </w:p>
        </w:tc>
      </w:tr>
      <w:tr w:rsidR="002461F1" w:rsidRPr="008A0882" w:rsidTr="00676D0E">
        <w:trPr>
          <w:trHeight w:val="312"/>
          <w:jc w:val="center"/>
        </w:trPr>
        <w:tc>
          <w:tcPr>
            <w:tcW w:w="1012" w:type="dxa"/>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2017/18</w:t>
            </w:r>
          </w:p>
        </w:tc>
        <w:tc>
          <w:tcPr>
            <w:tcW w:w="1293" w:type="dxa"/>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England</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49.5</w:t>
            </w:r>
          </w:p>
        </w:tc>
        <w:tc>
          <w:tcPr>
            <w:tcW w:w="728"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60.6</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43.5</w:t>
            </w:r>
          </w:p>
        </w:tc>
        <w:tc>
          <w:tcPr>
            <w:tcW w:w="917"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24.2</w:t>
            </w:r>
          </w:p>
        </w:tc>
        <w:tc>
          <w:tcPr>
            <w:tcW w:w="992"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16.8</w:t>
            </w:r>
          </w:p>
        </w:tc>
        <w:tc>
          <w:tcPr>
            <w:tcW w:w="993"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4.05</w:t>
            </w:r>
          </w:p>
        </w:tc>
      </w:tr>
      <w:tr w:rsidR="002461F1" w:rsidRPr="008A0882" w:rsidTr="00676D0E">
        <w:trPr>
          <w:trHeight w:val="312"/>
          <w:jc w:val="center"/>
        </w:trPr>
        <w:tc>
          <w:tcPr>
            <w:tcW w:w="1012" w:type="dxa"/>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2018/19</w:t>
            </w:r>
          </w:p>
        </w:tc>
        <w:tc>
          <w:tcPr>
            <w:tcW w:w="1293" w:type="dxa"/>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Lancashire</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49.5</w:t>
            </w:r>
          </w:p>
        </w:tc>
        <w:tc>
          <w:tcPr>
            <w:tcW w:w="728" w:type="dxa"/>
            <w:shd w:val="clear" w:color="auto" w:fill="auto"/>
            <w:noWrap/>
            <w:vAlign w:val="center"/>
          </w:tcPr>
          <w:p w:rsidR="002461F1" w:rsidRPr="008A0882" w:rsidRDefault="002461F1" w:rsidP="00943FD6">
            <w:pPr>
              <w:pStyle w:val="NoSpacing"/>
              <w:jc w:val="center"/>
              <w:rPr>
                <w:rFonts w:ascii="Arial" w:hAnsi="Arial" w:cs="Arial"/>
                <w:color w:val="FFFFFF" w:themeColor="background1"/>
                <w:szCs w:val="24"/>
                <w:lang w:eastAsia="en-GB"/>
              </w:rPr>
            </w:pPr>
            <w:r w:rsidRPr="008A0882">
              <w:rPr>
                <w:rFonts w:ascii="Arial" w:hAnsi="Arial" w:cs="Arial"/>
                <w:szCs w:val="24"/>
                <w:lang w:eastAsia="en-GB"/>
              </w:rPr>
              <w:t>61.6</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43.9</w:t>
            </w:r>
          </w:p>
        </w:tc>
        <w:tc>
          <w:tcPr>
            <w:tcW w:w="917"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21.2</w:t>
            </w:r>
          </w:p>
        </w:tc>
        <w:tc>
          <w:tcPr>
            <w:tcW w:w="992"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14.8</w:t>
            </w:r>
          </w:p>
        </w:tc>
        <w:tc>
          <w:tcPr>
            <w:tcW w:w="993" w:type="dxa"/>
            <w:shd w:val="clear" w:color="auto" w:fill="auto"/>
            <w:vAlign w:val="center"/>
          </w:tcPr>
          <w:p w:rsidR="002461F1" w:rsidRPr="008A0882" w:rsidRDefault="002461F1" w:rsidP="00943FD6">
            <w:pPr>
              <w:pStyle w:val="NoSpacing"/>
              <w:jc w:val="center"/>
              <w:rPr>
                <w:rFonts w:ascii="Arial" w:hAnsi="Arial" w:cs="Arial"/>
                <w:color w:val="FFFFFF" w:themeColor="background1"/>
                <w:szCs w:val="24"/>
                <w:lang w:eastAsia="en-GB"/>
              </w:rPr>
            </w:pPr>
            <w:r w:rsidRPr="008A0882">
              <w:rPr>
                <w:rFonts w:ascii="Arial" w:hAnsi="Arial" w:cs="Arial"/>
                <w:szCs w:val="24"/>
                <w:lang w:eastAsia="en-GB"/>
              </w:rPr>
              <w:t>4.01</w:t>
            </w:r>
          </w:p>
        </w:tc>
      </w:tr>
      <w:tr w:rsidR="002461F1" w:rsidRPr="008A0882" w:rsidTr="00676D0E">
        <w:trPr>
          <w:trHeight w:val="312"/>
          <w:jc w:val="center"/>
        </w:trPr>
        <w:tc>
          <w:tcPr>
            <w:tcW w:w="1012" w:type="dxa"/>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2017/18</w:t>
            </w:r>
          </w:p>
        </w:tc>
        <w:tc>
          <w:tcPr>
            <w:tcW w:w="1293" w:type="dxa"/>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Cs w:val="24"/>
                <w:lang w:eastAsia="en-GB"/>
              </w:rPr>
            </w:pPr>
            <w:r w:rsidRPr="008A0882">
              <w:rPr>
                <w:rFonts w:ascii="Arial" w:hAnsi="Arial" w:cs="Arial"/>
                <w:color w:val="FFFFFF" w:themeColor="background1"/>
                <w:szCs w:val="24"/>
                <w:lang w:eastAsia="en-GB"/>
              </w:rPr>
              <w:t>Lancashire</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50.3</w:t>
            </w:r>
          </w:p>
        </w:tc>
        <w:tc>
          <w:tcPr>
            <w:tcW w:w="728"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61.5</w:t>
            </w:r>
          </w:p>
        </w:tc>
        <w:tc>
          <w:tcPr>
            <w:tcW w:w="645" w:type="dxa"/>
            <w:shd w:val="clear" w:color="auto" w:fill="auto"/>
            <w:noWrap/>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44.2</w:t>
            </w:r>
          </w:p>
        </w:tc>
        <w:tc>
          <w:tcPr>
            <w:tcW w:w="917"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19.8</w:t>
            </w:r>
          </w:p>
        </w:tc>
        <w:tc>
          <w:tcPr>
            <w:tcW w:w="992"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13.9</w:t>
            </w:r>
          </w:p>
        </w:tc>
        <w:tc>
          <w:tcPr>
            <w:tcW w:w="993" w:type="dxa"/>
            <w:shd w:val="clear" w:color="auto" w:fill="auto"/>
            <w:vAlign w:val="center"/>
          </w:tcPr>
          <w:p w:rsidR="002461F1" w:rsidRPr="008A0882" w:rsidRDefault="002461F1" w:rsidP="00943FD6">
            <w:pPr>
              <w:pStyle w:val="NoSpacing"/>
              <w:jc w:val="center"/>
              <w:rPr>
                <w:rFonts w:ascii="Arial" w:hAnsi="Arial" w:cs="Arial"/>
                <w:szCs w:val="24"/>
                <w:lang w:eastAsia="en-GB"/>
              </w:rPr>
            </w:pPr>
            <w:r w:rsidRPr="008A0882">
              <w:rPr>
                <w:rFonts w:ascii="Arial" w:hAnsi="Arial" w:cs="Arial"/>
                <w:szCs w:val="24"/>
                <w:lang w:eastAsia="en-GB"/>
              </w:rPr>
              <w:t>3.99</w:t>
            </w:r>
          </w:p>
        </w:tc>
      </w:tr>
    </w:tbl>
    <w:p w:rsidR="00CB2682" w:rsidRPr="008A0882" w:rsidRDefault="00CB2682" w:rsidP="00CB2682">
      <w:pPr>
        <w:ind w:right="-755"/>
        <w:jc w:val="center"/>
        <w:rPr>
          <w:rFonts w:cs="Arial"/>
          <w:color w:val="000000" w:themeColor="text1"/>
          <w:sz w:val="22"/>
          <w:szCs w:val="10"/>
        </w:rPr>
      </w:pPr>
      <w:r w:rsidRPr="008A0882">
        <w:rPr>
          <w:rFonts w:cs="Arial"/>
          <w:color w:val="000000" w:themeColor="text1"/>
          <w:sz w:val="22"/>
          <w:szCs w:val="10"/>
        </w:rPr>
        <w:t>G9-5 = a "higher pass", the new expected national standard at the end of secondary school</w:t>
      </w:r>
    </w:p>
    <w:p w:rsidR="002461F1" w:rsidRPr="008A0882" w:rsidRDefault="002461F1" w:rsidP="002461F1">
      <w:pPr>
        <w:rPr>
          <w:rFonts w:cs="Arial"/>
          <w:sz w:val="10"/>
          <w:szCs w:val="10"/>
        </w:rPr>
      </w:pPr>
    </w:p>
    <w:p w:rsidR="00CB2682" w:rsidRPr="008A0882" w:rsidRDefault="00CB2682" w:rsidP="002461F1">
      <w:pPr>
        <w:rPr>
          <w:rFonts w:cs="Arial"/>
          <w:sz w:val="10"/>
          <w:szCs w:val="10"/>
        </w:rPr>
      </w:pPr>
    </w:p>
    <w:p w:rsidR="002461F1" w:rsidRPr="008A0882" w:rsidRDefault="002461F1" w:rsidP="002461F1">
      <w:pPr>
        <w:pStyle w:val="ListParagraph"/>
        <w:numPr>
          <w:ilvl w:val="0"/>
          <w:numId w:val="10"/>
        </w:numPr>
        <w:ind w:left="572" w:hanging="357"/>
        <w:contextualSpacing w:val="0"/>
        <w:rPr>
          <w:rFonts w:cs="Arial"/>
          <w:sz w:val="10"/>
          <w:szCs w:val="10"/>
        </w:rPr>
      </w:pPr>
      <w:r w:rsidRPr="008A0882">
        <w:rPr>
          <w:rFonts w:cs="Arial"/>
        </w:rPr>
        <w:t>The proportion gaining a h</w:t>
      </w:r>
      <w:r w:rsidR="00304EF8">
        <w:rPr>
          <w:rFonts w:cs="Arial"/>
        </w:rPr>
        <w:t>igher pass in English is above n</w:t>
      </w:r>
      <w:r w:rsidRPr="008A0882">
        <w:rPr>
          <w:rFonts w:cs="Arial"/>
        </w:rPr>
        <w:t xml:space="preserve">ational and just above 2018. </w:t>
      </w:r>
    </w:p>
    <w:p w:rsidR="002461F1" w:rsidRPr="008A0882" w:rsidRDefault="002461F1" w:rsidP="002461F1">
      <w:pPr>
        <w:pStyle w:val="ListParagraph"/>
        <w:numPr>
          <w:ilvl w:val="0"/>
          <w:numId w:val="10"/>
        </w:numPr>
        <w:ind w:left="572" w:hanging="357"/>
        <w:contextualSpacing w:val="0"/>
        <w:rPr>
          <w:rFonts w:cs="Arial"/>
          <w:sz w:val="10"/>
          <w:szCs w:val="10"/>
        </w:rPr>
      </w:pPr>
      <w:r w:rsidRPr="008A0882">
        <w:rPr>
          <w:rFonts w:cs="Arial"/>
        </w:rPr>
        <w:t>The proportion attaining higher passes in Maths i</w:t>
      </w:r>
      <w:r w:rsidR="00D77F0B">
        <w:rPr>
          <w:rFonts w:cs="Arial"/>
        </w:rPr>
        <w:t>s just above the 2019 National A</w:t>
      </w:r>
      <w:r w:rsidRPr="008A0882">
        <w:rPr>
          <w:rFonts w:cs="Arial"/>
        </w:rPr>
        <w:t>verage, but below 2018; as a result, the proportion attaining a higher pass in both Eng</w:t>
      </w:r>
      <w:r w:rsidR="00304EF8">
        <w:rPr>
          <w:rFonts w:cs="Arial"/>
        </w:rPr>
        <w:t>lish and Maths is just above n</w:t>
      </w:r>
      <w:r w:rsidRPr="008A0882">
        <w:rPr>
          <w:rFonts w:cs="Arial"/>
        </w:rPr>
        <w:t xml:space="preserve">ational but just below 2018. </w:t>
      </w:r>
    </w:p>
    <w:p w:rsidR="002461F1" w:rsidRPr="008A0882" w:rsidRDefault="002461F1" w:rsidP="002461F1">
      <w:pPr>
        <w:pStyle w:val="ListParagraph"/>
        <w:numPr>
          <w:ilvl w:val="0"/>
          <w:numId w:val="10"/>
        </w:numPr>
        <w:ind w:left="572" w:hanging="357"/>
        <w:contextualSpacing w:val="0"/>
        <w:rPr>
          <w:rFonts w:cs="Arial"/>
          <w:sz w:val="10"/>
          <w:szCs w:val="10"/>
        </w:rPr>
      </w:pPr>
      <w:r w:rsidRPr="008A0882">
        <w:rPr>
          <w:rFonts w:cs="Arial"/>
        </w:rPr>
        <w:t>For the English Baccalaureate measures, the proportions attaining a standard pass and the proportion gaining a higher pass and the average point score have all improved,</w:t>
      </w:r>
      <w:r w:rsidR="00D77F0B">
        <w:rPr>
          <w:rFonts w:cs="Arial"/>
        </w:rPr>
        <w:t xml:space="preserve"> but all remain below National A</w:t>
      </w:r>
      <w:r w:rsidRPr="008A0882">
        <w:rPr>
          <w:rFonts w:cs="Arial"/>
        </w:rPr>
        <w:t>verages.</w:t>
      </w:r>
    </w:p>
    <w:p w:rsidR="00943FD6" w:rsidRPr="008A0882" w:rsidRDefault="00943FD6" w:rsidP="002461F1">
      <w:pPr>
        <w:autoSpaceDE w:val="0"/>
        <w:autoSpaceDN w:val="0"/>
        <w:adjustRightInd w:val="0"/>
        <w:spacing w:after="120"/>
        <w:ind w:left="218"/>
        <w:jc w:val="both"/>
        <w:rPr>
          <w:rFonts w:cs="Arial"/>
          <w:b/>
        </w:rPr>
      </w:pPr>
    </w:p>
    <w:p w:rsidR="002461F1" w:rsidRPr="008A0882" w:rsidRDefault="002461F1" w:rsidP="002461F1">
      <w:pPr>
        <w:autoSpaceDE w:val="0"/>
        <w:autoSpaceDN w:val="0"/>
        <w:adjustRightInd w:val="0"/>
        <w:spacing w:after="120"/>
        <w:ind w:left="218"/>
        <w:jc w:val="both"/>
        <w:rPr>
          <w:rFonts w:cs="Arial"/>
        </w:rPr>
      </w:pPr>
      <w:r w:rsidRPr="008A0882">
        <w:rPr>
          <w:rFonts w:cs="Arial"/>
        </w:rPr>
        <w:t>Further analysis from 2019 S</w:t>
      </w:r>
      <w:r w:rsidR="00943FD6" w:rsidRPr="008A0882">
        <w:rPr>
          <w:rFonts w:cs="Arial"/>
        </w:rPr>
        <w:t xml:space="preserve">tatistical </w:t>
      </w:r>
      <w:r w:rsidRPr="008A0882">
        <w:rPr>
          <w:rFonts w:cs="Arial"/>
        </w:rPr>
        <w:t>F</w:t>
      </w:r>
      <w:r w:rsidR="00943FD6" w:rsidRPr="008A0882">
        <w:rPr>
          <w:rFonts w:cs="Arial"/>
        </w:rPr>
        <w:t xml:space="preserve">irst </w:t>
      </w:r>
      <w:r w:rsidRPr="008A0882">
        <w:rPr>
          <w:rFonts w:cs="Arial"/>
        </w:rPr>
        <w:t>R</w:t>
      </w:r>
      <w:r w:rsidR="00943FD6" w:rsidRPr="008A0882">
        <w:rPr>
          <w:rFonts w:cs="Arial"/>
        </w:rPr>
        <w:t>elease</w:t>
      </w:r>
      <w:r w:rsidRPr="008A0882">
        <w:rPr>
          <w:rFonts w:cs="Arial"/>
        </w:rPr>
        <w:t xml:space="preserve"> and Fischer Family Trust data</w:t>
      </w:r>
      <w:r w:rsidRPr="008A0882">
        <w:rPr>
          <w:rFonts w:cs="Arial"/>
          <w:b/>
        </w:rPr>
        <w:t xml:space="preserve"> </w:t>
      </w:r>
      <w:r w:rsidRPr="008A0882">
        <w:rPr>
          <w:rFonts w:cs="Arial"/>
        </w:rPr>
        <w:t>suggests:</w:t>
      </w:r>
    </w:p>
    <w:p w:rsidR="002461F1" w:rsidRPr="008A0882" w:rsidRDefault="002461F1" w:rsidP="002461F1">
      <w:pPr>
        <w:pStyle w:val="ListParagraph"/>
        <w:numPr>
          <w:ilvl w:val="0"/>
          <w:numId w:val="10"/>
        </w:numPr>
        <w:autoSpaceDE w:val="0"/>
        <w:autoSpaceDN w:val="0"/>
        <w:adjustRightInd w:val="0"/>
        <w:spacing w:after="120"/>
        <w:jc w:val="both"/>
        <w:rPr>
          <w:rFonts w:cs="Arial"/>
        </w:rPr>
      </w:pPr>
      <w:r w:rsidRPr="008A0882">
        <w:rPr>
          <w:rFonts w:cs="Arial"/>
        </w:rPr>
        <w:t xml:space="preserve">English Baccalaureate scores </w:t>
      </w:r>
      <w:r w:rsidR="00943FD6" w:rsidRPr="008A0882">
        <w:rPr>
          <w:rFonts w:cs="Arial"/>
        </w:rPr>
        <w:t xml:space="preserve">are </w:t>
      </w:r>
      <w:r w:rsidRPr="008A0882">
        <w:rPr>
          <w:rFonts w:cs="Arial"/>
        </w:rPr>
        <w:t xml:space="preserve">limited by entry patterns in Humanities and, particularly, in Languages. </w:t>
      </w:r>
    </w:p>
    <w:p w:rsidR="002461F1" w:rsidRPr="008A0882" w:rsidRDefault="002461F1" w:rsidP="002461F1">
      <w:pPr>
        <w:pStyle w:val="ListParagraph"/>
        <w:numPr>
          <w:ilvl w:val="0"/>
          <w:numId w:val="10"/>
        </w:numPr>
        <w:autoSpaceDE w:val="0"/>
        <w:autoSpaceDN w:val="0"/>
        <w:adjustRightInd w:val="0"/>
        <w:spacing w:after="120"/>
        <w:jc w:val="both"/>
        <w:rPr>
          <w:rFonts w:cs="Arial"/>
        </w:rPr>
      </w:pPr>
      <w:r w:rsidRPr="008A0882">
        <w:rPr>
          <w:rFonts w:cs="Arial"/>
        </w:rPr>
        <w:t xml:space="preserve">Overall English performance is lowered by English </w:t>
      </w:r>
      <w:r w:rsidRPr="008A0882">
        <w:rPr>
          <w:rFonts w:cs="Arial"/>
          <w:i/>
        </w:rPr>
        <w:t>Literature,</w:t>
      </w:r>
      <w:r w:rsidRPr="008A0882">
        <w:rPr>
          <w:rFonts w:cs="Arial"/>
        </w:rPr>
        <w:t xml:space="preserve"> but improving over time (partly </w:t>
      </w:r>
      <w:r w:rsidR="00943FD6" w:rsidRPr="008A0882">
        <w:rPr>
          <w:rFonts w:cs="Arial"/>
        </w:rPr>
        <w:t>arising from</w:t>
      </w:r>
      <w:r w:rsidRPr="008A0882">
        <w:rPr>
          <w:rFonts w:cs="Arial"/>
        </w:rPr>
        <w:t xml:space="preserve"> a move away from Year 10 early entry). Progress in Maths is lower than in English.</w:t>
      </w:r>
    </w:p>
    <w:p w:rsidR="002461F1" w:rsidRPr="008A0882" w:rsidRDefault="002461F1" w:rsidP="002461F1">
      <w:pPr>
        <w:pStyle w:val="ListParagraph"/>
        <w:ind w:left="572"/>
        <w:contextualSpacing w:val="0"/>
        <w:rPr>
          <w:rFonts w:cs="Arial"/>
          <w:sz w:val="10"/>
          <w:szCs w:val="10"/>
        </w:rPr>
      </w:pPr>
    </w:p>
    <w:p w:rsidR="00D77F0B" w:rsidRDefault="00D77F0B" w:rsidP="002461F1">
      <w:pPr>
        <w:pStyle w:val="NoSpacing"/>
        <w:ind w:left="142"/>
        <w:rPr>
          <w:rFonts w:ascii="Arial" w:hAnsi="Arial" w:cs="Arial"/>
          <w:b/>
          <w:sz w:val="24"/>
        </w:rPr>
      </w:pPr>
    </w:p>
    <w:p w:rsidR="002461F1" w:rsidRPr="008A0882" w:rsidRDefault="002461F1" w:rsidP="002461F1">
      <w:pPr>
        <w:pStyle w:val="NoSpacing"/>
        <w:ind w:left="142"/>
        <w:rPr>
          <w:rFonts w:ascii="Arial" w:hAnsi="Arial" w:cs="Arial"/>
          <w:b/>
          <w:sz w:val="24"/>
        </w:rPr>
      </w:pPr>
      <w:r w:rsidRPr="008A0882">
        <w:rPr>
          <w:rFonts w:ascii="Arial" w:hAnsi="Arial" w:cs="Arial"/>
          <w:b/>
          <w:sz w:val="24"/>
        </w:rPr>
        <w:t>District Profile – Key Stage 4</w:t>
      </w:r>
    </w:p>
    <w:p w:rsidR="002461F1" w:rsidRPr="008A0882" w:rsidRDefault="002461F1" w:rsidP="002461F1">
      <w:pPr>
        <w:pStyle w:val="NoSpacing"/>
        <w:ind w:left="-284"/>
        <w:rPr>
          <w:rFonts w:ascii="Arial" w:hAnsi="Arial" w:cs="Arial"/>
          <w:b/>
          <w:color w:val="4472C4" w:themeColor="accent5"/>
          <w:sz w:val="10"/>
          <w:szCs w:val="10"/>
        </w:rPr>
      </w:pPr>
    </w:p>
    <w:p w:rsidR="002461F1" w:rsidRPr="008A0882" w:rsidRDefault="002461F1" w:rsidP="002461F1">
      <w:pPr>
        <w:pStyle w:val="ListParagraph"/>
        <w:numPr>
          <w:ilvl w:val="0"/>
          <w:numId w:val="11"/>
        </w:numPr>
        <w:autoSpaceDE w:val="0"/>
        <w:autoSpaceDN w:val="0"/>
        <w:adjustRightInd w:val="0"/>
        <w:spacing w:after="120"/>
        <w:ind w:left="567"/>
        <w:jc w:val="both"/>
        <w:rPr>
          <w:rFonts w:cs="Arial"/>
          <w:color w:val="000000"/>
        </w:rPr>
      </w:pPr>
      <w:r w:rsidRPr="008A0882">
        <w:rPr>
          <w:rFonts w:cs="Arial"/>
          <w:color w:val="000000"/>
        </w:rPr>
        <w:t xml:space="preserve">There are wide variations in </w:t>
      </w:r>
      <w:r w:rsidR="0019496E">
        <w:rPr>
          <w:rFonts w:cs="Arial"/>
          <w:color w:val="000000"/>
        </w:rPr>
        <w:t>Attainment 8 outcomes by local d</w:t>
      </w:r>
      <w:r w:rsidRPr="008A0882">
        <w:rPr>
          <w:rFonts w:cs="Arial"/>
          <w:color w:val="000000"/>
        </w:rPr>
        <w:t>istrict with Burnley, Pendle and Hyndburn lowest. Burnley demonstrated the largest improvement when compared against 2018 outcomes.</w:t>
      </w:r>
    </w:p>
    <w:p w:rsidR="002461F1" w:rsidRPr="008A0882" w:rsidRDefault="002461F1" w:rsidP="002461F1">
      <w:pPr>
        <w:pStyle w:val="ListParagraph"/>
        <w:numPr>
          <w:ilvl w:val="0"/>
          <w:numId w:val="11"/>
        </w:numPr>
        <w:autoSpaceDE w:val="0"/>
        <w:autoSpaceDN w:val="0"/>
        <w:adjustRightInd w:val="0"/>
        <w:spacing w:after="120"/>
        <w:ind w:left="567"/>
        <w:jc w:val="both"/>
        <w:rPr>
          <w:rFonts w:cs="Arial"/>
          <w:color w:val="000000"/>
        </w:rPr>
      </w:pPr>
      <w:r w:rsidRPr="008A0882">
        <w:rPr>
          <w:rFonts w:cs="Arial"/>
          <w:color w:val="000000"/>
        </w:rPr>
        <w:t>Four districts improved on their Attainment 8 outcomes (Burnley, Chorley, Fylde, Rossendale) with the remaining nine showing a decline on 2018 figures.</w:t>
      </w:r>
    </w:p>
    <w:p w:rsidR="002461F1" w:rsidRPr="008A0882" w:rsidRDefault="002461F1" w:rsidP="002461F1">
      <w:pPr>
        <w:pStyle w:val="ListParagraph"/>
        <w:numPr>
          <w:ilvl w:val="0"/>
          <w:numId w:val="11"/>
        </w:numPr>
        <w:autoSpaceDE w:val="0"/>
        <w:autoSpaceDN w:val="0"/>
        <w:adjustRightInd w:val="0"/>
        <w:spacing w:after="120"/>
        <w:ind w:left="567"/>
        <w:jc w:val="both"/>
        <w:rPr>
          <w:rFonts w:cs="Arial"/>
          <w:color w:val="000000"/>
        </w:rPr>
      </w:pPr>
      <w:r w:rsidRPr="008A0882">
        <w:rPr>
          <w:rFonts w:cs="Arial"/>
          <w:color w:val="000000"/>
        </w:rPr>
        <w:lastRenderedPageBreak/>
        <w:t>Only Burnley and Rossendale showed an improvement across all 3 KPIs (A8, G4+EM, G5+EM) when compared against 2018 outcomes.</w:t>
      </w:r>
    </w:p>
    <w:p w:rsidR="002461F1" w:rsidRPr="008A0882" w:rsidRDefault="002461F1" w:rsidP="00943FD6">
      <w:pPr>
        <w:pStyle w:val="ListParagraph"/>
        <w:numPr>
          <w:ilvl w:val="0"/>
          <w:numId w:val="11"/>
        </w:numPr>
        <w:autoSpaceDE w:val="0"/>
        <w:autoSpaceDN w:val="0"/>
        <w:adjustRightInd w:val="0"/>
        <w:spacing w:after="120"/>
        <w:ind w:left="567"/>
        <w:jc w:val="both"/>
        <w:rPr>
          <w:rFonts w:cs="Arial"/>
          <w:color w:val="000000"/>
        </w:rPr>
      </w:pPr>
      <w:r w:rsidRPr="008A0882">
        <w:rPr>
          <w:rFonts w:cs="Arial"/>
          <w:color w:val="000000"/>
        </w:rPr>
        <w:t>Five districts showed a decrease in outcomes across all 3 KPIs (A8, G4+EM, G5+EM) when compared against 2018 outcomes (Hyndburn, Pendle, Preston, West Lancashire and Wyre).</w:t>
      </w:r>
    </w:p>
    <w:p w:rsidR="002461F1" w:rsidRPr="008A0882" w:rsidRDefault="002461F1" w:rsidP="002461F1">
      <w:pPr>
        <w:pStyle w:val="NoSpacing"/>
        <w:rPr>
          <w:rFonts w:ascii="Arial" w:hAnsi="Arial" w:cs="Arial"/>
          <w:b/>
          <w:color w:val="4472C4" w:themeColor="accent5"/>
          <w:sz w:val="10"/>
          <w:szCs w:val="10"/>
        </w:rPr>
      </w:pPr>
    </w:p>
    <w:tbl>
      <w:tblPr>
        <w:tblW w:w="0" w:type="auto"/>
        <w:jc w:val="center"/>
        <w:tblLook w:val="04A0" w:firstRow="1" w:lastRow="0" w:firstColumn="1" w:lastColumn="0" w:noHBand="0" w:noVBand="1"/>
      </w:tblPr>
      <w:tblGrid>
        <w:gridCol w:w="1806"/>
        <w:gridCol w:w="606"/>
        <w:gridCol w:w="606"/>
        <w:gridCol w:w="606"/>
        <w:gridCol w:w="606"/>
        <w:gridCol w:w="606"/>
        <w:gridCol w:w="606"/>
        <w:gridCol w:w="825"/>
        <w:gridCol w:w="826"/>
        <w:gridCol w:w="826"/>
      </w:tblGrid>
      <w:tr w:rsidR="00943FD6" w:rsidRPr="008A0882" w:rsidTr="00943FD6">
        <w:trPr>
          <w:trHeight w:val="324"/>
          <w:jc w:val="center"/>
        </w:trPr>
        <w:tc>
          <w:tcPr>
            <w:tcW w:w="0" w:type="auto"/>
            <w:vMerge w:val="restart"/>
            <w:tcBorders>
              <w:top w:val="single" w:sz="8" w:space="0" w:color="auto"/>
              <w:left w:val="single" w:sz="8" w:space="0" w:color="auto"/>
              <w:right w:val="single" w:sz="8" w:space="0" w:color="auto"/>
            </w:tcBorders>
            <w:shd w:val="clear" w:color="auto" w:fill="auto"/>
            <w:noWrap/>
            <w:vAlign w:val="center"/>
            <w:hideMark/>
          </w:tcPr>
          <w:p w:rsidR="002461F1" w:rsidRPr="008A0882" w:rsidRDefault="002461F1" w:rsidP="00943FD6">
            <w:pPr>
              <w:pStyle w:val="NoSpacing"/>
              <w:rPr>
                <w:rFonts w:ascii="Arial" w:hAnsi="Arial" w:cs="Arial"/>
                <w:sz w:val="20"/>
                <w:lang w:eastAsia="en-GB"/>
              </w:rPr>
            </w:pPr>
            <w:r w:rsidRPr="008A0882">
              <w:rPr>
                <w:rFonts w:ascii="Arial" w:hAnsi="Arial" w:cs="Arial"/>
                <w:sz w:val="20"/>
                <w:lang w:eastAsia="en-GB"/>
              </w:rPr>
              <w:t> </w:t>
            </w:r>
          </w:p>
          <w:p w:rsidR="002461F1" w:rsidRPr="008A0882" w:rsidRDefault="002461F1" w:rsidP="00943FD6">
            <w:pPr>
              <w:pStyle w:val="NoSpacing"/>
              <w:rPr>
                <w:rFonts w:ascii="Arial" w:hAnsi="Arial" w:cs="Arial"/>
                <w:sz w:val="20"/>
                <w:lang w:eastAsia="en-GB"/>
              </w:rPr>
            </w:pPr>
            <w:r w:rsidRPr="008A0882">
              <w:rPr>
                <w:rFonts w:ascii="Arial" w:hAnsi="Arial" w:cs="Arial"/>
                <w:b/>
                <w:sz w:val="20"/>
                <w:lang w:eastAsia="en-GB"/>
              </w:rPr>
              <w:t>District</w:t>
            </w:r>
          </w:p>
        </w:tc>
        <w:tc>
          <w:tcPr>
            <w:tcW w:w="0" w:type="auto"/>
            <w:gridSpan w:val="3"/>
            <w:tcBorders>
              <w:top w:val="single" w:sz="8" w:space="0" w:color="auto"/>
              <w:left w:val="nil"/>
              <w:bottom w:val="nil"/>
              <w:right w:val="single" w:sz="8" w:space="0" w:color="000000"/>
            </w:tcBorders>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b/>
                <w:sz w:val="20"/>
                <w:lang w:eastAsia="en-GB"/>
              </w:rPr>
            </w:pPr>
            <w:r w:rsidRPr="008A0882">
              <w:rPr>
                <w:rFonts w:ascii="Arial" w:hAnsi="Arial" w:cs="Arial"/>
                <w:b/>
                <w:sz w:val="20"/>
                <w:lang w:eastAsia="en-GB"/>
              </w:rPr>
              <w:t>2017/18</w:t>
            </w:r>
          </w:p>
        </w:tc>
        <w:tc>
          <w:tcPr>
            <w:tcW w:w="0" w:type="auto"/>
            <w:gridSpan w:val="3"/>
            <w:tcBorders>
              <w:top w:val="single" w:sz="8" w:space="0" w:color="auto"/>
              <w:left w:val="nil"/>
              <w:bottom w:val="nil"/>
              <w:right w:val="single" w:sz="8" w:space="0" w:color="000000"/>
            </w:tcBorders>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b/>
                <w:sz w:val="20"/>
                <w:lang w:eastAsia="en-GB"/>
              </w:rPr>
            </w:pPr>
            <w:r w:rsidRPr="008A0882">
              <w:rPr>
                <w:rFonts w:ascii="Arial" w:hAnsi="Arial" w:cs="Arial"/>
                <w:b/>
                <w:sz w:val="20"/>
                <w:lang w:eastAsia="en-GB"/>
              </w:rPr>
              <w:t xml:space="preserve">2018/19 </w:t>
            </w:r>
          </w:p>
        </w:tc>
        <w:tc>
          <w:tcPr>
            <w:tcW w:w="0" w:type="auto"/>
            <w:gridSpan w:val="3"/>
            <w:tcBorders>
              <w:top w:val="single" w:sz="8" w:space="0" w:color="auto"/>
              <w:left w:val="nil"/>
              <w:bottom w:val="nil"/>
              <w:right w:val="single" w:sz="8" w:space="0" w:color="000000"/>
            </w:tcBorders>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b/>
                <w:sz w:val="20"/>
                <w:lang w:eastAsia="en-GB"/>
              </w:rPr>
            </w:pPr>
            <w:r w:rsidRPr="008A0882">
              <w:rPr>
                <w:rFonts w:ascii="Arial" w:hAnsi="Arial" w:cs="Arial"/>
                <w:b/>
                <w:sz w:val="20"/>
                <w:lang w:eastAsia="en-GB"/>
              </w:rPr>
              <w:t>Difference 2019 v 2018</w:t>
            </w:r>
          </w:p>
        </w:tc>
      </w:tr>
      <w:tr w:rsidR="00943FD6" w:rsidRPr="008A0882" w:rsidTr="00943FD6">
        <w:trPr>
          <w:cantSplit/>
          <w:trHeight w:val="1418"/>
          <w:jc w:val="center"/>
        </w:trPr>
        <w:tc>
          <w:tcPr>
            <w:tcW w:w="0" w:type="auto"/>
            <w:vMerge/>
            <w:tcBorders>
              <w:left w:val="single" w:sz="8" w:space="0" w:color="auto"/>
              <w:bottom w:val="single" w:sz="12" w:space="0" w:color="auto"/>
              <w:right w:val="single" w:sz="8" w:space="0" w:color="auto"/>
            </w:tcBorders>
            <w:shd w:val="clear" w:color="auto" w:fill="auto"/>
            <w:noWrap/>
            <w:vAlign w:val="center"/>
            <w:hideMark/>
          </w:tcPr>
          <w:p w:rsidR="002461F1" w:rsidRPr="008A0882" w:rsidRDefault="002461F1" w:rsidP="00943FD6">
            <w:pPr>
              <w:pStyle w:val="NoSpacing"/>
              <w:rPr>
                <w:rFonts w:ascii="Arial" w:hAnsi="Arial" w:cs="Arial"/>
                <w:b/>
                <w:sz w:val="20"/>
                <w:lang w:eastAsia="en-GB"/>
              </w:rPr>
            </w:pPr>
          </w:p>
        </w:tc>
        <w:tc>
          <w:tcPr>
            <w:tcW w:w="0" w:type="auto"/>
            <w:tcBorders>
              <w:top w:val="single" w:sz="8" w:space="0" w:color="auto"/>
              <w:left w:val="nil"/>
              <w:bottom w:val="single" w:sz="12" w:space="0" w:color="auto"/>
              <w:right w:val="single" w:sz="4"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%G4+ EM</w:t>
            </w:r>
          </w:p>
        </w:tc>
        <w:tc>
          <w:tcPr>
            <w:tcW w:w="0" w:type="auto"/>
            <w:tcBorders>
              <w:top w:val="single" w:sz="8" w:space="0" w:color="auto"/>
              <w:left w:val="nil"/>
              <w:bottom w:val="single" w:sz="12" w:space="0" w:color="auto"/>
              <w:right w:val="single" w:sz="4"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%G5+ EM</w:t>
            </w:r>
          </w:p>
        </w:tc>
        <w:tc>
          <w:tcPr>
            <w:tcW w:w="0" w:type="auto"/>
            <w:tcBorders>
              <w:top w:val="single" w:sz="8" w:space="0" w:color="auto"/>
              <w:left w:val="nil"/>
              <w:bottom w:val="single" w:sz="12" w:space="0" w:color="auto"/>
              <w:right w:val="single" w:sz="8"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Attainment 8</w:t>
            </w:r>
          </w:p>
        </w:tc>
        <w:tc>
          <w:tcPr>
            <w:tcW w:w="0" w:type="auto"/>
            <w:tcBorders>
              <w:top w:val="single" w:sz="8" w:space="0" w:color="auto"/>
              <w:left w:val="nil"/>
              <w:bottom w:val="single" w:sz="12" w:space="0" w:color="auto"/>
              <w:right w:val="single" w:sz="4"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%G4+ EM</w:t>
            </w:r>
          </w:p>
        </w:tc>
        <w:tc>
          <w:tcPr>
            <w:tcW w:w="0" w:type="auto"/>
            <w:tcBorders>
              <w:top w:val="single" w:sz="8" w:space="0" w:color="auto"/>
              <w:left w:val="nil"/>
              <w:bottom w:val="single" w:sz="12" w:space="0" w:color="auto"/>
              <w:right w:val="single" w:sz="4"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%G5+ EM</w:t>
            </w:r>
          </w:p>
        </w:tc>
        <w:tc>
          <w:tcPr>
            <w:tcW w:w="0" w:type="auto"/>
            <w:tcBorders>
              <w:top w:val="single" w:sz="8" w:space="0" w:color="auto"/>
              <w:left w:val="nil"/>
              <w:bottom w:val="single" w:sz="12" w:space="0" w:color="auto"/>
              <w:right w:val="single" w:sz="8"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Attainment 8</w:t>
            </w:r>
          </w:p>
        </w:tc>
        <w:tc>
          <w:tcPr>
            <w:tcW w:w="825" w:type="dxa"/>
            <w:tcBorders>
              <w:top w:val="single" w:sz="8" w:space="0" w:color="auto"/>
              <w:left w:val="nil"/>
              <w:bottom w:val="single" w:sz="12" w:space="0" w:color="auto"/>
              <w:right w:val="single" w:sz="4"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%G4+ EM</w:t>
            </w:r>
          </w:p>
        </w:tc>
        <w:tc>
          <w:tcPr>
            <w:tcW w:w="826" w:type="dxa"/>
            <w:tcBorders>
              <w:top w:val="single" w:sz="8" w:space="0" w:color="auto"/>
              <w:left w:val="nil"/>
              <w:bottom w:val="single" w:sz="12" w:space="0" w:color="auto"/>
              <w:right w:val="single" w:sz="4"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%G5+ EM</w:t>
            </w:r>
          </w:p>
        </w:tc>
        <w:tc>
          <w:tcPr>
            <w:tcW w:w="826" w:type="dxa"/>
            <w:tcBorders>
              <w:top w:val="single" w:sz="8" w:space="0" w:color="auto"/>
              <w:left w:val="nil"/>
              <w:bottom w:val="single" w:sz="12" w:space="0" w:color="auto"/>
              <w:right w:val="single" w:sz="8" w:space="0" w:color="auto"/>
            </w:tcBorders>
            <w:shd w:val="clear" w:color="auto" w:fill="D9D9D9" w:themeFill="background1" w:themeFillShade="D9"/>
            <w:textDirection w:val="btLr"/>
            <w:vAlign w:val="center"/>
            <w:hideMark/>
          </w:tcPr>
          <w:p w:rsidR="002461F1" w:rsidRPr="008A0882" w:rsidRDefault="002461F1" w:rsidP="00943FD6">
            <w:pPr>
              <w:pStyle w:val="NoSpacing"/>
              <w:ind w:left="113" w:right="113"/>
              <w:jc w:val="center"/>
              <w:rPr>
                <w:rFonts w:ascii="Arial" w:hAnsi="Arial" w:cs="Arial"/>
                <w:b/>
                <w:sz w:val="18"/>
                <w:lang w:eastAsia="en-GB"/>
              </w:rPr>
            </w:pPr>
            <w:r w:rsidRPr="008A0882">
              <w:rPr>
                <w:rFonts w:ascii="Arial" w:hAnsi="Arial" w:cs="Arial"/>
                <w:b/>
                <w:sz w:val="18"/>
                <w:lang w:eastAsia="en-GB"/>
              </w:rPr>
              <w:t>Attainment 8</w:t>
            </w:r>
          </w:p>
        </w:tc>
      </w:tr>
      <w:tr w:rsidR="00943FD6" w:rsidRPr="008A0882" w:rsidTr="00943FD6">
        <w:trPr>
          <w:trHeight w:val="288"/>
          <w:jc w:val="center"/>
        </w:trPr>
        <w:tc>
          <w:tcPr>
            <w:tcW w:w="0" w:type="auto"/>
            <w:tcBorders>
              <w:top w:val="single" w:sz="12" w:space="0" w:color="auto"/>
              <w:left w:val="single" w:sz="12" w:space="0" w:color="auto"/>
              <w:bottom w:val="single" w:sz="8" w:space="0" w:color="auto"/>
              <w:right w:val="single" w:sz="8" w:space="0" w:color="auto"/>
            </w:tcBorders>
            <w:shd w:val="clear" w:color="auto" w:fill="D9D9D9" w:themeFill="background1" w:themeFillShade="D9"/>
            <w:noWrap/>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England</w:t>
            </w:r>
          </w:p>
        </w:tc>
        <w:tc>
          <w:tcPr>
            <w:tcW w:w="0" w:type="auto"/>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64.2</w:t>
            </w:r>
          </w:p>
        </w:tc>
        <w:tc>
          <w:tcPr>
            <w:tcW w:w="0" w:type="auto"/>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43.3</w:t>
            </w:r>
          </w:p>
        </w:tc>
        <w:tc>
          <w:tcPr>
            <w:tcW w:w="0" w:type="auto"/>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46.5</w:t>
            </w:r>
          </w:p>
        </w:tc>
        <w:tc>
          <w:tcPr>
            <w:tcW w:w="0" w:type="auto"/>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64.6</w:t>
            </w:r>
          </w:p>
        </w:tc>
        <w:tc>
          <w:tcPr>
            <w:tcW w:w="0" w:type="auto"/>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43.2</w:t>
            </w:r>
          </w:p>
        </w:tc>
        <w:tc>
          <w:tcPr>
            <w:tcW w:w="0" w:type="auto"/>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46.7</w:t>
            </w:r>
          </w:p>
        </w:tc>
        <w:tc>
          <w:tcPr>
            <w:tcW w:w="825" w:type="dxa"/>
            <w:tcBorders>
              <w:top w:val="single" w:sz="12"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+0.4</w:t>
            </w:r>
          </w:p>
        </w:tc>
        <w:tc>
          <w:tcPr>
            <w:tcW w:w="826" w:type="dxa"/>
            <w:tcBorders>
              <w:top w:val="single" w:sz="12"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-0.1</w:t>
            </w:r>
          </w:p>
        </w:tc>
        <w:tc>
          <w:tcPr>
            <w:tcW w:w="826" w:type="dxa"/>
            <w:tcBorders>
              <w:top w:val="single" w:sz="12"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+0.2</w:t>
            </w:r>
          </w:p>
        </w:tc>
      </w:tr>
      <w:tr w:rsidR="00943FD6" w:rsidRPr="008A0882" w:rsidTr="00943FD6">
        <w:trPr>
          <w:trHeight w:val="300"/>
          <w:jc w:val="center"/>
        </w:trPr>
        <w:tc>
          <w:tcPr>
            <w:tcW w:w="0" w:type="auto"/>
            <w:tcBorders>
              <w:top w:val="single" w:sz="8" w:space="0" w:color="auto"/>
              <w:left w:val="single" w:sz="12" w:space="0" w:color="auto"/>
              <w:bottom w:val="single" w:sz="12" w:space="0" w:color="auto"/>
              <w:right w:val="single" w:sz="8" w:space="0" w:color="auto"/>
            </w:tcBorders>
            <w:shd w:val="clear" w:color="auto" w:fill="000000" w:themeFill="text1"/>
            <w:noWrap/>
            <w:vAlign w:val="bottom"/>
            <w:hideMark/>
          </w:tcPr>
          <w:p w:rsidR="002461F1" w:rsidRPr="008A0882" w:rsidRDefault="002461F1" w:rsidP="00943FD6">
            <w:pPr>
              <w:pStyle w:val="NoSpacing"/>
              <w:rPr>
                <w:rFonts w:ascii="Arial" w:hAnsi="Arial" w:cs="Arial"/>
                <w:b/>
                <w:color w:val="FFFFFF" w:themeColor="background1"/>
                <w:sz w:val="20"/>
                <w:lang w:eastAsia="en-GB"/>
              </w:rPr>
            </w:pPr>
            <w:r w:rsidRPr="008A0882">
              <w:rPr>
                <w:rFonts w:ascii="Arial" w:hAnsi="Arial" w:cs="Arial"/>
                <w:b/>
                <w:color w:val="FFFFFF" w:themeColor="background1"/>
                <w:sz w:val="20"/>
                <w:lang w:eastAsia="en-GB"/>
              </w:rPr>
              <w:t>Lancashire</w:t>
            </w:r>
          </w:p>
        </w:tc>
        <w:tc>
          <w:tcPr>
            <w:tcW w:w="0" w:type="auto"/>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66.1</w:t>
            </w:r>
          </w:p>
        </w:tc>
        <w:tc>
          <w:tcPr>
            <w:tcW w:w="0" w:type="auto"/>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44.2</w:t>
            </w:r>
          </w:p>
        </w:tc>
        <w:tc>
          <w:tcPr>
            <w:tcW w:w="0" w:type="auto"/>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46.7</w:t>
            </w:r>
          </w:p>
        </w:tc>
        <w:tc>
          <w:tcPr>
            <w:tcW w:w="0" w:type="auto"/>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65.5</w:t>
            </w:r>
          </w:p>
        </w:tc>
        <w:tc>
          <w:tcPr>
            <w:tcW w:w="0" w:type="auto"/>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43.9</w:t>
            </w:r>
          </w:p>
        </w:tc>
        <w:tc>
          <w:tcPr>
            <w:tcW w:w="0" w:type="auto"/>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46.6</w:t>
            </w:r>
          </w:p>
        </w:tc>
        <w:tc>
          <w:tcPr>
            <w:tcW w:w="825" w:type="dxa"/>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-0.6</w:t>
            </w:r>
          </w:p>
        </w:tc>
        <w:tc>
          <w:tcPr>
            <w:tcW w:w="826" w:type="dxa"/>
            <w:tcBorders>
              <w:top w:val="single" w:sz="8" w:space="0" w:color="auto"/>
              <w:left w:val="single" w:sz="8" w:space="0" w:color="auto"/>
              <w:bottom w:val="single" w:sz="12" w:space="0" w:color="auto"/>
              <w:right w:val="single" w:sz="8"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-0.3</w:t>
            </w:r>
          </w:p>
        </w:tc>
        <w:tc>
          <w:tcPr>
            <w:tcW w:w="826" w:type="dxa"/>
            <w:tcBorders>
              <w:top w:val="single" w:sz="8" w:space="0" w:color="auto"/>
              <w:left w:val="single" w:sz="8" w:space="0" w:color="auto"/>
              <w:bottom w:val="single" w:sz="12" w:space="0" w:color="auto"/>
              <w:right w:val="single" w:sz="12" w:space="0" w:color="auto"/>
            </w:tcBorders>
            <w:shd w:val="clear" w:color="auto" w:fill="000000" w:themeFill="text1"/>
            <w:noWrap/>
            <w:vAlign w:val="center"/>
            <w:hideMark/>
          </w:tcPr>
          <w:p w:rsidR="002461F1" w:rsidRPr="008A0882" w:rsidRDefault="002461F1" w:rsidP="00943FD6">
            <w:pPr>
              <w:pStyle w:val="NoSpacing"/>
              <w:jc w:val="center"/>
              <w:rPr>
                <w:rFonts w:ascii="Arial" w:hAnsi="Arial" w:cs="Arial"/>
                <w:color w:val="FFFFFF" w:themeColor="background1"/>
                <w:sz w:val="20"/>
                <w:lang w:eastAsia="en-GB"/>
              </w:rPr>
            </w:pPr>
            <w:r w:rsidRPr="008A0882">
              <w:rPr>
                <w:rFonts w:ascii="Arial" w:hAnsi="Arial" w:cs="Arial"/>
                <w:color w:val="FFFFFF" w:themeColor="background1"/>
                <w:sz w:val="20"/>
                <w:lang w:eastAsia="en-GB"/>
              </w:rPr>
              <w:t>-0.1</w:t>
            </w:r>
          </w:p>
        </w:tc>
      </w:tr>
      <w:tr w:rsidR="00943FD6" w:rsidRPr="008A0882" w:rsidTr="00943FD6">
        <w:trPr>
          <w:trHeight w:val="288"/>
          <w:jc w:val="center"/>
        </w:trPr>
        <w:tc>
          <w:tcPr>
            <w:tcW w:w="0" w:type="auto"/>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Burnley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51.4</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30.1</w:t>
            </w:r>
          </w:p>
        </w:tc>
        <w:tc>
          <w:tcPr>
            <w:tcW w:w="0" w:type="auto"/>
            <w:tcBorders>
              <w:top w:val="single" w:sz="12" w:space="0" w:color="auto"/>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38.3</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57.3</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37.2</w:t>
            </w:r>
          </w:p>
        </w:tc>
        <w:tc>
          <w:tcPr>
            <w:tcW w:w="0" w:type="auto"/>
            <w:tcBorders>
              <w:top w:val="single" w:sz="12" w:space="0" w:color="auto"/>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41.2</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5.8</w:t>
            </w:r>
          </w:p>
        </w:tc>
        <w:tc>
          <w:tcPr>
            <w:tcW w:w="826" w:type="dxa"/>
            <w:tcBorders>
              <w:top w:val="single" w:sz="12" w:space="0" w:color="auto"/>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7.1</w:t>
            </w:r>
          </w:p>
        </w:tc>
        <w:tc>
          <w:tcPr>
            <w:tcW w:w="826" w:type="dxa"/>
            <w:tcBorders>
              <w:top w:val="single" w:sz="12" w:space="0" w:color="auto"/>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2.9</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Chorley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76.1</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56.3</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50.6</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75.7</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56.3</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51.1</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-0.4</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-0.1</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0.5</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Fylde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64.7</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42.5</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45.5</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66.8</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40.6</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47.1</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2.1</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-1.9</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1.5</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Hyndburn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58.0</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33.9</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42.8</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53.3</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33.0</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42.2</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-4.7</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-0.9</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-0.7</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Lancaster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69.3</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50.0</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50.0</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67.0</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50.2</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45.9</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-2.3</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0.2</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-4.1</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Pendle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57.9</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32.4</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42.1</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54.6</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28.6</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40.6</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-3.3</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-3.8</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-1.5</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Preston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70.6</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49.5</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49.5</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62.4</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43.1</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46.7</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-8.2</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-6.5</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-2.8</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2461F1" w:rsidRPr="008A0882" w:rsidRDefault="002461F1" w:rsidP="00943FD6">
            <w:pPr>
              <w:pStyle w:val="NoSpacing"/>
              <w:rPr>
                <w:rFonts w:ascii="Arial" w:hAnsi="Arial" w:cs="Arial"/>
                <w:b/>
                <w:sz w:val="20"/>
                <w:lang w:eastAsia="en-GB"/>
              </w:rPr>
            </w:pPr>
            <w:proofErr w:type="spellStart"/>
            <w:r w:rsidRPr="008A0882">
              <w:rPr>
                <w:rFonts w:ascii="Arial" w:hAnsi="Arial" w:cs="Arial"/>
                <w:b/>
                <w:sz w:val="20"/>
                <w:lang w:eastAsia="en-GB"/>
              </w:rPr>
              <w:t>Ribble</w:t>
            </w:r>
            <w:proofErr w:type="spellEnd"/>
            <w:r w:rsidRPr="008A0882">
              <w:rPr>
                <w:rFonts w:ascii="Arial" w:hAnsi="Arial" w:cs="Arial"/>
                <w:b/>
                <w:sz w:val="20"/>
                <w:lang w:eastAsia="en-GB"/>
              </w:rPr>
              <w:t xml:space="preserve"> Valley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73.3</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51.3</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52.2</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74.4</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55.3</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51.8</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1.1</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3.9</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-0.4</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Rossendale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68.2</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46.5</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47.4</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72.2</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53.0</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49.7</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3.9</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6.5</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2.2</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South </w:t>
            </w:r>
            <w:proofErr w:type="spellStart"/>
            <w:r w:rsidRPr="008A0882">
              <w:rPr>
                <w:rFonts w:ascii="Arial" w:hAnsi="Arial" w:cs="Arial"/>
                <w:b/>
                <w:sz w:val="20"/>
                <w:lang w:eastAsia="en-GB"/>
              </w:rPr>
              <w:t>Ribble</w:t>
            </w:r>
            <w:proofErr w:type="spellEnd"/>
            <w:r w:rsidRPr="008A0882">
              <w:rPr>
                <w:rFonts w:ascii="Arial" w:hAnsi="Arial" w:cs="Arial"/>
                <w:b/>
                <w:sz w:val="20"/>
                <w:lang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70.0</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47.2</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48.3</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70.4</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47.2</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43.8</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0.4</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0.0</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-4.5</w:t>
            </w:r>
          </w:p>
        </w:tc>
      </w:tr>
      <w:tr w:rsidR="00943FD6" w:rsidRPr="008A0882" w:rsidTr="00943FD6">
        <w:trPr>
          <w:trHeight w:val="288"/>
          <w:jc w:val="center"/>
        </w:trPr>
        <w:tc>
          <w:tcPr>
            <w:tcW w:w="0" w:type="auto"/>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West Lancashire </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62.7</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41.7</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45.4</w:t>
            </w:r>
          </w:p>
        </w:tc>
        <w:tc>
          <w:tcPr>
            <w:tcW w:w="0" w:type="auto"/>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61.0</w:t>
            </w:r>
          </w:p>
        </w:tc>
        <w:tc>
          <w:tcPr>
            <w:tcW w:w="0" w:type="auto"/>
            <w:tcBorders>
              <w:top w:val="nil"/>
              <w:left w:val="nil"/>
              <w:bottom w:val="single" w:sz="4"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38.2</w:t>
            </w:r>
          </w:p>
        </w:tc>
        <w:tc>
          <w:tcPr>
            <w:tcW w:w="0" w:type="auto"/>
            <w:tcBorders>
              <w:top w:val="nil"/>
              <w:left w:val="nil"/>
              <w:bottom w:val="single" w:sz="4"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42.6</w:t>
            </w:r>
          </w:p>
        </w:tc>
        <w:tc>
          <w:tcPr>
            <w:tcW w:w="825"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-1.6</w:t>
            </w:r>
          </w:p>
        </w:tc>
        <w:tc>
          <w:tcPr>
            <w:tcW w:w="826" w:type="dxa"/>
            <w:tcBorders>
              <w:top w:val="nil"/>
              <w:left w:val="nil"/>
              <w:bottom w:val="single" w:sz="4"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-3.5</w:t>
            </w:r>
          </w:p>
        </w:tc>
        <w:tc>
          <w:tcPr>
            <w:tcW w:w="826" w:type="dxa"/>
            <w:tcBorders>
              <w:top w:val="nil"/>
              <w:left w:val="nil"/>
              <w:bottom w:val="single" w:sz="4"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-2.7</w:t>
            </w:r>
          </w:p>
        </w:tc>
      </w:tr>
      <w:tr w:rsidR="00943FD6" w:rsidRPr="008A0882" w:rsidTr="00943FD6">
        <w:trPr>
          <w:trHeight w:val="300"/>
          <w:jc w:val="center"/>
        </w:trPr>
        <w:tc>
          <w:tcPr>
            <w:tcW w:w="0" w:type="auto"/>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461F1" w:rsidRPr="008A0882" w:rsidRDefault="002461F1" w:rsidP="00943FD6">
            <w:pPr>
              <w:pStyle w:val="NoSpacing"/>
              <w:rPr>
                <w:rFonts w:ascii="Arial" w:hAnsi="Arial" w:cs="Arial"/>
                <w:b/>
                <w:sz w:val="20"/>
                <w:lang w:eastAsia="en-GB"/>
              </w:rPr>
            </w:pPr>
            <w:r w:rsidRPr="008A0882">
              <w:rPr>
                <w:rFonts w:ascii="Arial" w:hAnsi="Arial" w:cs="Arial"/>
                <w:b/>
                <w:sz w:val="20"/>
                <w:lang w:eastAsia="en-GB"/>
              </w:rPr>
              <w:t xml:space="preserve">Wyre </w:t>
            </w:r>
          </w:p>
        </w:tc>
        <w:tc>
          <w:tcPr>
            <w:tcW w:w="0" w:type="auto"/>
            <w:tcBorders>
              <w:top w:val="nil"/>
              <w:left w:val="nil"/>
              <w:bottom w:val="single" w:sz="8"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66.7</w:t>
            </w:r>
          </w:p>
        </w:tc>
        <w:tc>
          <w:tcPr>
            <w:tcW w:w="0" w:type="auto"/>
            <w:tcBorders>
              <w:top w:val="nil"/>
              <w:left w:val="nil"/>
              <w:bottom w:val="single" w:sz="8"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43.9</w:t>
            </w:r>
          </w:p>
        </w:tc>
        <w:tc>
          <w:tcPr>
            <w:tcW w:w="0" w:type="auto"/>
            <w:tcBorders>
              <w:top w:val="nil"/>
              <w:left w:val="nil"/>
              <w:bottom w:val="single" w:sz="8"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46.0</w:t>
            </w:r>
          </w:p>
        </w:tc>
        <w:tc>
          <w:tcPr>
            <w:tcW w:w="0" w:type="auto"/>
            <w:tcBorders>
              <w:top w:val="nil"/>
              <w:left w:val="nil"/>
              <w:bottom w:val="single" w:sz="8"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64.8</w:t>
            </w:r>
          </w:p>
        </w:tc>
        <w:tc>
          <w:tcPr>
            <w:tcW w:w="0" w:type="auto"/>
            <w:tcBorders>
              <w:top w:val="nil"/>
              <w:left w:val="nil"/>
              <w:bottom w:val="single" w:sz="8" w:space="0" w:color="auto"/>
              <w:right w:val="single" w:sz="4"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41.9</w:t>
            </w:r>
          </w:p>
        </w:tc>
        <w:tc>
          <w:tcPr>
            <w:tcW w:w="0" w:type="auto"/>
            <w:tcBorders>
              <w:top w:val="nil"/>
              <w:left w:val="nil"/>
              <w:bottom w:val="single" w:sz="8" w:space="0" w:color="auto"/>
              <w:right w:val="single" w:sz="8" w:space="0" w:color="auto"/>
            </w:tcBorders>
            <w:shd w:val="clear" w:color="auto" w:fill="auto"/>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40.1</w:t>
            </w:r>
          </w:p>
        </w:tc>
        <w:tc>
          <w:tcPr>
            <w:tcW w:w="825" w:type="dxa"/>
            <w:tcBorders>
              <w:top w:val="nil"/>
              <w:left w:val="nil"/>
              <w:bottom w:val="single" w:sz="8"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-1.9</w:t>
            </w:r>
          </w:p>
        </w:tc>
        <w:tc>
          <w:tcPr>
            <w:tcW w:w="826" w:type="dxa"/>
            <w:tcBorders>
              <w:top w:val="nil"/>
              <w:left w:val="nil"/>
              <w:bottom w:val="single" w:sz="8" w:space="0" w:color="auto"/>
              <w:right w:val="single" w:sz="4"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-2.0</w:t>
            </w:r>
          </w:p>
        </w:tc>
        <w:tc>
          <w:tcPr>
            <w:tcW w:w="826" w:type="dxa"/>
            <w:tcBorders>
              <w:top w:val="nil"/>
              <w:left w:val="nil"/>
              <w:bottom w:val="single" w:sz="8" w:space="0" w:color="auto"/>
              <w:right w:val="single" w:sz="8" w:space="0" w:color="auto"/>
            </w:tcBorders>
            <w:shd w:val="clear" w:color="auto" w:fill="auto"/>
            <w:noWrap/>
            <w:vAlign w:val="center"/>
            <w:hideMark/>
          </w:tcPr>
          <w:p w:rsidR="002461F1" w:rsidRPr="008A0882" w:rsidRDefault="002461F1" w:rsidP="00943FD6">
            <w:pPr>
              <w:pStyle w:val="NoSpacing"/>
              <w:jc w:val="center"/>
              <w:rPr>
                <w:rFonts w:ascii="Arial" w:hAnsi="Arial" w:cs="Arial"/>
                <w:sz w:val="20"/>
                <w:lang w:eastAsia="en-GB"/>
              </w:rPr>
            </w:pPr>
            <w:r w:rsidRPr="008A0882">
              <w:rPr>
                <w:rFonts w:ascii="Arial" w:hAnsi="Arial" w:cs="Arial"/>
                <w:sz w:val="20"/>
                <w:lang w:eastAsia="en-GB"/>
              </w:rPr>
              <w:t>-6.0</w:t>
            </w:r>
          </w:p>
        </w:tc>
      </w:tr>
    </w:tbl>
    <w:p w:rsidR="002461F1" w:rsidRPr="00D77F0B" w:rsidRDefault="002461F1" w:rsidP="00D77F0B">
      <w:pPr>
        <w:rPr>
          <w:rFonts w:cs="Arial"/>
          <w:sz w:val="10"/>
          <w:szCs w:val="10"/>
        </w:rPr>
      </w:pPr>
    </w:p>
    <w:p w:rsidR="0019496E" w:rsidRDefault="0019496E" w:rsidP="00124B9F">
      <w:pPr>
        <w:autoSpaceDE w:val="0"/>
        <w:autoSpaceDN w:val="0"/>
        <w:adjustRightInd w:val="0"/>
        <w:rPr>
          <w:rFonts w:cs="Arial"/>
          <w:b/>
          <w:bCs/>
          <w:szCs w:val="24"/>
        </w:rPr>
      </w:pPr>
    </w:p>
    <w:p w:rsidR="00124B9F" w:rsidRPr="008A0882" w:rsidRDefault="00124B9F" w:rsidP="00124B9F">
      <w:pPr>
        <w:autoSpaceDE w:val="0"/>
        <w:autoSpaceDN w:val="0"/>
        <w:adjustRightInd w:val="0"/>
        <w:rPr>
          <w:rFonts w:cs="Arial"/>
          <w:b/>
          <w:bCs/>
          <w:szCs w:val="24"/>
        </w:rPr>
      </w:pPr>
      <w:r w:rsidRPr="008A0882">
        <w:rPr>
          <w:rFonts w:cs="Arial"/>
          <w:b/>
          <w:bCs/>
          <w:szCs w:val="24"/>
        </w:rPr>
        <w:t>Post-16</w:t>
      </w:r>
    </w:p>
    <w:p w:rsidR="00124B9F" w:rsidRPr="008A0882" w:rsidRDefault="00124B9F" w:rsidP="00124B9F">
      <w:pPr>
        <w:pStyle w:val="NoSpacing"/>
        <w:rPr>
          <w:rFonts w:ascii="Arial" w:eastAsia="Times New Roman" w:hAnsi="Arial" w:cs="Arial"/>
          <w:b/>
          <w:bCs/>
          <w:sz w:val="24"/>
          <w:szCs w:val="24"/>
          <w:lang w:eastAsia="en-GB"/>
        </w:rPr>
      </w:pPr>
    </w:p>
    <w:p w:rsidR="00124B9F" w:rsidRPr="0085689C" w:rsidRDefault="00124B9F" w:rsidP="00124B9F">
      <w:pPr>
        <w:pStyle w:val="NoSpacing"/>
        <w:rPr>
          <w:rFonts w:ascii="Arial" w:hAnsi="Arial" w:cs="Arial"/>
          <w:b/>
          <w:sz w:val="24"/>
          <w:szCs w:val="24"/>
        </w:rPr>
      </w:pPr>
      <w:r w:rsidRPr="0085689C">
        <w:rPr>
          <w:rFonts w:ascii="Arial" w:hAnsi="Arial" w:cs="Arial"/>
          <w:b/>
          <w:sz w:val="24"/>
          <w:szCs w:val="24"/>
        </w:rPr>
        <w:t>Key Stage 5</w:t>
      </w:r>
      <w:r w:rsidR="00F268C6" w:rsidRPr="0085689C">
        <w:rPr>
          <w:rFonts w:ascii="Arial" w:hAnsi="Arial" w:cs="Arial"/>
          <w:b/>
          <w:sz w:val="24"/>
          <w:szCs w:val="24"/>
        </w:rPr>
        <w:t>: Average Points per Entry</w:t>
      </w:r>
    </w:p>
    <w:p w:rsidR="002461F1" w:rsidRPr="008A0882" w:rsidRDefault="002461F1" w:rsidP="00E54BF9">
      <w:pPr>
        <w:autoSpaceDE w:val="0"/>
        <w:autoSpaceDN w:val="0"/>
        <w:adjustRightInd w:val="0"/>
        <w:rPr>
          <w:rFonts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293"/>
        <w:gridCol w:w="1341"/>
        <w:gridCol w:w="1341"/>
        <w:gridCol w:w="1344"/>
        <w:gridCol w:w="1342"/>
        <w:gridCol w:w="1344"/>
      </w:tblGrid>
      <w:tr w:rsidR="00F268C6" w:rsidRPr="008A0882" w:rsidTr="00ED53B1">
        <w:trPr>
          <w:cantSplit/>
          <w:trHeight w:val="700"/>
        </w:trPr>
        <w:tc>
          <w:tcPr>
            <w:tcW w:w="561" w:type="pct"/>
            <w:shd w:val="clear" w:color="auto" w:fill="auto"/>
            <w:noWrap/>
            <w:vAlign w:val="center"/>
            <w:hideMark/>
          </w:tcPr>
          <w:p w:rsidR="00F268C6" w:rsidRPr="008A0882" w:rsidRDefault="00F268C6" w:rsidP="00F268C6">
            <w:pPr>
              <w:ind w:left="-86" w:firstLine="86"/>
              <w:jc w:val="center"/>
              <w:rPr>
                <w:rFonts w:cs="Arial"/>
                <w:sz w:val="22"/>
                <w:szCs w:val="24"/>
              </w:rPr>
            </w:pPr>
            <w:r w:rsidRPr="008A0882">
              <w:rPr>
                <w:rFonts w:cs="Arial"/>
                <w:sz w:val="22"/>
                <w:szCs w:val="24"/>
              </w:rPr>
              <w:t>Year</w:t>
            </w:r>
          </w:p>
        </w:tc>
        <w:tc>
          <w:tcPr>
            <w:tcW w:w="717" w:type="pct"/>
            <w:shd w:val="clear" w:color="auto" w:fill="auto"/>
            <w:noWrap/>
            <w:vAlign w:val="center"/>
            <w:hideMark/>
          </w:tcPr>
          <w:p w:rsidR="00F268C6" w:rsidRPr="008A0882" w:rsidRDefault="00F268C6" w:rsidP="00F268C6">
            <w:pPr>
              <w:jc w:val="center"/>
              <w:rPr>
                <w:rFonts w:cs="Arial"/>
                <w:b/>
                <w:sz w:val="22"/>
                <w:szCs w:val="24"/>
              </w:rPr>
            </w:pPr>
            <w:r w:rsidRPr="008A0882">
              <w:rPr>
                <w:rFonts w:cs="Arial"/>
                <w:b/>
                <w:sz w:val="22"/>
                <w:szCs w:val="24"/>
              </w:rPr>
              <w:t>Region</w:t>
            </w:r>
          </w:p>
        </w:tc>
        <w:tc>
          <w:tcPr>
            <w:tcW w:w="744" w:type="pct"/>
            <w:shd w:val="clear" w:color="auto" w:fill="BFBFBF" w:themeFill="background1" w:themeFillShade="BF"/>
            <w:vAlign w:val="center"/>
            <w:hideMark/>
          </w:tcPr>
          <w:p w:rsidR="00F268C6" w:rsidRPr="008A0882" w:rsidRDefault="00F268C6" w:rsidP="00F268C6">
            <w:pPr>
              <w:jc w:val="center"/>
              <w:rPr>
                <w:rFonts w:cs="Arial"/>
                <w:sz w:val="22"/>
                <w:szCs w:val="24"/>
              </w:rPr>
            </w:pPr>
            <w:r w:rsidRPr="008A0882">
              <w:rPr>
                <w:rFonts w:cs="Arial"/>
                <w:sz w:val="22"/>
                <w:szCs w:val="24"/>
              </w:rPr>
              <w:t>All Level 3</w:t>
            </w:r>
          </w:p>
        </w:tc>
        <w:tc>
          <w:tcPr>
            <w:tcW w:w="744" w:type="pct"/>
            <w:shd w:val="clear" w:color="auto" w:fill="BFBFBF" w:themeFill="background1" w:themeFillShade="BF"/>
            <w:vAlign w:val="center"/>
            <w:hideMark/>
          </w:tcPr>
          <w:p w:rsidR="00F268C6" w:rsidRPr="008A0882" w:rsidRDefault="00F268C6" w:rsidP="00F268C6">
            <w:pPr>
              <w:jc w:val="center"/>
              <w:rPr>
                <w:rFonts w:cs="Arial"/>
                <w:i/>
                <w:iCs/>
                <w:sz w:val="22"/>
                <w:szCs w:val="24"/>
              </w:rPr>
            </w:pPr>
            <w:r w:rsidRPr="008A0882">
              <w:rPr>
                <w:rFonts w:cs="Arial"/>
                <w:i/>
                <w:iCs/>
                <w:sz w:val="22"/>
                <w:szCs w:val="24"/>
              </w:rPr>
              <w:t>A Level</w:t>
            </w:r>
          </w:p>
        </w:tc>
        <w:tc>
          <w:tcPr>
            <w:tcW w:w="745" w:type="pct"/>
            <w:shd w:val="clear" w:color="auto" w:fill="BFBFBF" w:themeFill="background1" w:themeFillShade="BF"/>
            <w:vAlign w:val="center"/>
            <w:hideMark/>
          </w:tcPr>
          <w:p w:rsidR="00F268C6" w:rsidRPr="008A0882" w:rsidRDefault="00F268C6" w:rsidP="00F268C6">
            <w:pPr>
              <w:jc w:val="center"/>
              <w:rPr>
                <w:rFonts w:cs="Arial"/>
                <w:sz w:val="22"/>
                <w:szCs w:val="24"/>
              </w:rPr>
            </w:pPr>
            <w:r w:rsidRPr="008A0882">
              <w:rPr>
                <w:rFonts w:cs="Arial"/>
                <w:sz w:val="22"/>
                <w:szCs w:val="24"/>
              </w:rPr>
              <w:t>Academic</w:t>
            </w:r>
          </w:p>
        </w:tc>
        <w:tc>
          <w:tcPr>
            <w:tcW w:w="744" w:type="pct"/>
            <w:shd w:val="clear" w:color="auto" w:fill="BFBFBF" w:themeFill="background1" w:themeFillShade="BF"/>
            <w:vAlign w:val="center"/>
            <w:hideMark/>
          </w:tcPr>
          <w:p w:rsidR="00F268C6" w:rsidRPr="008A0882" w:rsidRDefault="00F268C6" w:rsidP="00F268C6">
            <w:pPr>
              <w:jc w:val="center"/>
              <w:rPr>
                <w:rFonts w:cs="Arial"/>
                <w:sz w:val="22"/>
                <w:szCs w:val="24"/>
              </w:rPr>
            </w:pPr>
            <w:r w:rsidRPr="008A0882">
              <w:rPr>
                <w:rFonts w:cs="Arial"/>
                <w:sz w:val="22"/>
                <w:szCs w:val="24"/>
              </w:rPr>
              <w:t>Technical Level</w:t>
            </w:r>
          </w:p>
        </w:tc>
        <w:tc>
          <w:tcPr>
            <w:tcW w:w="745" w:type="pct"/>
            <w:shd w:val="clear" w:color="auto" w:fill="BFBFBF" w:themeFill="background1" w:themeFillShade="BF"/>
            <w:vAlign w:val="center"/>
            <w:hideMark/>
          </w:tcPr>
          <w:p w:rsidR="00F268C6" w:rsidRPr="008A0882" w:rsidRDefault="00F268C6" w:rsidP="00F268C6">
            <w:pPr>
              <w:jc w:val="center"/>
              <w:rPr>
                <w:rFonts w:cs="Arial"/>
                <w:sz w:val="22"/>
                <w:szCs w:val="24"/>
              </w:rPr>
            </w:pPr>
            <w:r w:rsidRPr="008A0882">
              <w:rPr>
                <w:rFonts w:cs="Arial"/>
                <w:sz w:val="22"/>
                <w:szCs w:val="24"/>
              </w:rPr>
              <w:t>Applied General</w:t>
            </w:r>
          </w:p>
        </w:tc>
      </w:tr>
      <w:tr w:rsidR="00F268C6" w:rsidRPr="008A0882" w:rsidTr="00ED53B1">
        <w:trPr>
          <w:trHeight w:val="312"/>
        </w:trPr>
        <w:tc>
          <w:tcPr>
            <w:tcW w:w="561" w:type="pct"/>
            <w:shd w:val="clear" w:color="auto" w:fill="BFBFBF" w:themeFill="background1" w:themeFillShade="BF"/>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2018/19</w:t>
            </w:r>
          </w:p>
        </w:tc>
        <w:tc>
          <w:tcPr>
            <w:tcW w:w="717" w:type="pct"/>
            <w:shd w:val="clear" w:color="auto" w:fill="BFBFBF" w:themeFill="background1" w:themeFillShade="BF"/>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England</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32.23</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32.89</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33.02</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28.64</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28.89</w:t>
            </w:r>
          </w:p>
        </w:tc>
      </w:tr>
      <w:tr w:rsidR="00F268C6" w:rsidRPr="008A0882" w:rsidTr="00ED53B1">
        <w:trPr>
          <w:trHeight w:val="312"/>
        </w:trPr>
        <w:tc>
          <w:tcPr>
            <w:tcW w:w="561" w:type="pct"/>
            <w:shd w:val="clear" w:color="auto" w:fill="BFBFBF" w:themeFill="background1" w:themeFillShade="BF"/>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2017/18</w:t>
            </w:r>
          </w:p>
        </w:tc>
        <w:tc>
          <w:tcPr>
            <w:tcW w:w="717" w:type="pct"/>
            <w:shd w:val="clear" w:color="auto" w:fill="BFBFBF" w:themeFill="background1" w:themeFillShade="BF"/>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England</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31.84</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32.12</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32.29</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28.11</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28.43</w:t>
            </w:r>
          </w:p>
        </w:tc>
      </w:tr>
      <w:tr w:rsidR="00F268C6" w:rsidRPr="008A0882" w:rsidTr="00ED53B1">
        <w:trPr>
          <w:trHeight w:val="312"/>
        </w:trPr>
        <w:tc>
          <w:tcPr>
            <w:tcW w:w="561" w:type="pct"/>
            <w:shd w:val="clear" w:color="auto" w:fill="BFBFBF" w:themeFill="background1" w:themeFillShade="BF"/>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2016/17</w:t>
            </w:r>
          </w:p>
        </w:tc>
        <w:tc>
          <w:tcPr>
            <w:tcW w:w="717" w:type="pct"/>
            <w:shd w:val="clear" w:color="auto" w:fill="BFBFBF" w:themeFill="background1" w:themeFillShade="BF"/>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England</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32.33</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31.13</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31.32</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32.25</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35.69</w:t>
            </w:r>
          </w:p>
        </w:tc>
      </w:tr>
      <w:tr w:rsidR="00F268C6" w:rsidRPr="008A0882" w:rsidTr="00F268C6">
        <w:trPr>
          <w:trHeight w:val="312"/>
        </w:trPr>
        <w:tc>
          <w:tcPr>
            <w:tcW w:w="561" w:type="pct"/>
            <w:shd w:val="clear" w:color="auto" w:fill="000000" w:themeFill="text1"/>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2018/19</w:t>
            </w:r>
          </w:p>
        </w:tc>
        <w:tc>
          <w:tcPr>
            <w:tcW w:w="717" w:type="pct"/>
            <w:shd w:val="clear" w:color="auto" w:fill="000000" w:themeFill="text1"/>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Lancashire</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34.43</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34.65</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35.22</w:t>
            </w:r>
          </w:p>
        </w:tc>
        <w:tc>
          <w:tcPr>
            <w:tcW w:w="744"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27.63</w:t>
            </w:r>
          </w:p>
        </w:tc>
        <w:tc>
          <w:tcPr>
            <w:tcW w:w="745" w:type="pct"/>
            <w:shd w:val="clear" w:color="auto" w:fill="auto"/>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28.98</w:t>
            </w:r>
          </w:p>
        </w:tc>
      </w:tr>
      <w:tr w:rsidR="00F268C6" w:rsidRPr="008A0882" w:rsidTr="00F268C6">
        <w:trPr>
          <w:trHeight w:val="312"/>
        </w:trPr>
        <w:tc>
          <w:tcPr>
            <w:tcW w:w="561" w:type="pct"/>
            <w:shd w:val="clear" w:color="auto" w:fill="000000" w:themeFill="text1"/>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2017/18</w:t>
            </w:r>
          </w:p>
        </w:tc>
        <w:tc>
          <w:tcPr>
            <w:tcW w:w="717" w:type="pct"/>
            <w:shd w:val="clear" w:color="auto" w:fill="000000" w:themeFill="text1"/>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Lancashire</w:t>
            </w:r>
          </w:p>
        </w:tc>
        <w:tc>
          <w:tcPr>
            <w:tcW w:w="744"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34.62</w:t>
            </w:r>
          </w:p>
        </w:tc>
        <w:tc>
          <w:tcPr>
            <w:tcW w:w="744"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35.02</w:t>
            </w:r>
          </w:p>
        </w:tc>
        <w:tc>
          <w:tcPr>
            <w:tcW w:w="745"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35.16</w:t>
            </w:r>
          </w:p>
        </w:tc>
        <w:tc>
          <w:tcPr>
            <w:tcW w:w="744"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25.96</w:t>
            </w:r>
          </w:p>
        </w:tc>
        <w:tc>
          <w:tcPr>
            <w:tcW w:w="745"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26.50</w:t>
            </w:r>
          </w:p>
        </w:tc>
      </w:tr>
      <w:tr w:rsidR="00F268C6" w:rsidRPr="008A0882" w:rsidTr="00F268C6">
        <w:trPr>
          <w:trHeight w:val="312"/>
        </w:trPr>
        <w:tc>
          <w:tcPr>
            <w:tcW w:w="561" w:type="pct"/>
            <w:shd w:val="clear" w:color="auto" w:fill="000000" w:themeFill="text1"/>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2016/17</w:t>
            </w:r>
          </w:p>
        </w:tc>
        <w:tc>
          <w:tcPr>
            <w:tcW w:w="717" w:type="pct"/>
            <w:shd w:val="clear" w:color="auto" w:fill="000000" w:themeFill="text1"/>
            <w:noWrap/>
            <w:vAlign w:val="center"/>
            <w:hideMark/>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Lancashire</w:t>
            </w:r>
          </w:p>
        </w:tc>
        <w:tc>
          <w:tcPr>
            <w:tcW w:w="744"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34.89</w:t>
            </w:r>
          </w:p>
        </w:tc>
        <w:tc>
          <w:tcPr>
            <w:tcW w:w="744"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33.65</w:t>
            </w:r>
          </w:p>
        </w:tc>
        <w:tc>
          <w:tcPr>
            <w:tcW w:w="745"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33.76</w:t>
            </w:r>
          </w:p>
        </w:tc>
        <w:tc>
          <w:tcPr>
            <w:tcW w:w="744"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35.70</w:t>
            </w:r>
          </w:p>
        </w:tc>
        <w:tc>
          <w:tcPr>
            <w:tcW w:w="745" w:type="pct"/>
            <w:shd w:val="clear" w:color="auto" w:fill="FFFFFF" w:themeFill="background1"/>
            <w:noWrap/>
            <w:vAlign w:val="center"/>
          </w:tcPr>
          <w:p w:rsidR="00F268C6" w:rsidRPr="008A0882" w:rsidRDefault="00F268C6" w:rsidP="00F268C6">
            <w:pPr>
              <w:pStyle w:val="NoSpacing"/>
              <w:jc w:val="center"/>
              <w:rPr>
                <w:rFonts w:ascii="Arial" w:hAnsi="Arial" w:cs="Arial"/>
                <w:szCs w:val="24"/>
                <w:lang w:eastAsia="en-GB"/>
              </w:rPr>
            </w:pPr>
            <w:r w:rsidRPr="008A0882">
              <w:rPr>
                <w:rFonts w:ascii="Arial" w:hAnsi="Arial" w:cs="Arial"/>
                <w:szCs w:val="24"/>
                <w:lang w:eastAsia="en-GB"/>
              </w:rPr>
              <w:t>38.10</w:t>
            </w:r>
          </w:p>
        </w:tc>
      </w:tr>
    </w:tbl>
    <w:p w:rsidR="00502D4A" w:rsidRPr="008A0882" w:rsidRDefault="00502D4A" w:rsidP="00E54BF9">
      <w:pPr>
        <w:autoSpaceDE w:val="0"/>
        <w:autoSpaceDN w:val="0"/>
        <w:adjustRightInd w:val="0"/>
        <w:rPr>
          <w:rFonts w:cs="Arial"/>
          <w:b/>
          <w:bCs/>
          <w:szCs w:val="24"/>
        </w:rPr>
      </w:pPr>
    </w:p>
    <w:p w:rsidR="00F268C6" w:rsidRPr="008A0882" w:rsidRDefault="00F268C6" w:rsidP="00F268C6">
      <w:pPr>
        <w:pStyle w:val="ListParagraph"/>
        <w:numPr>
          <w:ilvl w:val="0"/>
          <w:numId w:val="10"/>
        </w:numPr>
        <w:ind w:left="572" w:hanging="357"/>
        <w:contextualSpacing w:val="0"/>
        <w:rPr>
          <w:rFonts w:cs="Arial"/>
          <w:sz w:val="10"/>
          <w:szCs w:val="10"/>
        </w:rPr>
      </w:pPr>
      <w:r w:rsidRPr="008A0882">
        <w:rPr>
          <w:rFonts w:cs="Arial"/>
        </w:rPr>
        <w:t xml:space="preserve">Attainment overall at Level 3 </w:t>
      </w:r>
      <w:r w:rsidR="00EA100B" w:rsidRPr="008A0882">
        <w:rPr>
          <w:rFonts w:cs="Arial"/>
        </w:rPr>
        <w:t>has remained above national over time</w:t>
      </w:r>
      <w:r w:rsidRPr="008A0882">
        <w:rPr>
          <w:rFonts w:cs="Arial"/>
        </w:rPr>
        <w:t xml:space="preserve">. </w:t>
      </w:r>
    </w:p>
    <w:p w:rsidR="00F268C6" w:rsidRPr="008A0882" w:rsidRDefault="00EA100B" w:rsidP="00F268C6">
      <w:pPr>
        <w:pStyle w:val="ListParagraph"/>
        <w:numPr>
          <w:ilvl w:val="0"/>
          <w:numId w:val="10"/>
        </w:numPr>
        <w:ind w:left="572" w:hanging="357"/>
        <w:contextualSpacing w:val="0"/>
        <w:rPr>
          <w:rFonts w:cs="Arial"/>
          <w:sz w:val="10"/>
          <w:szCs w:val="10"/>
        </w:rPr>
      </w:pPr>
      <w:r w:rsidRPr="008A0882">
        <w:rPr>
          <w:rFonts w:cs="Arial"/>
        </w:rPr>
        <w:t>Attainment in A level and Academic courses has remained above national over time.</w:t>
      </w:r>
    </w:p>
    <w:p w:rsidR="00943FD6" w:rsidRPr="00B5723B" w:rsidRDefault="00EA100B" w:rsidP="00B5723B">
      <w:pPr>
        <w:pStyle w:val="ListParagraph"/>
        <w:numPr>
          <w:ilvl w:val="0"/>
          <w:numId w:val="10"/>
        </w:numPr>
        <w:ind w:left="572" w:hanging="357"/>
        <w:contextualSpacing w:val="0"/>
        <w:rPr>
          <w:rFonts w:cs="Arial"/>
          <w:sz w:val="10"/>
          <w:szCs w:val="10"/>
        </w:rPr>
      </w:pPr>
      <w:r w:rsidRPr="008A0882">
        <w:rPr>
          <w:rFonts w:cs="Arial"/>
        </w:rPr>
        <w:t>Attainment in Technical Level subjects has been below national for the last two years; in Applied General subjects, attainment improved in 2018/19 to be just above national.</w:t>
      </w:r>
    </w:p>
    <w:p w:rsidR="00FA3449" w:rsidRPr="008A0882" w:rsidRDefault="00FA3449" w:rsidP="00E54BF9">
      <w:pPr>
        <w:autoSpaceDE w:val="0"/>
        <w:autoSpaceDN w:val="0"/>
        <w:adjustRightInd w:val="0"/>
        <w:rPr>
          <w:rFonts w:cs="Arial"/>
          <w:b/>
          <w:bCs/>
          <w:szCs w:val="24"/>
        </w:rPr>
      </w:pPr>
    </w:p>
    <w:p w:rsidR="00EA100B" w:rsidRPr="008A0882" w:rsidRDefault="00EA100B" w:rsidP="00EA100B">
      <w:pPr>
        <w:pStyle w:val="NoSpacing"/>
        <w:rPr>
          <w:rFonts w:ascii="Arial" w:hAnsi="Arial" w:cs="Arial"/>
          <w:b/>
          <w:i/>
          <w:sz w:val="24"/>
        </w:rPr>
      </w:pPr>
      <w:r w:rsidRPr="008A0882">
        <w:rPr>
          <w:rFonts w:ascii="Arial" w:hAnsi="Arial" w:cs="Arial"/>
          <w:b/>
          <w:sz w:val="24"/>
        </w:rPr>
        <w:t>Key Stage 5: Disadvantaged (FSM)</w:t>
      </w:r>
      <w:r w:rsidRPr="008A0882">
        <w:rPr>
          <w:rFonts w:ascii="Arial" w:hAnsi="Arial" w:cs="Arial"/>
          <w:b/>
          <w:i/>
          <w:sz w:val="24"/>
        </w:rPr>
        <w:t xml:space="preserve"> </w:t>
      </w:r>
      <w:r w:rsidRPr="008A0882">
        <w:rPr>
          <w:rFonts w:ascii="Arial" w:hAnsi="Arial" w:cs="Arial"/>
          <w:i/>
          <w:sz w:val="24"/>
        </w:rPr>
        <w:t>– no data yet available for 2018/19</w:t>
      </w:r>
    </w:p>
    <w:p w:rsidR="00EA100B" w:rsidRPr="008A0882" w:rsidRDefault="00EA100B" w:rsidP="00E54BF9">
      <w:pPr>
        <w:autoSpaceDE w:val="0"/>
        <w:autoSpaceDN w:val="0"/>
        <w:adjustRightInd w:val="0"/>
        <w:rPr>
          <w:rFonts w:cs="Arial"/>
          <w:b/>
          <w:bCs/>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275"/>
        <w:gridCol w:w="1134"/>
        <w:gridCol w:w="1276"/>
        <w:gridCol w:w="1276"/>
        <w:gridCol w:w="1417"/>
      </w:tblGrid>
      <w:tr w:rsidR="00EA100B" w:rsidRPr="008A0882" w:rsidTr="00EA100B">
        <w:tc>
          <w:tcPr>
            <w:tcW w:w="9072" w:type="dxa"/>
            <w:gridSpan w:val="7"/>
            <w:shd w:val="clear" w:color="auto" w:fill="auto"/>
          </w:tcPr>
          <w:p w:rsidR="00EA100B" w:rsidRPr="008A0882" w:rsidRDefault="00EA100B" w:rsidP="00636255">
            <w:pPr>
              <w:jc w:val="center"/>
              <w:rPr>
                <w:rFonts w:cs="Arial"/>
                <w:szCs w:val="24"/>
              </w:rPr>
            </w:pPr>
            <w:r w:rsidRPr="008A0882">
              <w:rPr>
                <w:rFonts w:cs="Arial"/>
                <w:b/>
                <w:szCs w:val="24"/>
              </w:rPr>
              <w:t>Young people achieving level 3 by the age of 19, by FSM eligibility</w:t>
            </w:r>
          </w:p>
        </w:tc>
      </w:tr>
      <w:tr w:rsidR="00EA100B" w:rsidRPr="008A0882" w:rsidTr="00ED53B1">
        <w:tc>
          <w:tcPr>
            <w:tcW w:w="1418" w:type="dxa"/>
            <w:vMerge w:val="restart"/>
            <w:shd w:val="clear" w:color="auto" w:fill="auto"/>
          </w:tcPr>
          <w:p w:rsidR="00EA100B" w:rsidRPr="008A0882" w:rsidRDefault="00EA100B" w:rsidP="00636255">
            <w:pPr>
              <w:rPr>
                <w:rFonts w:cs="Arial"/>
                <w:szCs w:val="24"/>
              </w:rPr>
            </w:pPr>
          </w:p>
        </w:tc>
        <w:tc>
          <w:tcPr>
            <w:tcW w:w="2551" w:type="dxa"/>
            <w:gridSpan w:val="2"/>
            <w:shd w:val="clear" w:color="auto" w:fill="BFBFBF" w:themeFill="background1" w:themeFillShade="BF"/>
          </w:tcPr>
          <w:p w:rsidR="00EA100B" w:rsidRPr="008A0882" w:rsidRDefault="00EA100B" w:rsidP="00636255">
            <w:pPr>
              <w:jc w:val="center"/>
              <w:rPr>
                <w:rFonts w:cs="Arial"/>
                <w:szCs w:val="24"/>
              </w:rPr>
            </w:pPr>
            <w:r w:rsidRPr="008A0882">
              <w:rPr>
                <w:rFonts w:cs="Arial"/>
                <w:szCs w:val="24"/>
              </w:rPr>
              <w:t>All</w:t>
            </w:r>
          </w:p>
        </w:tc>
        <w:tc>
          <w:tcPr>
            <w:tcW w:w="2410" w:type="dxa"/>
            <w:gridSpan w:val="2"/>
            <w:shd w:val="clear" w:color="auto" w:fill="BFBFBF" w:themeFill="background1" w:themeFillShade="BF"/>
          </w:tcPr>
          <w:p w:rsidR="00EA100B" w:rsidRPr="008A0882" w:rsidRDefault="00EA100B" w:rsidP="00636255">
            <w:pPr>
              <w:jc w:val="center"/>
              <w:rPr>
                <w:rFonts w:cs="Arial"/>
                <w:szCs w:val="24"/>
              </w:rPr>
            </w:pPr>
            <w:r w:rsidRPr="008A0882">
              <w:rPr>
                <w:rFonts w:cs="Arial"/>
                <w:szCs w:val="24"/>
              </w:rPr>
              <w:t>Eligible for FSM</w:t>
            </w:r>
          </w:p>
        </w:tc>
        <w:tc>
          <w:tcPr>
            <w:tcW w:w="2693" w:type="dxa"/>
            <w:gridSpan w:val="2"/>
            <w:shd w:val="clear" w:color="auto" w:fill="BFBFBF" w:themeFill="background1" w:themeFillShade="BF"/>
          </w:tcPr>
          <w:p w:rsidR="00EA100B" w:rsidRPr="008A0882" w:rsidRDefault="00EA100B" w:rsidP="00636255">
            <w:pPr>
              <w:jc w:val="center"/>
              <w:rPr>
                <w:rFonts w:cs="Arial"/>
                <w:szCs w:val="24"/>
              </w:rPr>
            </w:pPr>
            <w:r w:rsidRPr="008A0882">
              <w:rPr>
                <w:rFonts w:cs="Arial"/>
                <w:szCs w:val="24"/>
              </w:rPr>
              <w:t>Not Eligible for FSM</w:t>
            </w:r>
          </w:p>
        </w:tc>
      </w:tr>
      <w:tr w:rsidR="00ED53B1" w:rsidRPr="008A0882" w:rsidTr="00ED53B1">
        <w:tc>
          <w:tcPr>
            <w:tcW w:w="1418" w:type="dxa"/>
            <w:vMerge/>
            <w:shd w:val="clear" w:color="auto" w:fill="auto"/>
          </w:tcPr>
          <w:p w:rsidR="00ED53B1" w:rsidRPr="008A0882" w:rsidRDefault="00ED53B1" w:rsidP="00ED53B1">
            <w:pPr>
              <w:rPr>
                <w:rFonts w:cs="Arial"/>
                <w:szCs w:val="24"/>
              </w:rPr>
            </w:pPr>
          </w:p>
        </w:tc>
        <w:tc>
          <w:tcPr>
            <w:tcW w:w="1276" w:type="dxa"/>
            <w:shd w:val="clear" w:color="auto" w:fill="BFBFBF" w:themeFill="background1" w:themeFillShade="BF"/>
          </w:tcPr>
          <w:p w:rsidR="00ED53B1" w:rsidRPr="008A0882" w:rsidRDefault="00ED53B1" w:rsidP="00ED53B1">
            <w:pPr>
              <w:jc w:val="center"/>
              <w:rPr>
                <w:rFonts w:cs="Arial"/>
                <w:szCs w:val="24"/>
              </w:rPr>
            </w:pPr>
            <w:r w:rsidRPr="008A0882">
              <w:rPr>
                <w:rFonts w:cs="Arial"/>
                <w:szCs w:val="24"/>
              </w:rPr>
              <w:t>2016/17</w:t>
            </w:r>
          </w:p>
        </w:tc>
        <w:tc>
          <w:tcPr>
            <w:tcW w:w="1275" w:type="dxa"/>
            <w:shd w:val="clear" w:color="auto" w:fill="BFBFBF" w:themeFill="background1" w:themeFillShade="BF"/>
          </w:tcPr>
          <w:p w:rsidR="00ED53B1" w:rsidRPr="008A0882" w:rsidRDefault="00ED53B1" w:rsidP="00ED53B1">
            <w:pPr>
              <w:jc w:val="center"/>
              <w:rPr>
                <w:rFonts w:cs="Arial"/>
                <w:szCs w:val="24"/>
              </w:rPr>
            </w:pPr>
            <w:r w:rsidRPr="008A0882">
              <w:rPr>
                <w:rFonts w:cs="Arial"/>
                <w:szCs w:val="24"/>
              </w:rPr>
              <w:t>2017/18</w:t>
            </w:r>
          </w:p>
        </w:tc>
        <w:tc>
          <w:tcPr>
            <w:tcW w:w="1134" w:type="dxa"/>
            <w:shd w:val="clear" w:color="auto" w:fill="BFBFBF" w:themeFill="background1" w:themeFillShade="BF"/>
          </w:tcPr>
          <w:p w:rsidR="00ED53B1" w:rsidRPr="008A0882" w:rsidRDefault="00ED53B1" w:rsidP="00ED53B1">
            <w:pPr>
              <w:jc w:val="center"/>
              <w:rPr>
                <w:rFonts w:cs="Arial"/>
                <w:szCs w:val="24"/>
              </w:rPr>
            </w:pPr>
            <w:r w:rsidRPr="008A0882">
              <w:rPr>
                <w:rFonts w:cs="Arial"/>
                <w:szCs w:val="24"/>
              </w:rPr>
              <w:t>2016/17</w:t>
            </w:r>
          </w:p>
        </w:tc>
        <w:tc>
          <w:tcPr>
            <w:tcW w:w="1276" w:type="dxa"/>
            <w:shd w:val="clear" w:color="auto" w:fill="BFBFBF" w:themeFill="background1" w:themeFillShade="BF"/>
          </w:tcPr>
          <w:p w:rsidR="00ED53B1" w:rsidRPr="008A0882" w:rsidRDefault="00ED53B1" w:rsidP="00ED53B1">
            <w:pPr>
              <w:jc w:val="center"/>
              <w:rPr>
                <w:rFonts w:cs="Arial"/>
                <w:szCs w:val="24"/>
              </w:rPr>
            </w:pPr>
            <w:r w:rsidRPr="008A0882">
              <w:rPr>
                <w:rFonts w:cs="Arial"/>
                <w:szCs w:val="24"/>
              </w:rPr>
              <w:t>2017/18</w:t>
            </w:r>
          </w:p>
        </w:tc>
        <w:tc>
          <w:tcPr>
            <w:tcW w:w="1276" w:type="dxa"/>
            <w:shd w:val="clear" w:color="auto" w:fill="BFBFBF" w:themeFill="background1" w:themeFillShade="BF"/>
          </w:tcPr>
          <w:p w:rsidR="00ED53B1" w:rsidRPr="008A0882" w:rsidRDefault="00ED53B1" w:rsidP="00ED53B1">
            <w:pPr>
              <w:jc w:val="center"/>
              <w:rPr>
                <w:rFonts w:cs="Arial"/>
                <w:szCs w:val="24"/>
              </w:rPr>
            </w:pPr>
            <w:r w:rsidRPr="008A0882">
              <w:rPr>
                <w:rFonts w:cs="Arial"/>
                <w:szCs w:val="24"/>
              </w:rPr>
              <w:t>2016/17</w:t>
            </w:r>
          </w:p>
        </w:tc>
        <w:tc>
          <w:tcPr>
            <w:tcW w:w="1417" w:type="dxa"/>
            <w:shd w:val="clear" w:color="auto" w:fill="BFBFBF" w:themeFill="background1" w:themeFillShade="BF"/>
          </w:tcPr>
          <w:p w:rsidR="00ED53B1" w:rsidRPr="008A0882" w:rsidRDefault="00ED53B1" w:rsidP="00ED53B1">
            <w:pPr>
              <w:jc w:val="center"/>
              <w:rPr>
                <w:rFonts w:cs="Arial"/>
                <w:szCs w:val="24"/>
              </w:rPr>
            </w:pPr>
            <w:r w:rsidRPr="008A0882">
              <w:rPr>
                <w:rFonts w:cs="Arial"/>
                <w:szCs w:val="24"/>
              </w:rPr>
              <w:t>2017/18</w:t>
            </w:r>
          </w:p>
        </w:tc>
      </w:tr>
      <w:tr w:rsidR="00ED53B1" w:rsidRPr="008A0882" w:rsidTr="00ED53B1">
        <w:tc>
          <w:tcPr>
            <w:tcW w:w="1418" w:type="dxa"/>
            <w:shd w:val="clear" w:color="auto" w:fill="BFBFBF" w:themeFill="background1" w:themeFillShade="BF"/>
          </w:tcPr>
          <w:p w:rsidR="00ED53B1" w:rsidRPr="008A0882" w:rsidRDefault="00ED53B1" w:rsidP="00636255">
            <w:pPr>
              <w:rPr>
                <w:rFonts w:cs="Arial"/>
                <w:szCs w:val="24"/>
              </w:rPr>
            </w:pPr>
            <w:r w:rsidRPr="008A0882">
              <w:rPr>
                <w:rFonts w:cs="Arial"/>
                <w:szCs w:val="24"/>
              </w:rPr>
              <w:t>England</w:t>
            </w:r>
          </w:p>
        </w:tc>
        <w:tc>
          <w:tcPr>
            <w:tcW w:w="1276" w:type="dxa"/>
            <w:shd w:val="clear" w:color="auto" w:fill="auto"/>
          </w:tcPr>
          <w:p w:rsidR="00ED53B1" w:rsidRPr="008A0882" w:rsidRDefault="00ED53B1" w:rsidP="00636255">
            <w:pPr>
              <w:jc w:val="center"/>
              <w:rPr>
                <w:rFonts w:cs="Arial"/>
                <w:szCs w:val="24"/>
              </w:rPr>
            </w:pPr>
            <w:r w:rsidRPr="008A0882">
              <w:rPr>
                <w:rFonts w:cs="Arial"/>
                <w:szCs w:val="24"/>
              </w:rPr>
              <w:t>57.6%</w:t>
            </w:r>
          </w:p>
        </w:tc>
        <w:tc>
          <w:tcPr>
            <w:tcW w:w="1275" w:type="dxa"/>
            <w:shd w:val="clear" w:color="auto" w:fill="auto"/>
          </w:tcPr>
          <w:p w:rsidR="00ED53B1" w:rsidRPr="008A0882" w:rsidRDefault="00ED53B1" w:rsidP="00636255">
            <w:pPr>
              <w:jc w:val="center"/>
              <w:rPr>
                <w:rFonts w:cs="Arial"/>
                <w:szCs w:val="24"/>
              </w:rPr>
            </w:pPr>
            <w:r w:rsidRPr="008A0882">
              <w:rPr>
                <w:rFonts w:cs="Arial"/>
                <w:szCs w:val="24"/>
              </w:rPr>
              <w:t>57.2%</w:t>
            </w:r>
          </w:p>
        </w:tc>
        <w:tc>
          <w:tcPr>
            <w:tcW w:w="1134" w:type="dxa"/>
            <w:shd w:val="clear" w:color="auto" w:fill="auto"/>
          </w:tcPr>
          <w:p w:rsidR="00ED53B1" w:rsidRPr="008A0882" w:rsidRDefault="00ED53B1" w:rsidP="00636255">
            <w:pPr>
              <w:jc w:val="center"/>
              <w:rPr>
                <w:rFonts w:cs="Arial"/>
                <w:szCs w:val="24"/>
              </w:rPr>
            </w:pPr>
            <w:r w:rsidRPr="008A0882">
              <w:rPr>
                <w:rFonts w:cs="Arial"/>
                <w:szCs w:val="24"/>
              </w:rPr>
              <w:t>36.0%</w:t>
            </w:r>
          </w:p>
        </w:tc>
        <w:tc>
          <w:tcPr>
            <w:tcW w:w="1276" w:type="dxa"/>
            <w:shd w:val="clear" w:color="auto" w:fill="auto"/>
          </w:tcPr>
          <w:p w:rsidR="00ED53B1" w:rsidRPr="008A0882" w:rsidRDefault="00ED53B1" w:rsidP="00636255">
            <w:pPr>
              <w:jc w:val="center"/>
              <w:rPr>
                <w:rFonts w:cs="Arial"/>
                <w:szCs w:val="24"/>
              </w:rPr>
            </w:pPr>
            <w:r w:rsidRPr="008A0882">
              <w:rPr>
                <w:rFonts w:cs="Arial"/>
                <w:szCs w:val="24"/>
              </w:rPr>
              <w:t>35.0%</w:t>
            </w:r>
          </w:p>
        </w:tc>
        <w:tc>
          <w:tcPr>
            <w:tcW w:w="1276" w:type="dxa"/>
            <w:shd w:val="clear" w:color="auto" w:fill="auto"/>
          </w:tcPr>
          <w:p w:rsidR="00ED53B1" w:rsidRPr="008A0882" w:rsidRDefault="00ED53B1" w:rsidP="00636255">
            <w:pPr>
              <w:jc w:val="center"/>
              <w:rPr>
                <w:rFonts w:cs="Arial"/>
                <w:szCs w:val="24"/>
              </w:rPr>
            </w:pPr>
            <w:r w:rsidRPr="008A0882">
              <w:rPr>
                <w:rFonts w:cs="Arial"/>
                <w:szCs w:val="24"/>
              </w:rPr>
              <w:t>61.2%</w:t>
            </w:r>
          </w:p>
        </w:tc>
        <w:tc>
          <w:tcPr>
            <w:tcW w:w="1417" w:type="dxa"/>
            <w:shd w:val="clear" w:color="auto" w:fill="auto"/>
          </w:tcPr>
          <w:p w:rsidR="00ED53B1" w:rsidRPr="008A0882" w:rsidRDefault="00ED53B1" w:rsidP="00636255">
            <w:pPr>
              <w:jc w:val="center"/>
              <w:rPr>
                <w:rFonts w:cs="Arial"/>
                <w:szCs w:val="24"/>
              </w:rPr>
            </w:pPr>
            <w:r w:rsidRPr="008A0882">
              <w:rPr>
                <w:rFonts w:cs="Arial"/>
                <w:szCs w:val="24"/>
              </w:rPr>
              <w:t>60.7%</w:t>
            </w:r>
          </w:p>
        </w:tc>
      </w:tr>
      <w:tr w:rsidR="00EA100B" w:rsidRPr="008A0882" w:rsidTr="00ED53B1">
        <w:tc>
          <w:tcPr>
            <w:tcW w:w="1418" w:type="dxa"/>
            <w:shd w:val="clear" w:color="auto" w:fill="000000" w:themeFill="text1"/>
          </w:tcPr>
          <w:p w:rsidR="00EA100B" w:rsidRPr="008A0882" w:rsidRDefault="00EA100B" w:rsidP="00636255">
            <w:pPr>
              <w:rPr>
                <w:rFonts w:cs="Arial"/>
                <w:szCs w:val="24"/>
              </w:rPr>
            </w:pPr>
            <w:r w:rsidRPr="008A0882">
              <w:rPr>
                <w:rFonts w:cs="Arial"/>
                <w:szCs w:val="24"/>
              </w:rPr>
              <w:t>Lancashire</w:t>
            </w:r>
          </w:p>
        </w:tc>
        <w:tc>
          <w:tcPr>
            <w:tcW w:w="1276" w:type="dxa"/>
            <w:shd w:val="clear" w:color="auto" w:fill="auto"/>
          </w:tcPr>
          <w:p w:rsidR="00EA100B" w:rsidRPr="008A0882" w:rsidRDefault="00EA100B" w:rsidP="00EA100B">
            <w:pPr>
              <w:jc w:val="center"/>
              <w:rPr>
                <w:rFonts w:cs="Arial"/>
                <w:szCs w:val="24"/>
              </w:rPr>
            </w:pPr>
            <w:r w:rsidRPr="008A0882">
              <w:rPr>
                <w:rFonts w:cs="Arial"/>
                <w:szCs w:val="24"/>
              </w:rPr>
              <w:t>60.8%</w:t>
            </w:r>
          </w:p>
        </w:tc>
        <w:tc>
          <w:tcPr>
            <w:tcW w:w="1275" w:type="dxa"/>
            <w:shd w:val="clear" w:color="auto" w:fill="auto"/>
          </w:tcPr>
          <w:p w:rsidR="00EA100B" w:rsidRPr="008A0882" w:rsidRDefault="00EA100B" w:rsidP="00EA100B">
            <w:pPr>
              <w:jc w:val="center"/>
              <w:rPr>
                <w:rFonts w:cs="Arial"/>
                <w:szCs w:val="24"/>
              </w:rPr>
            </w:pPr>
            <w:r w:rsidRPr="008A0882">
              <w:rPr>
                <w:rFonts w:cs="Arial"/>
                <w:szCs w:val="24"/>
              </w:rPr>
              <w:t>59.5%</w:t>
            </w:r>
          </w:p>
        </w:tc>
        <w:tc>
          <w:tcPr>
            <w:tcW w:w="1134" w:type="dxa"/>
            <w:shd w:val="clear" w:color="auto" w:fill="auto"/>
          </w:tcPr>
          <w:p w:rsidR="00EA100B" w:rsidRPr="008A0882" w:rsidRDefault="00EA100B" w:rsidP="00EA100B">
            <w:pPr>
              <w:jc w:val="center"/>
              <w:rPr>
                <w:rFonts w:cs="Arial"/>
                <w:szCs w:val="24"/>
              </w:rPr>
            </w:pPr>
            <w:r w:rsidRPr="008A0882">
              <w:rPr>
                <w:rFonts w:cs="Arial"/>
                <w:szCs w:val="24"/>
              </w:rPr>
              <w:t>31.6%</w:t>
            </w:r>
          </w:p>
        </w:tc>
        <w:tc>
          <w:tcPr>
            <w:tcW w:w="1276" w:type="dxa"/>
            <w:shd w:val="clear" w:color="auto" w:fill="auto"/>
          </w:tcPr>
          <w:p w:rsidR="00EA100B" w:rsidRPr="008A0882" w:rsidRDefault="00EA100B" w:rsidP="00EA100B">
            <w:pPr>
              <w:jc w:val="center"/>
              <w:rPr>
                <w:rFonts w:cs="Arial"/>
                <w:szCs w:val="24"/>
              </w:rPr>
            </w:pPr>
            <w:r w:rsidRPr="008A0882">
              <w:rPr>
                <w:rFonts w:cs="Arial"/>
                <w:szCs w:val="24"/>
              </w:rPr>
              <w:t>32.2%</w:t>
            </w:r>
          </w:p>
        </w:tc>
        <w:tc>
          <w:tcPr>
            <w:tcW w:w="1276" w:type="dxa"/>
            <w:shd w:val="clear" w:color="auto" w:fill="auto"/>
          </w:tcPr>
          <w:p w:rsidR="00EA100B" w:rsidRPr="008A0882" w:rsidRDefault="00EA100B" w:rsidP="00EA100B">
            <w:pPr>
              <w:jc w:val="center"/>
              <w:rPr>
                <w:rFonts w:cs="Arial"/>
                <w:szCs w:val="24"/>
              </w:rPr>
            </w:pPr>
            <w:r w:rsidRPr="008A0882">
              <w:rPr>
                <w:rFonts w:cs="Arial"/>
                <w:szCs w:val="24"/>
              </w:rPr>
              <w:t>64.9%</w:t>
            </w:r>
          </w:p>
        </w:tc>
        <w:tc>
          <w:tcPr>
            <w:tcW w:w="1417" w:type="dxa"/>
            <w:shd w:val="clear" w:color="auto" w:fill="auto"/>
          </w:tcPr>
          <w:p w:rsidR="00EA100B" w:rsidRPr="008A0882" w:rsidRDefault="00EA100B" w:rsidP="00EA100B">
            <w:pPr>
              <w:jc w:val="center"/>
              <w:rPr>
                <w:rFonts w:cs="Arial"/>
                <w:szCs w:val="24"/>
              </w:rPr>
            </w:pPr>
            <w:r w:rsidRPr="008A0882">
              <w:rPr>
                <w:rFonts w:cs="Arial"/>
                <w:szCs w:val="24"/>
              </w:rPr>
              <w:t>63.4%</w:t>
            </w:r>
          </w:p>
        </w:tc>
      </w:tr>
    </w:tbl>
    <w:p w:rsidR="00EA100B" w:rsidRPr="008A0882" w:rsidRDefault="00EA100B" w:rsidP="00EA100B">
      <w:pPr>
        <w:pStyle w:val="ListParagraph"/>
        <w:ind w:left="572"/>
        <w:contextualSpacing w:val="0"/>
        <w:rPr>
          <w:rFonts w:cs="Arial"/>
          <w:sz w:val="10"/>
          <w:szCs w:val="10"/>
        </w:rPr>
      </w:pPr>
    </w:p>
    <w:p w:rsidR="00ED53B1" w:rsidRPr="008A0882" w:rsidRDefault="00EA100B" w:rsidP="00EA100B">
      <w:pPr>
        <w:pStyle w:val="ListParagraph"/>
        <w:numPr>
          <w:ilvl w:val="0"/>
          <w:numId w:val="10"/>
        </w:numPr>
        <w:ind w:left="572" w:hanging="357"/>
        <w:contextualSpacing w:val="0"/>
        <w:rPr>
          <w:rFonts w:cs="Arial"/>
          <w:sz w:val="10"/>
          <w:szCs w:val="10"/>
        </w:rPr>
      </w:pPr>
      <w:r w:rsidRPr="008A0882">
        <w:rPr>
          <w:rFonts w:cs="Arial"/>
        </w:rPr>
        <w:t xml:space="preserve">Whilst the proportion </w:t>
      </w:r>
      <w:r w:rsidR="00ED53B1" w:rsidRPr="008A0882">
        <w:rPr>
          <w:rFonts w:cs="Arial"/>
        </w:rPr>
        <w:t xml:space="preserve">of all students </w:t>
      </w:r>
      <w:r w:rsidRPr="008A0882">
        <w:rPr>
          <w:rFonts w:cs="Arial"/>
        </w:rPr>
        <w:t>achieving Level 3 qualifications in Lancashire has remained above national over time, this is not the case for FSM students</w:t>
      </w:r>
      <w:r w:rsidR="00ED53B1" w:rsidRPr="008A0882">
        <w:rPr>
          <w:rFonts w:cs="Arial"/>
        </w:rPr>
        <w:t>.</w:t>
      </w:r>
    </w:p>
    <w:p w:rsidR="00EA100B" w:rsidRPr="008A0882" w:rsidRDefault="00ED53B1" w:rsidP="00EA100B">
      <w:pPr>
        <w:pStyle w:val="ListParagraph"/>
        <w:numPr>
          <w:ilvl w:val="0"/>
          <w:numId w:val="10"/>
        </w:numPr>
        <w:ind w:left="572" w:hanging="357"/>
        <w:contextualSpacing w:val="0"/>
        <w:rPr>
          <w:rFonts w:cs="Arial"/>
          <w:sz w:val="10"/>
          <w:szCs w:val="10"/>
        </w:rPr>
      </w:pPr>
      <w:r w:rsidRPr="008A0882">
        <w:rPr>
          <w:rFonts w:cs="Arial"/>
        </w:rPr>
        <w:t>As is the case nationally, t</w:t>
      </w:r>
      <w:r w:rsidR="00EA100B" w:rsidRPr="008A0882">
        <w:rPr>
          <w:rFonts w:cs="Arial"/>
        </w:rPr>
        <w:t xml:space="preserve">he proportion </w:t>
      </w:r>
      <w:r w:rsidRPr="008A0882">
        <w:rPr>
          <w:rFonts w:cs="Arial"/>
        </w:rPr>
        <w:t>of FSM students achieving Level 3 qualifications is well below the proportion of pupils overall</w:t>
      </w:r>
      <w:r w:rsidR="00EA100B" w:rsidRPr="008A0882">
        <w:rPr>
          <w:rFonts w:cs="Arial"/>
        </w:rPr>
        <w:t>.</w:t>
      </w:r>
    </w:p>
    <w:p w:rsidR="00EA100B" w:rsidRPr="008A0882" w:rsidRDefault="00EA100B" w:rsidP="00E54BF9">
      <w:pPr>
        <w:autoSpaceDE w:val="0"/>
        <w:autoSpaceDN w:val="0"/>
        <w:adjustRightInd w:val="0"/>
        <w:rPr>
          <w:rFonts w:cs="Arial"/>
          <w:b/>
          <w:bCs/>
          <w:szCs w:val="24"/>
        </w:rPr>
      </w:pPr>
    </w:p>
    <w:p w:rsidR="00D77F0B" w:rsidRDefault="00D77F0B" w:rsidP="00ED53B1">
      <w:pPr>
        <w:pStyle w:val="NoSpacing"/>
        <w:rPr>
          <w:rFonts w:ascii="Arial" w:hAnsi="Arial" w:cs="Arial"/>
          <w:b/>
          <w:sz w:val="24"/>
        </w:rPr>
      </w:pPr>
    </w:p>
    <w:p w:rsidR="00ED53B1" w:rsidRPr="008A0882" w:rsidRDefault="00ED53B1" w:rsidP="00ED53B1">
      <w:pPr>
        <w:pStyle w:val="NoSpacing"/>
        <w:rPr>
          <w:rFonts w:ascii="Arial" w:hAnsi="Arial" w:cs="Arial"/>
          <w:b/>
          <w:i/>
          <w:sz w:val="24"/>
        </w:rPr>
      </w:pPr>
      <w:r w:rsidRPr="008A0882">
        <w:rPr>
          <w:rFonts w:ascii="Arial" w:hAnsi="Arial" w:cs="Arial"/>
          <w:b/>
          <w:sz w:val="24"/>
        </w:rPr>
        <w:t>Key Stage 5: Special Educational Needs and Disabilities (SEND)</w:t>
      </w:r>
      <w:r w:rsidRPr="008A0882">
        <w:rPr>
          <w:rFonts w:ascii="Arial" w:hAnsi="Arial" w:cs="Arial"/>
          <w:b/>
          <w:i/>
          <w:sz w:val="24"/>
        </w:rPr>
        <w:t xml:space="preserve"> </w:t>
      </w:r>
      <w:r w:rsidRPr="008A0882">
        <w:rPr>
          <w:rFonts w:ascii="Arial" w:hAnsi="Arial" w:cs="Arial"/>
          <w:i/>
          <w:sz w:val="24"/>
        </w:rPr>
        <w:t>– no data yet available for 2018/19</w:t>
      </w:r>
    </w:p>
    <w:p w:rsidR="00ED53B1" w:rsidRPr="008A0882" w:rsidRDefault="00ED53B1" w:rsidP="00E54BF9">
      <w:pPr>
        <w:autoSpaceDE w:val="0"/>
        <w:autoSpaceDN w:val="0"/>
        <w:adjustRightInd w:val="0"/>
        <w:rPr>
          <w:rFonts w:cs="Arial"/>
          <w:b/>
          <w:bCs/>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275"/>
        <w:gridCol w:w="1276"/>
        <w:gridCol w:w="1134"/>
        <w:gridCol w:w="1276"/>
        <w:gridCol w:w="1417"/>
      </w:tblGrid>
      <w:tr w:rsidR="00ED53B1" w:rsidRPr="008A0882" w:rsidTr="00ED53B1">
        <w:tc>
          <w:tcPr>
            <w:tcW w:w="9072" w:type="dxa"/>
            <w:gridSpan w:val="7"/>
            <w:shd w:val="clear" w:color="auto" w:fill="auto"/>
          </w:tcPr>
          <w:p w:rsidR="00ED53B1" w:rsidRPr="008A0882" w:rsidRDefault="00ED53B1" w:rsidP="00636255">
            <w:pPr>
              <w:jc w:val="center"/>
              <w:rPr>
                <w:rFonts w:cs="Arial"/>
                <w:b/>
                <w:szCs w:val="24"/>
              </w:rPr>
            </w:pPr>
            <w:r w:rsidRPr="008A0882">
              <w:rPr>
                <w:rFonts w:cs="Arial"/>
                <w:b/>
                <w:szCs w:val="24"/>
              </w:rPr>
              <w:t>Young people achieving level 3 by the age of 19, by SEND status in Year 11</w:t>
            </w:r>
          </w:p>
        </w:tc>
      </w:tr>
      <w:tr w:rsidR="00ED53B1" w:rsidRPr="008A0882" w:rsidTr="009F65C2">
        <w:tc>
          <w:tcPr>
            <w:tcW w:w="1418" w:type="dxa"/>
            <w:vMerge w:val="restart"/>
            <w:shd w:val="clear" w:color="auto" w:fill="auto"/>
          </w:tcPr>
          <w:p w:rsidR="00ED53B1" w:rsidRPr="008A0882" w:rsidRDefault="00ED53B1" w:rsidP="00636255">
            <w:pPr>
              <w:rPr>
                <w:rFonts w:cs="Arial"/>
                <w:szCs w:val="24"/>
              </w:rPr>
            </w:pPr>
          </w:p>
        </w:tc>
        <w:tc>
          <w:tcPr>
            <w:tcW w:w="2551" w:type="dxa"/>
            <w:gridSpan w:val="2"/>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All</w:t>
            </w:r>
          </w:p>
        </w:tc>
        <w:tc>
          <w:tcPr>
            <w:tcW w:w="2410" w:type="dxa"/>
            <w:gridSpan w:val="2"/>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All SEND Pupils</w:t>
            </w:r>
          </w:p>
        </w:tc>
        <w:tc>
          <w:tcPr>
            <w:tcW w:w="2693" w:type="dxa"/>
            <w:gridSpan w:val="2"/>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No Identified SEND</w:t>
            </w:r>
          </w:p>
        </w:tc>
      </w:tr>
      <w:tr w:rsidR="00ED53B1" w:rsidRPr="008A0882" w:rsidTr="009F65C2">
        <w:tc>
          <w:tcPr>
            <w:tcW w:w="1418" w:type="dxa"/>
            <w:vMerge/>
            <w:shd w:val="clear" w:color="auto" w:fill="auto"/>
          </w:tcPr>
          <w:p w:rsidR="00ED53B1" w:rsidRPr="008A0882" w:rsidRDefault="00ED53B1" w:rsidP="00636255">
            <w:pPr>
              <w:rPr>
                <w:rFonts w:cs="Arial"/>
                <w:szCs w:val="24"/>
              </w:rPr>
            </w:pPr>
          </w:p>
        </w:tc>
        <w:tc>
          <w:tcPr>
            <w:tcW w:w="1276" w:type="dxa"/>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2017</w:t>
            </w:r>
          </w:p>
        </w:tc>
        <w:tc>
          <w:tcPr>
            <w:tcW w:w="1275" w:type="dxa"/>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2018</w:t>
            </w:r>
          </w:p>
        </w:tc>
        <w:tc>
          <w:tcPr>
            <w:tcW w:w="1276" w:type="dxa"/>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2017</w:t>
            </w:r>
          </w:p>
        </w:tc>
        <w:tc>
          <w:tcPr>
            <w:tcW w:w="1134" w:type="dxa"/>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2018</w:t>
            </w:r>
          </w:p>
        </w:tc>
        <w:tc>
          <w:tcPr>
            <w:tcW w:w="1276" w:type="dxa"/>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2017</w:t>
            </w:r>
          </w:p>
        </w:tc>
        <w:tc>
          <w:tcPr>
            <w:tcW w:w="1417" w:type="dxa"/>
            <w:shd w:val="clear" w:color="auto" w:fill="BFBFBF" w:themeFill="background1" w:themeFillShade="BF"/>
          </w:tcPr>
          <w:p w:rsidR="00ED53B1" w:rsidRPr="008A0882" w:rsidRDefault="00ED53B1" w:rsidP="00636255">
            <w:pPr>
              <w:jc w:val="center"/>
              <w:rPr>
                <w:rFonts w:cs="Arial"/>
                <w:szCs w:val="24"/>
              </w:rPr>
            </w:pPr>
            <w:r w:rsidRPr="008A0882">
              <w:rPr>
                <w:rFonts w:cs="Arial"/>
                <w:szCs w:val="24"/>
              </w:rPr>
              <w:t>2018</w:t>
            </w:r>
          </w:p>
        </w:tc>
      </w:tr>
      <w:tr w:rsidR="009F65C2" w:rsidRPr="008A0882" w:rsidTr="00636255">
        <w:tc>
          <w:tcPr>
            <w:tcW w:w="1418" w:type="dxa"/>
            <w:shd w:val="clear" w:color="auto" w:fill="BFBFBF" w:themeFill="background1" w:themeFillShade="BF"/>
          </w:tcPr>
          <w:p w:rsidR="009F65C2" w:rsidRPr="008A0882" w:rsidRDefault="009F65C2" w:rsidP="00636255">
            <w:pPr>
              <w:rPr>
                <w:rFonts w:cs="Arial"/>
                <w:szCs w:val="24"/>
              </w:rPr>
            </w:pPr>
            <w:r w:rsidRPr="008A0882">
              <w:rPr>
                <w:rFonts w:cs="Arial"/>
                <w:szCs w:val="24"/>
              </w:rPr>
              <w:t>England</w:t>
            </w:r>
          </w:p>
        </w:tc>
        <w:tc>
          <w:tcPr>
            <w:tcW w:w="1276" w:type="dxa"/>
            <w:shd w:val="clear" w:color="auto" w:fill="auto"/>
          </w:tcPr>
          <w:p w:rsidR="009F65C2" w:rsidRPr="008A0882" w:rsidRDefault="009F65C2" w:rsidP="00636255">
            <w:pPr>
              <w:jc w:val="center"/>
              <w:rPr>
                <w:rFonts w:cs="Arial"/>
                <w:szCs w:val="24"/>
              </w:rPr>
            </w:pPr>
            <w:r w:rsidRPr="008A0882">
              <w:rPr>
                <w:rFonts w:cs="Arial"/>
                <w:szCs w:val="24"/>
              </w:rPr>
              <w:t>57.6%</w:t>
            </w:r>
          </w:p>
        </w:tc>
        <w:tc>
          <w:tcPr>
            <w:tcW w:w="1275" w:type="dxa"/>
            <w:shd w:val="clear" w:color="auto" w:fill="auto"/>
          </w:tcPr>
          <w:p w:rsidR="009F65C2" w:rsidRPr="008A0882" w:rsidRDefault="009F65C2" w:rsidP="00636255">
            <w:pPr>
              <w:jc w:val="center"/>
              <w:rPr>
                <w:rFonts w:cs="Arial"/>
                <w:szCs w:val="24"/>
              </w:rPr>
            </w:pPr>
            <w:r w:rsidRPr="008A0882">
              <w:rPr>
                <w:rFonts w:cs="Arial"/>
                <w:szCs w:val="24"/>
              </w:rPr>
              <w:t>57.2%</w:t>
            </w:r>
          </w:p>
        </w:tc>
        <w:tc>
          <w:tcPr>
            <w:tcW w:w="1276" w:type="dxa"/>
            <w:shd w:val="clear" w:color="auto" w:fill="auto"/>
          </w:tcPr>
          <w:p w:rsidR="009F65C2" w:rsidRPr="008A0882" w:rsidRDefault="009F65C2" w:rsidP="00636255">
            <w:pPr>
              <w:jc w:val="center"/>
              <w:rPr>
                <w:rFonts w:cs="Arial"/>
                <w:szCs w:val="24"/>
              </w:rPr>
            </w:pPr>
            <w:r w:rsidRPr="008A0882">
              <w:rPr>
                <w:rFonts w:cs="Arial"/>
                <w:szCs w:val="24"/>
              </w:rPr>
              <w:t>28.2%</w:t>
            </w:r>
          </w:p>
        </w:tc>
        <w:tc>
          <w:tcPr>
            <w:tcW w:w="1134" w:type="dxa"/>
            <w:shd w:val="clear" w:color="auto" w:fill="auto"/>
          </w:tcPr>
          <w:p w:rsidR="009F65C2" w:rsidRPr="008A0882" w:rsidRDefault="009F65C2" w:rsidP="00636255">
            <w:pPr>
              <w:jc w:val="center"/>
              <w:rPr>
                <w:rFonts w:cs="Arial"/>
                <w:szCs w:val="24"/>
              </w:rPr>
            </w:pPr>
            <w:r w:rsidRPr="008A0882">
              <w:rPr>
                <w:rFonts w:cs="Arial"/>
                <w:szCs w:val="24"/>
              </w:rPr>
              <w:t>26.6%</w:t>
            </w:r>
          </w:p>
        </w:tc>
        <w:tc>
          <w:tcPr>
            <w:tcW w:w="1276" w:type="dxa"/>
            <w:shd w:val="clear" w:color="auto" w:fill="auto"/>
          </w:tcPr>
          <w:p w:rsidR="009F65C2" w:rsidRPr="008A0882" w:rsidRDefault="009F65C2" w:rsidP="00636255">
            <w:pPr>
              <w:jc w:val="center"/>
              <w:rPr>
                <w:rFonts w:cs="Arial"/>
                <w:szCs w:val="24"/>
              </w:rPr>
            </w:pPr>
            <w:r w:rsidRPr="008A0882">
              <w:rPr>
                <w:rFonts w:cs="Arial"/>
                <w:szCs w:val="24"/>
              </w:rPr>
              <w:t>64.8%</w:t>
            </w:r>
          </w:p>
        </w:tc>
        <w:tc>
          <w:tcPr>
            <w:tcW w:w="1417" w:type="dxa"/>
            <w:shd w:val="clear" w:color="auto" w:fill="auto"/>
          </w:tcPr>
          <w:p w:rsidR="009F65C2" w:rsidRPr="008A0882" w:rsidRDefault="009F65C2" w:rsidP="00636255">
            <w:pPr>
              <w:jc w:val="center"/>
              <w:rPr>
                <w:rFonts w:cs="Arial"/>
                <w:szCs w:val="24"/>
              </w:rPr>
            </w:pPr>
            <w:r w:rsidRPr="008A0882">
              <w:rPr>
                <w:rFonts w:cs="Arial"/>
                <w:szCs w:val="24"/>
              </w:rPr>
              <w:t>63.1%</w:t>
            </w:r>
          </w:p>
        </w:tc>
      </w:tr>
      <w:tr w:rsidR="00ED53B1" w:rsidRPr="008A0882" w:rsidTr="009F65C2">
        <w:tc>
          <w:tcPr>
            <w:tcW w:w="1418" w:type="dxa"/>
            <w:shd w:val="clear" w:color="auto" w:fill="000000" w:themeFill="text1"/>
          </w:tcPr>
          <w:p w:rsidR="00ED53B1" w:rsidRPr="008A0882" w:rsidRDefault="00ED53B1" w:rsidP="00636255">
            <w:pPr>
              <w:rPr>
                <w:rFonts w:cs="Arial"/>
                <w:szCs w:val="24"/>
              </w:rPr>
            </w:pPr>
            <w:r w:rsidRPr="008A0882">
              <w:rPr>
                <w:rFonts w:cs="Arial"/>
                <w:szCs w:val="24"/>
              </w:rPr>
              <w:t>Lancashire</w:t>
            </w:r>
          </w:p>
        </w:tc>
        <w:tc>
          <w:tcPr>
            <w:tcW w:w="1276" w:type="dxa"/>
            <w:shd w:val="clear" w:color="auto" w:fill="auto"/>
          </w:tcPr>
          <w:p w:rsidR="00ED53B1" w:rsidRPr="008A0882" w:rsidRDefault="00ED53B1" w:rsidP="00ED53B1">
            <w:pPr>
              <w:jc w:val="center"/>
              <w:rPr>
                <w:rFonts w:cs="Arial"/>
                <w:szCs w:val="24"/>
              </w:rPr>
            </w:pPr>
            <w:r w:rsidRPr="008A0882">
              <w:rPr>
                <w:rFonts w:cs="Arial"/>
                <w:szCs w:val="24"/>
              </w:rPr>
              <w:t>60.8%</w:t>
            </w:r>
          </w:p>
        </w:tc>
        <w:tc>
          <w:tcPr>
            <w:tcW w:w="1275" w:type="dxa"/>
            <w:shd w:val="clear" w:color="auto" w:fill="auto"/>
          </w:tcPr>
          <w:p w:rsidR="00ED53B1" w:rsidRPr="008A0882" w:rsidRDefault="00ED53B1" w:rsidP="00ED53B1">
            <w:pPr>
              <w:jc w:val="center"/>
              <w:rPr>
                <w:rFonts w:cs="Arial"/>
                <w:szCs w:val="24"/>
              </w:rPr>
            </w:pPr>
            <w:r w:rsidRPr="008A0882">
              <w:rPr>
                <w:rFonts w:cs="Arial"/>
                <w:szCs w:val="24"/>
              </w:rPr>
              <w:t>59.5%</w:t>
            </w:r>
          </w:p>
        </w:tc>
        <w:tc>
          <w:tcPr>
            <w:tcW w:w="1276" w:type="dxa"/>
            <w:shd w:val="clear" w:color="auto" w:fill="auto"/>
          </w:tcPr>
          <w:p w:rsidR="00ED53B1" w:rsidRPr="008A0882" w:rsidRDefault="00ED53B1" w:rsidP="00ED53B1">
            <w:pPr>
              <w:jc w:val="center"/>
              <w:rPr>
                <w:rFonts w:cs="Arial"/>
                <w:szCs w:val="24"/>
              </w:rPr>
            </w:pPr>
            <w:r w:rsidRPr="008A0882">
              <w:rPr>
                <w:rFonts w:cs="Arial"/>
                <w:szCs w:val="24"/>
              </w:rPr>
              <w:t>27.4%</w:t>
            </w:r>
          </w:p>
        </w:tc>
        <w:tc>
          <w:tcPr>
            <w:tcW w:w="1134" w:type="dxa"/>
            <w:shd w:val="clear" w:color="auto" w:fill="auto"/>
          </w:tcPr>
          <w:p w:rsidR="00ED53B1" w:rsidRPr="008A0882" w:rsidRDefault="00ED53B1" w:rsidP="00ED53B1">
            <w:pPr>
              <w:jc w:val="center"/>
              <w:rPr>
                <w:rFonts w:cs="Arial"/>
                <w:szCs w:val="24"/>
              </w:rPr>
            </w:pPr>
            <w:r w:rsidRPr="008A0882">
              <w:rPr>
                <w:rFonts w:cs="Arial"/>
                <w:szCs w:val="24"/>
              </w:rPr>
              <w:t>26.5%</w:t>
            </w:r>
          </w:p>
        </w:tc>
        <w:tc>
          <w:tcPr>
            <w:tcW w:w="1276" w:type="dxa"/>
            <w:shd w:val="clear" w:color="auto" w:fill="auto"/>
          </w:tcPr>
          <w:p w:rsidR="00ED53B1" w:rsidRPr="008A0882" w:rsidRDefault="00ED53B1" w:rsidP="00ED53B1">
            <w:pPr>
              <w:jc w:val="center"/>
              <w:rPr>
                <w:rFonts w:cs="Arial"/>
                <w:szCs w:val="24"/>
              </w:rPr>
            </w:pPr>
            <w:r w:rsidRPr="008A0882">
              <w:rPr>
                <w:rFonts w:cs="Arial"/>
                <w:szCs w:val="24"/>
              </w:rPr>
              <w:t>66.5%</w:t>
            </w:r>
          </w:p>
        </w:tc>
        <w:tc>
          <w:tcPr>
            <w:tcW w:w="1417" w:type="dxa"/>
            <w:shd w:val="clear" w:color="auto" w:fill="auto"/>
          </w:tcPr>
          <w:p w:rsidR="00ED53B1" w:rsidRPr="008A0882" w:rsidRDefault="00ED53B1" w:rsidP="00ED53B1">
            <w:pPr>
              <w:jc w:val="center"/>
              <w:rPr>
                <w:rFonts w:cs="Arial"/>
                <w:szCs w:val="24"/>
              </w:rPr>
            </w:pPr>
            <w:r w:rsidRPr="008A0882">
              <w:rPr>
                <w:rFonts w:cs="Arial"/>
                <w:szCs w:val="24"/>
              </w:rPr>
              <w:t>63.9%</w:t>
            </w:r>
          </w:p>
        </w:tc>
      </w:tr>
    </w:tbl>
    <w:p w:rsidR="00ED53B1" w:rsidRPr="008A0882" w:rsidRDefault="00ED53B1" w:rsidP="00ED53B1">
      <w:pPr>
        <w:pStyle w:val="ListParagraph"/>
        <w:ind w:left="572"/>
        <w:contextualSpacing w:val="0"/>
        <w:rPr>
          <w:rFonts w:cs="Arial"/>
          <w:sz w:val="10"/>
          <w:szCs w:val="10"/>
        </w:rPr>
      </w:pPr>
    </w:p>
    <w:p w:rsidR="00ED53B1" w:rsidRPr="008A0882" w:rsidRDefault="00ED53B1" w:rsidP="00ED53B1">
      <w:pPr>
        <w:pStyle w:val="ListParagraph"/>
        <w:numPr>
          <w:ilvl w:val="0"/>
          <w:numId w:val="10"/>
        </w:numPr>
        <w:ind w:left="572" w:hanging="357"/>
        <w:contextualSpacing w:val="0"/>
        <w:rPr>
          <w:rFonts w:cs="Arial"/>
          <w:sz w:val="10"/>
          <w:szCs w:val="10"/>
        </w:rPr>
      </w:pPr>
      <w:r w:rsidRPr="008A0882">
        <w:rPr>
          <w:rFonts w:cs="Arial"/>
        </w:rPr>
        <w:t>The proportion of SEND students achieving Level 3 qualifications in Lancashire improved in 2017/18, remaining just below the national figure.</w:t>
      </w:r>
    </w:p>
    <w:p w:rsidR="00ED53B1" w:rsidRPr="008A0882" w:rsidRDefault="00ED53B1" w:rsidP="00ED53B1">
      <w:pPr>
        <w:pStyle w:val="ListParagraph"/>
        <w:numPr>
          <w:ilvl w:val="0"/>
          <w:numId w:val="10"/>
        </w:numPr>
        <w:ind w:left="572" w:hanging="357"/>
        <w:contextualSpacing w:val="0"/>
        <w:rPr>
          <w:rFonts w:cs="Arial"/>
          <w:sz w:val="10"/>
          <w:szCs w:val="10"/>
        </w:rPr>
      </w:pPr>
      <w:r w:rsidRPr="008A0882">
        <w:rPr>
          <w:rFonts w:cs="Arial"/>
        </w:rPr>
        <w:t>As is the case nationally, the proportion of SEND students achieving Level 3 qualifications is well below the proportion of pupils overall.</w:t>
      </w:r>
    </w:p>
    <w:p w:rsidR="00ED53B1" w:rsidRPr="008A0882" w:rsidRDefault="00ED53B1" w:rsidP="00E54BF9">
      <w:pPr>
        <w:autoSpaceDE w:val="0"/>
        <w:autoSpaceDN w:val="0"/>
        <w:adjustRightInd w:val="0"/>
        <w:rPr>
          <w:rFonts w:cs="Arial"/>
          <w:b/>
          <w:bCs/>
          <w:szCs w:val="24"/>
        </w:rPr>
      </w:pPr>
    </w:p>
    <w:p w:rsidR="009F65C2" w:rsidRPr="008A0882" w:rsidRDefault="009F65C2" w:rsidP="00E54BF9">
      <w:pPr>
        <w:autoSpaceDE w:val="0"/>
        <w:autoSpaceDN w:val="0"/>
        <w:adjustRightInd w:val="0"/>
        <w:rPr>
          <w:rFonts w:cs="Arial"/>
          <w:b/>
        </w:rPr>
      </w:pPr>
      <w:r w:rsidRPr="008A0882">
        <w:rPr>
          <w:rFonts w:cs="Arial"/>
          <w:b/>
        </w:rPr>
        <w:t>Key Stage 5: Young People Not in Education, Employment or Training (NEET)</w:t>
      </w:r>
    </w:p>
    <w:p w:rsidR="009F65C2" w:rsidRPr="008A0882" w:rsidRDefault="009F65C2" w:rsidP="00E54BF9">
      <w:pPr>
        <w:autoSpaceDE w:val="0"/>
        <w:autoSpaceDN w:val="0"/>
        <w:adjustRightInd w:val="0"/>
        <w:rPr>
          <w:rFonts w:cs="Arial"/>
          <w:szCs w:val="24"/>
        </w:rPr>
      </w:pPr>
    </w:p>
    <w:p w:rsidR="009F65C2" w:rsidRPr="008A0882" w:rsidRDefault="009F65C2" w:rsidP="00E54BF9">
      <w:pPr>
        <w:autoSpaceDE w:val="0"/>
        <w:autoSpaceDN w:val="0"/>
        <w:adjustRightInd w:val="0"/>
        <w:rPr>
          <w:rFonts w:cs="Arial"/>
          <w:szCs w:val="24"/>
        </w:rPr>
      </w:pPr>
      <w:r w:rsidRPr="008A0882">
        <w:rPr>
          <w:rFonts w:cs="Arial"/>
          <w:szCs w:val="24"/>
        </w:rPr>
        <w:t>December 2018 to February 2019 3 month average</w:t>
      </w:r>
    </w:p>
    <w:tbl>
      <w:tblPr>
        <w:tblW w:w="0" w:type="auto"/>
        <w:tblCellMar>
          <w:left w:w="0" w:type="dxa"/>
          <w:right w:w="0" w:type="dxa"/>
        </w:tblCellMar>
        <w:tblLook w:val="04A0" w:firstRow="1" w:lastRow="0" w:firstColumn="1" w:lastColumn="0" w:noHBand="0" w:noVBand="1"/>
      </w:tblPr>
      <w:tblGrid>
        <w:gridCol w:w="3544"/>
        <w:gridCol w:w="2938"/>
        <w:gridCol w:w="2525"/>
      </w:tblGrid>
      <w:tr w:rsidR="009F65C2" w:rsidRPr="008A0882" w:rsidTr="009F65C2">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65C2" w:rsidRPr="008A0882" w:rsidRDefault="009F65C2">
            <w:pPr>
              <w:rPr>
                <w:rFonts w:cs="Arial"/>
                <w:szCs w:val="24"/>
              </w:rPr>
            </w:pPr>
          </w:p>
        </w:tc>
        <w:tc>
          <w:tcPr>
            <w:tcW w:w="293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rsidR="009F65C2" w:rsidRPr="008A0882" w:rsidRDefault="009F65C2">
            <w:pPr>
              <w:jc w:val="center"/>
              <w:rPr>
                <w:rFonts w:cs="Arial"/>
                <w:b/>
                <w:bCs/>
                <w:szCs w:val="24"/>
              </w:rPr>
            </w:pPr>
            <w:r w:rsidRPr="008A0882">
              <w:rPr>
                <w:rFonts w:cs="Arial"/>
                <w:b/>
                <w:bCs/>
                <w:szCs w:val="24"/>
              </w:rPr>
              <w:t>Lancashire</w:t>
            </w:r>
          </w:p>
        </w:tc>
        <w:tc>
          <w:tcPr>
            <w:tcW w:w="252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F65C2" w:rsidRPr="008A0882" w:rsidRDefault="009F65C2">
            <w:pPr>
              <w:jc w:val="center"/>
              <w:rPr>
                <w:rFonts w:cs="Arial"/>
                <w:b/>
                <w:bCs/>
                <w:szCs w:val="24"/>
              </w:rPr>
            </w:pPr>
            <w:r w:rsidRPr="008A0882">
              <w:rPr>
                <w:rFonts w:cs="Arial"/>
                <w:b/>
                <w:bCs/>
                <w:szCs w:val="24"/>
              </w:rPr>
              <w:t>National</w:t>
            </w:r>
          </w:p>
        </w:tc>
      </w:tr>
      <w:tr w:rsidR="009F65C2" w:rsidRPr="008A0882" w:rsidTr="009F65C2">
        <w:tc>
          <w:tcPr>
            <w:tcW w:w="35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F65C2" w:rsidRPr="008A0882" w:rsidRDefault="009F65C2">
            <w:pPr>
              <w:rPr>
                <w:rFonts w:cs="Arial"/>
                <w:szCs w:val="24"/>
              </w:rPr>
            </w:pPr>
            <w:r w:rsidRPr="008A0882">
              <w:rPr>
                <w:rFonts w:cs="Arial"/>
                <w:szCs w:val="24"/>
              </w:rPr>
              <w:t>NEET</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 w:val="22"/>
                <w:szCs w:val="22"/>
              </w:rPr>
            </w:pPr>
            <w:r w:rsidRPr="008A0882">
              <w:rPr>
                <w:rFonts w:cs="Arial"/>
                <w:szCs w:val="24"/>
              </w:rPr>
              <w:t>2.1% (519 young people)</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2.6% (29,570)</w:t>
            </w:r>
          </w:p>
        </w:tc>
      </w:tr>
      <w:tr w:rsidR="009F65C2" w:rsidRPr="008A0882" w:rsidTr="009F65C2">
        <w:tc>
          <w:tcPr>
            <w:tcW w:w="35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F65C2" w:rsidRPr="008A0882" w:rsidRDefault="009F65C2">
            <w:pPr>
              <w:rPr>
                <w:rFonts w:cs="Arial"/>
                <w:szCs w:val="24"/>
              </w:rPr>
            </w:pPr>
            <w:r w:rsidRPr="008A0882">
              <w:rPr>
                <w:rFonts w:cs="Arial"/>
                <w:szCs w:val="24"/>
              </w:rPr>
              <w:t>Not Known</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 w:val="22"/>
                <w:szCs w:val="22"/>
              </w:rPr>
            </w:pPr>
            <w:r w:rsidRPr="008A0882">
              <w:rPr>
                <w:rFonts w:cs="Arial"/>
                <w:szCs w:val="24"/>
              </w:rPr>
              <w:t>8.0% (2,017)</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2.9% (32,163)</w:t>
            </w:r>
          </w:p>
        </w:tc>
      </w:tr>
      <w:tr w:rsidR="009F65C2" w:rsidRPr="008A0882" w:rsidTr="009F65C2">
        <w:tc>
          <w:tcPr>
            <w:tcW w:w="35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F65C2" w:rsidRPr="008A0882" w:rsidRDefault="009F65C2">
            <w:pPr>
              <w:rPr>
                <w:rFonts w:cs="Arial"/>
                <w:szCs w:val="24"/>
              </w:rPr>
            </w:pPr>
            <w:r w:rsidRPr="008A0882">
              <w:rPr>
                <w:rFonts w:cs="Arial"/>
                <w:szCs w:val="24"/>
              </w:rPr>
              <w:t>Combined NEET and Not Known</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Cs w:val="24"/>
              </w:rPr>
            </w:pPr>
            <w:r w:rsidRPr="008A0882">
              <w:rPr>
                <w:rFonts w:cs="Arial"/>
                <w:szCs w:val="24"/>
              </w:rPr>
              <w:t>10.0% (2,536)</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Cs w:val="24"/>
              </w:rPr>
            </w:pPr>
            <w:r w:rsidRPr="008A0882">
              <w:rPr>
                <w:rFonts w:cs="Arial"/>
                <w:szCs w:val="24"/>
              </w:rPr>
              <w:t>5.5% (61,733)</w:t>
            </w:r>
          </w:p>
        </w:tc>
      </w:tr>
    </w:tbl>
    <w:p w:rsidR="009F65C2" w:rsidRPr="008A0882" w:rsidRDefault="009F65C2" w:rsidP="00E54BF9">
      <w:pPr>
        <w:autoSpaceDE w:val="0"/>
        <w:autoSpaceDN w:val="0"/>
        <w:adjustRightInd w:val="0"/>
        <w:rPr>
          <w:rFonts w:cs="Arial"/>
          <w:b/>
          <w:bCs/>
          <w:color w:val="FF0000"/>
          <w:szCs w:val="24"/>
        </w:rPr>
      </w:pPr>
    </w:p>
    <w:p w:rsidR="009F65C2" w:rsidRPr="008A0882" w:rsidRDefault="009F65C2" w:rsidP="009F65C2">
      <w:pPr>
        <w:rPr>
          <w:rFonts w:cs="Arial"/>
          <w:szCs w:val="24"/>
        </w:rPr>
      </w:pPr>
      <w:r w:rsidRPr="008A0882">
        <w:rPr>
          <w:rFonts w:cs="Arial"/>
          <w:szCs w:val="24"/>
        </w:rPr>
        <w:t>Latest figures compared to same point last year</w:t>
      </w:r>
    </w:p>
    <w:tbl>
      <w:tblPr>
        <w:tblW w:w="0" w:type="auto"/>
        <w:tblCellMar>
          <w:left w:w="0" w:type="dxa"/>
          <w:right w:w="0" w:type="dxa"/>
        </w:tblCellMar>
        <w:tblLook w:val="04A0" w:firstRow="1" w:lastRow="0" w:firstColumn="1" w:lastColumn="0" w:noHBand="0" w:noVBand="1"/>
      </w:tblPr>
      <w:tblGrid>
        <w:gridCol w:w="2783"/>
        <w:gridCol w:w="2128"/>
        <w:gridCol w:w="1967"/>
        <w:gridCol w:w="2129"/>
      </w:tblGrid>
      <w:tr w:rsidR="009F65C2" w:rsidRPr="008A0882" w:rsidTr="009F65C2">
        <w:tc>
          <w:tcPr>
            <w:tcW w:w="278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rsidP="009F65C2">
            <w:pPr>
              <w:rPr>
                <w:rFonts w:cs="Arial"/>
                <w:sz w:val="22"/>
                <w:szCs w:val="22"/>
              </w:rPr>
            </w:pPr>
          </w:p>
        </w:tc>
        <w:tc>
          <w:tcPr>
            <w:tcW w:w="21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jc w:val="center"/>
              <w:rPr>
                <w:rFonts w:cs="Arial"/>
              </w:rPr>
            </w:pPr>
            <w:r w:rsidRPr="008A0882">
              <w:rPr>
                <w:rFonts w:cs="Arial"/>
                <w:b/>
                <w:bCs/>
                <w:szCs w:val="24"/>
              </w:rPr>
              <w:t>NEET</w:t>
            </w:r>
          </w:p>
        </w:tc>
        <w:tc>
          <w:tcPr>
            <w:tcW w:w="196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jc w:val="center"/>
              <w:rPr>
                <w:rFonts w:cs="Arial"/>
              </w:rPr>
            </w:pPr>
            <w:r w:rsidRPr="008A0882">
              <w:rPr>
                <w:rFonts w:cs="Arial"/>
                <w:b/>
                <w:bCs/>
                <w:szCs w:val="24"/>
              </w:rPr>
              <w:t>Not Known</w:t>
            </w:r>
          </w:p>
        </w:tc>
        <w:tc>
          <w:tcPr>
            <w:tcW w:w="212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jc w:val="center"/>
              <w:rPr>
                <w:rFonts w:cs="Arial"/>
              </w:rPr>
            </w:pPr>
            <w:r w:rsidRPr="008A0882">
              <w:rPr>
                <w:rFonts w:cs="Arial"/>
                <w:b/>
                <w:bCs/>
                <w:szCs w:val="24"/>
              </w:rPr>
              <w:t>Combined</w:t>
            </w:r>
          </w:p>
        </w:tc>
      </w:tr>
      <w:tr w:rsidR="009F65C2" w:rsidRPr="008A0882" w:rsidTr="009F65C2">
        <w:tc>
          <w:tcPr>
            <w:tcW w:w="278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rPr>
                <w:rFonts w:cs="Arial"/>
                <w:bCs/>
                <w:szCs w:val="24"/>
              </w:rPr>
            </w:pPr>
            <w:r w:rsidRPr="008A0882">
              <w:rPr>
                <w:rFonts w:cs="Arial"/>
                <w:bCs/>
                <w:szCs w:val="24"/>
              </w:rPr>
              <w:t>December 2019</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2.5% (639 young people)</w:t>
            </w:r>
          </w:p>
        </w:tc>
        <w:tc>
          <w:tcPr>
            <w:tcW w:w="1967"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5.6% (1,434)</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8.1% (2,073)</w:t>
            </w:r>
          </w:p>
        </w:tc>
      </w:tr>
      <w:tr w:rsidR="009F65C2" w:rsidRPr="008A0882" w:rsidTr="009F65C2">
        <w:tc>
          <w:tcPr>
            <w:tcW w:w="278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rPr>
                <w:rFonts w:cs="Arial"/>
              </w:rPr>
            </w:pPr>
            <w:r w:rsidRPr="008A0882">
              <w:rPr>
                <w:rFonts w:cs="Arial"/>
                <w:bCs/>
                <w:szCs w:val="24"/>
              </w:rPr>
              <w:t>December 2018</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1.9% (468 young people)</w:t>
            </w:r>
          </w:p>
        </w:tc>
        <w:tc>
          <w:tcPr>
            <w:tcW w:w="1967"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11.6% (2,903)</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rPr>
            </w:pPr>
            <w:r w:rsidRPr="008A0882">
              <w:rPr>
                <w:rFonts w:cs="Arial"/>
                <w:szCs w:val="24"/>
              </w:rPr>
              <w:t>13.5% (3,371)</w:t>
            </w:r>
          </w:p>
        </w:tc>
      </w:tr>
    </w:tbl>
    <w:p w:rsidR="009F65C2" w:rsidRPr="008A0882" w:rsidRDefault="009F65C2" w:rsidP="00E54BF9">
      <w:pPr>
        <w:autoSpaceDE w:val="0"/>
        <w:autoSpaceDN w:val="0"/>
        <w:adjustRightInd w:val="0"/>
        <w:rPr>
          <w:rFonts w:cs="Arial"/>
          <w:b/>
          <w:bCs/>
          <w:szCs w:val="24"/>
        </w:rPr>
      </w:pPr>
    </w:p>
    <w:p w:rsidR="0085689C" w:rsidRDefault="0085689C" w:rsidP="009F65C2">
      <w:pPr>
        <w:rPr>
          <w:rFonts w:cs="Arial"/>
          <w:b/>
          <w:bCs/>
          <w:szCs w:val="24"/>
          <w:lang w:val="en"/>
        </w:rPr>
      </w:pPr>
    </w:p>
    <w:p w:rsidR="00B5723B" w:rsidRDefault="00B5723B" w:rsidP="009F65C2">
      <w:pPr>
        <w:rPr>
          <w:rFonts w:cs="Arial"/>
          <w:b/>
          <w:bCs/>
          <w:szCs w:val="24"/>
          <w:lang w:val="en"/>
        </w:rPr>
      </w:pPr>
    </w:p>
    <w:p w:rsidR="0085689C" w:rsidRDefault="0085689C" w:rsidP="009F65C2">
      <w:pPr>
        <w:rPr>
          <w:rFonts w:cs="Arial"/>
          <w:b/>
          <w:bCs/>
          <w:szCs w:val="24"/>
          <w:lang w:val="en"/>
        </w:rPr>
      </w:pPr>
    </w:p>
    <w:p w:rsidR="009F65C2" w:rsidRPr="008A0882" w:rsidRDefault="00884FB1" w:rsidP="009F65C2">
      <w:pPr>
        <w:rPr>
          <w:rFonts w:cs="Arial"/>
          <w:szCs w:val="24"/>
        </w:rPr>
      </w:pPr>
      <w:r w:rsidRPr="008A0882">
        <w:rPr>
          <w:rFonts w:cs="Arial"/>
          <w:b/>
          <w:bCs/>
          <w:szCs w:val="24"/>
          <w:lang w:val="en"/>
        </w:rPr>
        <w:lastRenderedPageBreak/>
        <w:t>Proportion of Students staying in education or employment for at least two terms after 16 to 18 study (</w:t>
      </w:r>
      <w:r w:rsidRPr="008A0882">
        <w:rPr>
          <w:rFonts w:cs="Arial"/>
          <w:szCs w:val="24"/>
        </w:rPr>
        <w:t>for students studying Level 3 qualifications)</w:t>
      </w:r>
    </w:p>
    <w:tbl>
      <w:tblPr>
        <w:tblW w:w="0" w:type="auto"/>
        <w:tblCellMar>
          <w:left w:w="0" w:type="dxa"/>
          <w:right w:w="0" w:type="dxa"/>
        </w:tblCellMar>
        <w:tblLook w:val="04A0" w:firstRow="1" w:lastRow="0" w:firstColumn="1" w:lastColumn="0" w:noHBand="0" w:noVBand="1"/>
      </w:tblPr>
      <w:tblGrid>
        <w:gridCol w:w="3013"/>
        <w:gridCol w:w="2997"/>
        <w:gridCol w:w="2997"/>
      </w:tblGrid>
      <w:tr w:rsidR="00884FB1" w:rsidRPr="008A0882" w:rsidTr="009F65C2">
        <w:tc>
          <w:tcPr>
            <w:tcW w:w="31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65C2" w:rsidRPr="008A0882" w:rsidRDefault="009F65C2">
            <w:pPr>
              <w:rPr>
                <w:rFonts w:cs="Arial"/>
                <w:szCs w:val="24"/>
              </w:rPr>
            </w:pPr>
          </w:p>
        </w:tc>
        <w:tc>
          <w:tcPr>
            <w:tcW w:w="62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b/>
                <w:bCs/>
                <w:szCs w:val="24"/>
              </w:rPr>
            </w:pPr>
          </w:p>
        </w:tc>
      </w:tr>
      <w:tr w:rsidR="00884FB1" w:rsidRPr="008A0882" w:rsidTr="00884FB1">
        <w:tc>
          <w:tcPr>
            <w:tcW w:w="0" w:type="auto"/>
            <w:vMerge/>
            <w:tcBorders>
              <w:top w:val="single" w:sz="8" w:space="0" w:color="auto"/>
              <w:left w:val="single" w:sz="8" w:space="0" w:color="auto"/>
              <w:bottom w:val="single" w:sz="8" w:space="0" w:color="auto"/>
              <w:right w:val="single" w:sz="8" w:space="0" w:color="auto"/>
            </w:tcBorders>
            <w:vAlign w:val="center"/>
            <w:hideMark/>
          </w:tcPr>
          <w:p w:rsidR="009F65C2" w:rsidRPr="008A0882" w:rsidRDefault="009F65C2">
            <w:pPr>
              <w:rPr>
                <w:rFonts w:eastAsiaTheme="minorHAnsi" w:cs="Arial"/>
                <w:szCs w:val="24"/>
                <w:lang w:eastAsia="en-US"/>
              </w:rPr>
            </w:pPr>
          </w:p>
        </w:tc>
        <w:tc>
          <w:tcPr>
            <w:tcW w:w="3117"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jc w:val="center"/>
              <w:rPr>
                <w:rFonts w:cs="Arial"/>
                <w:b/>
                <w:bCs/>
                <w:szCs w:val="24"/>
              </w:rPr>
            </w:pPr>
            <w:r w:rsidRPr="008A0882">
              <w:rPr>
                <w:rFonts w:cs="Arial"/>
                <w:b/>
                <w:bCs/>
                <w:szCs w:val="24"/>
              </w:rPr>
              <w:t>2016/17</w:t>
            </w:r>
          </w:p>
        </w:tc>
        <w:tc>
          <w:tcPr>
            <w:tcW w:w="3117"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jc w:val="center"/>
              <w:rPr>
                <w:rFonts w:cs="Arial"/>
                <w:b/>
                <w:bCs/>
                <w:szCs w:val="24"/>
              </w:rPr>
            </w:pPr>
            <w:r w:rsidRPr="008A0882">
              <w:rPr>
                <w:rFonts w:cs="Arial"/>
                <w:b/>
                <w:bCs/>
                <w:szCs w:val="24"/>
              </w:rPr>
              <w:t>2017/18</w:t>
            </w:r>
          </w:p>
        </w:tc>
      </w:tr>
      <w:tr w:rsidR="00884FB1" w:rsidRPr="008A0882" w:rsidTr="00884FB1">
        <w:tc>
          <w:tcPr>
            <w:tcW w:w="3116"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rsidR="009F65C2" w:rsidRPr="008A0882" w:rsidRDefault="009F65C2">
            <w:pPr>
              <w:rPr>
                <w:rFonts w:cs="Arial"/>
                <w:szCs w:val="24"/>
              </w:rPr>
            </w:pPr>
            <w:r w:rsidRPr="008A0882">
              <w:rPr>
                <w:rFonts w:cs="Arial"/>
                <w:szCs w:val="24"/>
              </w:rPr>
              <w:t xml:space="preserve">Lancashire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Cs w:val="24"/>
              </w:rPr>
            </w:pPr>
            <w:r w:rsidRPr="008A0882">
              <w:rPr>
                <w:rFonts w:cs="Arial"/>
                <w:szCs w:val="24"/>
              </w:rPr>
              <w:t>90%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Cs w:val="24"/>
              </w:rPr>
            </w:pPr>
            <w:r w:rsidRPr="008A0882">
              <w:rPr>
                <w:rFonts w:cs="Arial"/>
                <w:szCs w:val="24"/>
              </w:rPr>
              <w:t>89%</w:t>
            </w:r>
          </w:p>
        </w:tc>
      </w:tr>
      <w:tr w:rsidR="00884FB1" w:rsidRPr="008A0882" w:rsidTr="00884FB1">
        <w:tc>
          <w:tcPr>
            <w:tcW w:w="3116"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F65C2" w:rsidRPr="008A0882" w:rsidRDefault="009F65C2">
            <w:pPr>
              <w:rPr>
                <w:rFonts w:cs="Arial"/>
                <w:szCs w:val="24"/>
              </w:rPr>
            </w:pPr>
            <w:r w:rsidRPr="008A0882">
              <w:rPr>
                <w:rFonts w:cs="Arial"/>
                <w:szCs w:val="24"/>
              </w:rPr>
              <w:t xml:space="preserve">National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Cs w:val="24"/>
              </w:rPr>
            </w:pPr>
            <w:r w:rsidRPr="008A0882">
              <w:rPr>
                <w:rFonts w:cs="Arial"/>
                <w:szCs w:val="24"/>
              </w:rPr>
              <w:t>89%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F65C2" w:rsidRPr="008A0882" w:rsidRDefault="009F65C2">
            <w:pPr>
              <w:jc w:val="center"/>
              <w:rPr>
                <w:rFonts w:cs="Arial"/>
                <w:szCs w:val="24"/>
              </w:rPr>
            </w:pPr>
            <w:r w:rsidRPr="008A0882">
              <w:rPr>
                <w:rFonts w:cs="Arial"/>
                <w:szCs w:val="24"/>
              </w:rPr>
              <w:t>88%</w:t>
            </w:r>
          </w:p>
        </w:tc>
      </w:tr>
    </w:tbl>
    <w:p w:rsidR="009F65C2" w:rsidRPr="008A0882" w:rsidRDefault="009F65C2" w:rsidP="009F65C2">
      <w:pPr>
        <w:rPr>
          <w:rFonts w:eastAsiaTheme="minorHAnsi" w:cs="Arial"/>
          <w:szCs w:val="24"/>
          <w:lang w:eastAsia="en-US"/>
        </w:rPr>
      </w:pPr>
    </w:p>
    <w:p w:rsidR="009F65C2" w:rsidRPr="008A0882" w:rsidRDefault="00884FB1" w:rsidP="009F65C2">
      <w:pPr>
        <w:pStyle w:val="ListParagraph"/>
        <w:numPr>
          <w:ilvl w:val="0"/>
          <w:numId w:val="10"/>
        </w:numPr>
        <w:ind w:left="572" w:hanging="357"/>
        <w:contextualSpacing w:val="0"/>
        <w:rPr>
          <w:rFonts w:cs="Arial"/>
          <w:sz w:val="10"/>
          <w:szCs w:val="10"/>
        </w:rPr>
      </w:pPr>
      <w:r w:rsidRPr="008A0882">
        <w:rPr>
          <w:rFonts w:cs="Arial"/>
        </w:rPr>
        <w:t>At the la</w:t>
      </w:r>
      <w:r w:rsidR="00E06197" w:rsidRPr="008A0882">
        <w:rPr>
          <w:rFonts w:cs="Arial"/>
        </w:rPr>
        <w:t>test official</w:t>
      </w:r>
      <w:r w:rsidRPr="008A0882">
        <w:rPr>
          <w:rFonts w:cs="Arial"/>
        </w:rPr>
        <w:t xml:space="preserve"> reporting period, the proportion of students in Lancashire who were NEET was well above the national figure, largely as a result of school-leaver destinations not being known</w:t>
      </w:r>
      <w:r w:rsidR="009F65C2" w:rsidRPr="008A0882">
        <w:rPr>
          <w:rFonts w:cs="Arial"/>
        </w:rPr>
        <w:t>.</w:t>
      </w:r>
    </w:p>
    <w:p w:rsidR="009F65C2" w:rsidRPr="008A0882" w:rsidRDefault="00884FB1" w:rsidP="009F65C2">
      <w:pPr>
        <w:pStyle w:val="ListParagraph"/>
        <w:numPr>
          <w:ilvl w:val="0"/>
          <w:numId w:val="10"/>
        </w:numPr>
        <w:ind w:left="572" w:hanging="357"/>
        <w:contextualSpacing w:val="0"/>
        <w:rPr>
          <w:rFonts w:cs="Arial"/>
          <w:sz w:val="10"/>
          <w:szCs w:val="10"/>
        </w:rPr>
      </w:pPr>
      <w:r w:rsidRPr="008A0882">
        <w:rPr>
          <w:rFonts w:cs="Arial"/>
        </w:rPr>
        <w:t>The latest figures suggest a notable improvement, whilst remaining higher than the national figure from the previous year</w:t>
      </w:r>
      <w:r w:rsidR="009F65C2" w:rsidRPr="008A0882">
        <w:rPr>
          <w:rFonts w:cs="Arial"/>
        </w:rPr>
        <w:t>.</w:t>
      </w:r>
    </w:p>
    <w:p w:rsidR="00884FB1" w:rsidRPr="008A0882" w:rsidRDefault="00884FB1" w:rsidP="009F65C2">
      <w:pPr>
        <w:pStyle w:val="ListParagraph"/>
        <w:numPr>
          <w:ilvl w:val="0"/>
          <w:numId w:val="10"/>
        </w:numPr>
        <w:ind w:left="572" w:hanging="357"/>
        <w:contextualSpacing w:val="0"/>
        <w:rPr>
          <w:rFonts w:cs="Arial"/>
          <w:sz w:val="10"/>
          <w:szCs w:val="10"/>
        </w:rPr>
      </w:pPr>
      <w:r w:rsidRPr="008A0882">
        <w:rPr>
          <w:rFonts w:cs="Arial"/>
        </w:rPr>
        <w:t>Once students gain a place in education, employment or training, more of them tend to stay on than do so nationally.</w:t>
      </w:r>
    </w:p>
    <w:p w:rsidR="009F65C2" w:rsidRPr="008A0882" w:rsidRDefault="009F65C2" w:rsidP="00E54BF9">
      <w:pPr>
        <w:autoSpaceDE w:val="0"/>
        <w:autoSpaceDN w:val="0"/>
        <w:adjustRightInd w:val="0"/>
        <w:rPr>
          <w:rFonts w:cs="Arial"/>
          <w:b/>
          <w:bCs/>
          <w:color w:val="00B050"/>
          <w:szCs w:val="24"/>
        </w:rPr>
      </w:pPr>
    </w:p>
    <w:p w:rsidR="00EA100B" w:rsidRPr="008A0882" w:rsidRDefault="00EA100B" w:rsidP="00E54BF9">
      <w:pPr>
        <w:autoSpaceDE w:val="0"/>
        <w:autoSpaceDN w:val="0"/>
        <w:adjustRightInd w:val="0"/>
        <w:rPr>
          <w:rFonts w:cs="Arial"/>
          <w:b/>
          <w:bCs/>
          <w:color w:val="FF0000"/>
          <w:szCs w:val="24"/>
        </w:rPr>
      </w:pPr>
    </w:p>
    <w:p w:rsidR="00E54BF9" w:rsidRPr="008A0882" w:rsidRDefault="00E54BF9" w:rsidP="00E54BF9">
      <w:pPr>
        <w:autoSpaceDE w:val="0"/>
        <w:autoSpaceDN w:val="0"/>
        <w:adjustRightInd w:val="0"/>
        <w:rPr>
          <w:rFonts w:cs="Arial"/>
          <w:b/>
          <w:bCs/>
          <w:color w:val="000000" w:themeColor="text1"/>
          <w:szCs w:val="24"/>
        </w:rPr>
      </w:pPr>
      <w:r w:rsidRPr="008A0882">
        <w:rPr>
          <w:rFonts w:cs="Arial"/>
          <w:b/>
          <w:bCs/>
          <w:color w:val="000000" w:themeColor="text1"/>
          <w:szCs w:val="24"/>
        </w:rPr>
        <w:t>Ofsted judgements</w:t>
      </w:r>
    </w:p>
    <w:p w:rsidR="00943FD6" w:rsidRPr="008A0882" w:rsidRDefault="00943FD6" w:rsidP="00E54BF9">
      <w:pPr>
        <w:autoSpaceDE w:val="0"/>
        <w:autoSpaceDN w:val="0"/>
        <w:adjustRightInd w:val="0"/>
        <w:rPr>
          <w:rFonts w:cs="Arial"/>
          <w:color w:val="FF0000"/>
          <w:szCs w:val="24"/>
        </w:rPr>
      </w:pPr>
    </w:p>
    <w:p w:rsidR="00943FD6" w:rsidRPr="008A0882" w:rsidRDefault="00943FD6" w:rsidP="00943FD6">
      <w:pPr>
        <w:autoSpaceDE w:val="0"/>
        <w:autoSpaceDN w:val="0"/>
        <w:adjustRightInd w:val="0"/>
        <w:spacing w:after="120"/>
        <w:jc w:val="both"/>
        <w:rPr>
          <w:rFonts w:cs="Arial"/>
          <w:color w:val="000000"/>
        </w:rPr>
      </w:pPr>
      <w:r w:rsidRPr="008A0882">
        <w:rPr>
          <w:rFonts w:cs="Arial"/>
          <w:color w:val="000000"/>
        </w:rPr>
        <w:t xml:space="preserve">Overall the quality of education has continued to be a strong picture in terms of Ofsted judgement outcomes. </w:t>
      </w:r>
    </w:p>
    <w:p w:rsidR="00943FD6" w:rsidRPr="008A0882" w:rsidRDefault="00943FD6" w:rsidP="00943FD6">
      <w:pPr>
        <w:autoSpaceDE w:val="0"/>
        <w:autoSpaceDN w:val="0"/>
        <w:adjustRightInd w:val="0"/>
        <w:spacing w:after="120"/>
        <w:jc w:val="both"/>
        <w:rPr>
          <w:rFonts w:cs="Arial"/>
          <w:color w:val="000000"/>
        </w:rPr>
      </w:pPr>
      <w:r w:rsidRPr="008A0882">
        <w:rPr>
          <w:rFonts w:cs="Arial"/>
          <w:color w:val="000000"/>
        </w:rPr>
        <w:t>Strongest areas continue to be in nursery (where PVI sector shows a clear rising trend over time in outstanding judgments), primary and special education with strong outcomes when compared with national averages with weaker outcomes being seen in secondary and Pupil Referral Unit (PRU) settings.</w:t>
      </w:r>
    </w:p>
    <w:p w:rsidR="00943FD6" w:rsidRPr="008A0882" w:rsidRDefault="00943FD6" w:rsidP="00943FD6">
      <w:pPr>
        <w:autoSpaceDE w:val="0"/>
        <w:autoSpaceDN w:val="0"/>
        <w:adjustRightInd w:val="0"/>
        <w:spacing w:after="120"/>
        <w:jc w:val="both"/>
        <w:rPr>
          <w:rFonts w:cs="Arial"/>
          <w:color w:val="000000"/>
        </w:rPr>
      </w:pPr>
      <w:r w:rsidRPr="008A0882">
        <w:rPr>
          <w:rFonts w:cs="Arial"/>
          <w:color w:val="000000"/>
        </w:rPr>
        <w:t xml:space="preserve">The number of schools retaining their outstanding status has declined in 2019 and this is a reflection in the change of criteria the judgement of outstanding, also seen nationally. </w:t>
      </w:r>
      <w:r w:rsidR="00E06197" w:rsidRPr="008A0882">
        <w:rPr>
          <w:rFonts w:cs="Arial"/>
          <w:color w:val="000000"/>
        </w:rPr>
        <w:t>There is also a decline in the proportion of schools judged to be good or outstanding.</w:t>
      </w:r>
    </w:p>
    <w:p w:rsidR="00943FD6" w:rsidRPr="008A0882" w:rsidRDefault="00943FD6" w:rsidP="00943FD6">
      <w:pPr>
        <w:autoSpaceDE w:val="0"/>
        <w:autoSpaceDN w:val="0"/>
        <w:adjustRightInd w:val="0"/>
        <w:spacing w:after="120"/>
        <w:jc w:val="both"/>
        <w:rPr>
          <w:rFonts w:cs="Arial"/>
          <w:color w:val="FF0000"/>
        </w:rPr>
      </w:pPr>
      <w:r w:rsidRPr="008A0882">
        <w:rPr>
          <w:rFonts w:cs="Arial"/>
          <w:color w:val="000000"/>
        </w:rPr>
        <w:t>Early indications from initial inspections under the 2019 E</w:t>
      </w:r>
      <w:r w:rsidR="00D77F0B">
        <w:rPr>
          <w:rFonts w:cs="Arial"/>
          <w:color w:val="000000"/>
        </w:rPr>
        <w:t xml:space="preserve">ducation </w:t>
      </w:r>
      <w:r w:rsidRPr="008A0882">
        <w:rPr>
          <w:rFonts w:cs="Arial"/>
          <w:color w:val="000000"/>
        </w:rPr>
        <w:t>I</w:t>
      </w:r>
      <w:r w:rsidR="00D77F0B">
        <w:rPr>
          <w:rFonts w:cs="Arial"/>
          <w:color w:val="000000"/>
        </w:rPr>
        <w:t xml:space="preserve">nspection </w:t>
      </w:r>
      <w:r w:rsidRPr="008A0882">
        <w:rPr>
          <w:rFonts w:cs="Arial"/>
          <w:color w:val="000000"/>
        </w:rPr>
        <w:t>F</w:t>
      </w:r>
      <w:r w:rsidR="00D77F0B">
        <w:rPr>
          <w:rFonts w:cs="Arial"/>
          <w:color w:val="000000"/>
        </w:rPr>
        <w:t>ramework</w:t>
      </w:r>
      <w:r w:rsidRPr="008A0882">
        <w:rPr>
          <w:rFonts w:cs="Arial"/>
          <w:color w:val="000000"/>
        </w:rPr>
        <w:t xml:space="preserve"> suggest that inspection outcomes are expected to sustain and improve further, as a result of an extended period of support to school leaders and governors to strengthen their key focus on the curriculum.</w:t>
      </w:r>
    </w:p>
    <w:p w:rsidR="00943FD6" w:rsidRPr="008A0882" w:rsidRDefault="00943FD6" w:rsidP="00943FD6">
      <w:pPr>
        <w:numPr>
          <w:ilvl w:val="0"/>
          <w:numId w:val="12"/>
        </w:numPr>
        <w:autoSpaceDE w:val="0"/>
        <w:autoSpaceDN w:val="0"/>
        <w:adjustRightInd w:val="0"/>
        <w:jc w:val="both"/>
        <w:rPr>
          <w:rFonts w:cs="Arial"/>
          <w:color w:val="000000"/>
        </w:rPr>
      </w:pPr>
      <w:r w:rsidRPr="008A0882">
        <w:rPr>
          <w:rFonts w:cs="Arial"/>
          <w:color w:val="000000"/>
        </w:rPr>
        <w:t>The percentage of maintained nursery schools attaining a good or better judgement is 96% (nationally this is 94%).</w:t>
      </w:r>
    </w:p>
    <w:p w:rsidR="00943FD6" w:rsidRPr="008A0882" w:rsidRDefault="00943FD6" w:rsidP="00943FD6">
      <w:pPr>
        <w:numPr>
          <w:ilvl w:val="0"/>
          <w:numId w:val="12"/>
        </w:numPr>
        <w:autoSpaceDE w:val="0"/>
        <w:autoSpaceDN w:val="0"/>
        <w:adjustRightInd w:val="0"/>
        <w:jc w:val="both"/>
        <w:rPr>
          <w:rFonts w:cs="Arial"/>
          <w:color w:val="000000"/>
        </w:rPr>
      </w:pPr>
      <w:r w:rsidRPr="008A0882">
        <w:rPr>
          <w:rFonts w:cs="Arial"/>
          <w:color w:val="000000"/>
        </w:rPr>
        <w:t>The percentage of primary schools attaining a good or better judgement is 92.9% well above the national average of 86.5%.</w:t>
      </w:r>
    </w:p>
    <w:p w:rsidR="00943FD6" w:rsidRPr="008A0882" w:rsidRDefault="00943FD6" w:rsidP="00943FD6">
      <w:pPr>
        <w:numPr>
          <w:ilvl w:val="0"/>
          <w:numId w:val="12"/>
        </w:numPr>
        <w:autoSpaceDE w:val="0"/>
        <w:autoSpaceDN w:val="0"/>
        <w:adjustRightInd w:val="0"/>
        <w:jc w:val="both"/>
        <w:rPr>
          <w:rFonts w:cs="Arial"/>
          <w:color w:val="000000"/>
        </w:rPr>
      </w:pPr>
      <w:r w:rsidRPr="008A0882">
        <w:rPr>
          <w:rFonts w:cs="Arial"/>
          <w:color w:val="000000"/>
        </w:rPr>
        <w:t>The percentage of secondary schools attaining a good or better judgement is 75.0% which is in line with the national average of 75.1%.</w:t>
      </w:r>
    </w:p>
    <w:p w:rsidR="00943FD6" w:rsidRPr="008A0882" w:rsidRDefault="00943FD6" w:rsidP="00943FD6">
      <w:pPr>
        <w:numPr>
          <w:ilvl w:val="0"/>
          <w:numId w:val="12"/>
        </w:numPr>
        <w:autoSpaceDE w:val="0"/>
        <w:autoSpaceDN w:val="0"/>
        <w:adjustRightInd w:val="0"/>
        <w:jc w:val="both"/>
        <w:rPr>
          <w:rFonts w:cs="Arial"/>
          <w:color w:val="000000"/>
        </w:rPr>
      </w:pPr>
      <w:r w:rsidRPr="008A0882">
        <w:rPr>
          <w:rFonts w:cs="Arial"/>
          <w:color w:val="000000"/>
        </w:rPr>
        <w:t>The percentage of special school settings attaining a good or better judgement is 96.7 % which is above the national average of 92%.</w:t>
      </w:r>
    </w:p>
    <w:p w:rsidR="00943FD6" w:rsidRPr="008A0882" w:rsidRDefault="00943FD6" w:rsidP="00943FD6">
      <w:pPr>
        <w:numPr>
          <w:ilvl w:val="0"/>
          <w:numId w:val="12"/>
        </w:numPr>
        <w:autoSpaceDE w:val="0"/>
        <w:autoSpaceDN w:val="0"/>
        <w:adjustRightInd w:val="0"/>
        <w:jc w:val="both"/>
        <w:rPr>
          <w:rFonts w:cs="Arial"/>
          <w:color w:val="000000"/>
        </w:rPr>
      </w:pPr>
      <w:r w:rsidRPr="008A0882">
        <w:rPr>
          <w:rFonts w:cs="Arial"/>
          <w:color w:val="000000"/>
        </w:rPr>
        <w:t>The percentage of PRU settings attaining a good or better judgement is 80% which is below the national average of 83%.</w:t>
      </w:r>
    </w:p>
    <w:p w:rsidR="00943FD6" w:rsidRPr="008A0882" w:rsidRDefault="00943FD6" w:rsidP="00943FD6">
      <w:pPr>
        <w:numPr>
          <w:ilvl w:val="0"/>
          <w:numId w:val="12"/>
        </w:numPr>
        <w:autoSpaceDE w:val="0"/>
        <w:autoSpaceDN w:val="0"/>
        <w:adjustRightInd w:val="0"/>
        <w:jc w:val="both"/>
        <w:rPr>
          <w:rFonts w:cs="Arial"/>
          <w:color w:val="000000"/>
        </w:rPr>
      </w:pPr>
      <w:r w:rsidRPr="008A0882">
        <w:rPr>
          <w:rFonts w:cs="Arial"/>
          <w:color w:val="000000"/>
        </w:rPr>
        <w:t>75% (six) of the colleges in Lancashire are rated as Good or Outstanding by Ofsted and 25% (two) of the colleges in Lancashire are rated as Requires Improvement by Ofsted.</w:t>
      </w:r>
    </w:p>
    <w:p w:rsidR="00943FD6" w:rsidRDefault="00943FD6" w:rsidP="00943FD6">
      <w:pPr>
        <w:autoSpaceDE w:val="0"/>
        <w:autoSpaceDN w:val="0"/>
        <w:adjustRightInd w:val="0"/>
        <w:jc w:val="both"/>
        <w:rPr>
          <w:rFonts w:cs="Arial"/>
          <w:color w:val="000000"/>
        </w:rPr>
      </w:pPr>
    </w:p>
    <w:p w:rsidR="0085689C" w:rsidRDefault="0085689C" w:rsidP="00943FD6">
      <w:pPr>
        <w:autoSpaceDE w:val="0"/>
        <w:autoSpaceDN w:val="0"/>
        <w:adjustRightInd w:val="0"/>
        <w:jc w:val="both"/>
        <w:rPr>
          <w:rFonts w:cs="Arial"/>
          <w:color w:val="000000"/>
        </w:rPr>
      </w:pPr>
    </w:p>
    <w:p w:rsidR="0085689C" w:rsidRDefault="0085689C" w:rsidP="00943FD6">
      <w:pPr>
        <w:autoSpaceDE w:val="0"/>
        <w:autoSpaceDN w:val="0"/>
        <w:adjustRightInd w:val="0"/>
        <w:jc w:val="both"/>
        <w:rPr>
          <w:rFonts w:cs="Arial"/>
          <w:color w:val="000000"/>
        </w:rPr>
      </w:pPr>
    </w:p>
    <w:p w:rsidR="0085689C" w:rsidRPr="008A0882" w:rsidRDefault="0085689C" w:rsidP="00943FD6">
      <w:pPr>
        <w:autoSpaceDE w:val="0"/>
        <w:autoSpaceDN w:val="0"/>
        <w:adjustRightInd w:val="0"/>
        <w:jc w:val="both"/>
        <w:rPr>
          <w:rFonts w:cs="Arial"/>
          <w:color w:val="000000"/>
        </w:rPr>
      </w:pPr>
    </w:p>
    <w:p w:rsidR="00943FD6" w:rsidRPr="008A0882" w:rsidRDefault="00943FD6" w:rsidP="00943FD6">
      <w:pPr>
        <w:spacing w:line="259" w:lineRule="auto"/>
        <w:ind w:left="142"/>
        <w:rPr>
          <w:rFonts w:eastAsiaTheme="minorHAnsi" w:cs="Arial"/>
          <w:b/>
          <w:color w:val="000000" w:themeColor="text1"/>
        </w:rPr>
      </w:pPr>
      <w:r w:rsidRPr="008A0882">
        <w:rPr>
          <w:rFonts w:eastAsiaTheme="minorHAnsi" w:cs="Arial"/>
          <w:b/>
          <w:color w:val="000000" w:themeColor="text1"/>
        </w:rPr>
        <w:lastRenderedPageBreak/>
        <w:t>Ofsted Inspections – Primary School 3 Year Trend (2017 – 2019)</w:t>
      </w:r>
    </w:p>
    <w:p w:rsidR="00943FD6" w:rsidRPr="008A0882" w:rsidRDefault="00943FD6" w:rsidP="00943FD6">
      <w:pPr>
        <w:ind w:left="436"/>
        <w:rPr>
          <w:rFonts w:eastAsiaTheme="minorHAnsi" w:cs="Arial"/>
          <w:b/>
          <w:sz w:val="10"/>
          <w:szCs w:val="10"/>
        </w:rPr>
      </w:pPr>
    </w:p>
    <w:tbl>
      <w:tblPr>
        <w:tblStyle w:val="TableGrid1"/>
        <w:tblW w:w="9214" w:type="dxa"/>
        <w:tblInd w:w="137" w:type="dxa"/>
        <w:tblLook w:val="04A0" w:firstRow="1" w:lastRow="0" w:firstColumn="1" w:lastColumn="0" w:noHBand="0" w:noVBand="1"/>
      </w:tblPr>
      <w:tblGrid>
        <w:gridCol w:w="1834"/>
        <w:gridCol w:w="1131"/>
        <w:gridCol w:w="985"/>
        <w:gridCol w:w="1131"/>
        <w:gridCol w:w="985"/>
        <w:gridCol w:w="1070"/>
        <w:gridCol w:w="944"/>
        <w:gridCol w:w="1134"/>
      </w:tblGrid>
      <w:tr w:rsidR="00943FD6" w:rsidRPr="008A0882" w:rsidTr="00D77F0B">
        <w:trPr>
          <w:trHeight w:val="338"/>
        </w:trPr>
        <w:tc>
          <w:tcPr>
            <w:tcW w:w="1834" w:type="dxa"/>
            <w:vMerge w:val="restart"/>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Judgement</w:t>
            </w:r>
          </w:p>
        </w:tc>
        <w:tc>
          <w:tcPr>
            <w:tcW w:w="2116" w:type="dxa"/>
            <w:gridSpan w:val="2"/>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2017</w:t>
            </w:r>
          </w:p>
        </w:tc>
        <w:tc>
          <w:tcPr>
            <w:tcW w:w="2116" w:type="dxa"/>
            <w:gridSpan w:val="2"/>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2018</w:t>
            </w:r>
          </w:p>
        </w:tc>
        <w:tc>
          <w:tcPr>
            <w:tcW w:w="2014" w:type="dxa"/>
            <w:gridSpan w:val="2"/>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2019</w:t>
            </w:r>
          </w:p>
        </w:tc>
        <w:tc>
          <w:tcPr>
            <w:tcW w:w="1134" w:type="dxa"/>
            <w:vMerge w:val="restart"/>
            <w:shd w:val="clear" w:color="auto" w:fill="D9D9D9" w:themeFill="background1" w:themeFillShade="D9"/>
            <w:vAlign w:val="center"/>
          </w:tcPr>
          <w:p w:rsidR="00943FD6" w:rsidRPr="00D77F0B" w:rsidRDefault="00943FD6" w:rsidP="00943FD6">
            <w:pPr>
              <w:jc w:val="center"/>
              <w:rPr>
                <w:rFonts w:cs="Arial"/>
                <w:szCs w:val="24"/>
              </w:rPr>
            </w:pPr>
            <w:r w:rsidRPr="00D77F0B">
              <w:rPr>
                <w:rFonts w:cs="Arial"/>
                <w:szCs w:val="24"/>
              </w:rPr>
              <w:t>3 Year Trend</w:t>
            </w:r>
          </w:p>
          <w:p w:rsidR="00943FD6" w:rsidRPr="008A0882" w:rsidRDefault="00943FD6" w:rsidP="00943FD6">
            <w:pPr>
              <w:jc w:val="center"/>
              <w:rPr>
                <w:rFonts w:cs="Arial"/>
                <w:szCs w:val="24"/>
              </w:rPr>
            </w:pPr>
            <w:r w:rsidRPr="008A0882">
              <w:rPr>
                <w:rFonts w:cs="Arial"/>
                <w:szCs w:val="24"/>
              </w:rPr>
              <w:t>%</w:t>
            </w:r>
          </w:p>
        </w:tc>
      </w:tr>
      <w:tr w:rsidR="00943FD6" w:rsidRPr="008A0882" w:rsidTr="00D77F0B">
        <w:trPr>
          <w:trHeight w:val="337"/>
        </w:trPr>
        <w:tc>
          <w:tcPr>
            <w:tcW w:w="1834" w:type="dxa"/>
            <w:vMerge/>
            <w:shd w:val="clear" w:color="auto" w:fill="D9D9D9" w:themeFill="background1" w:themeFillShade="D9"/>
            <w:vAlign w:val="center"/>
          </w:tcPr>
          <w:p w:rsidR="00943FD6" w:rsidRPr="008A0882" w:rsidRDefault="00943FD6" w:rsidP="00943FD6">
            <w:pPr>
              <w:jc w:val="center"/>
              <w:rPr>
                <w:rFonts w:cs="Arial"/>
                <w:szCs w:val="24"/>
              </w:rPr>
            </w:pPr>
          </w:p>
        </w:tc>
        <w:tc>
          <w:tcPr>
            <w:tcW w:w="1131"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Number</w:t>
            </w:r>
          </w:p>
        </w:tc>
        <w:tc>
          <w:tcPr>
            <w:tcW w:w="985"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w:t>
            </w:r>
          </w:p>
        </w:tc>
        <w:tc>
          <w:tcPr>
            <w:tcW w:w="1131"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Number</w:t>
            </w:r>
          </w:p>
        </w:tc>
        <w:tc>
          <w:tcPr>
            <w:tcW w:w="985"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w:t>
            </w:r>
          </w:p>
        </w:tc>
        <w:tc>
          <w:tcPr>
            <w:tcW w:w="1070"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Number</w:t>
            </w:r>
          </w:p>
        </w:tc>
        <w:tc>
          <w:tcPr>
            <w:tcW w:w="944"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w:t>
            </w:r>
          </w:p>
        </w:tc>
        <w:tc>
          <w:tcPr>
            <w:tcW w:w="1134" w:type="dxa"/>
            <w:vMerge/>
            <w:vAlign w:val="center"/>
          </w:tcPr>
          <w:p w:rsidR="00943FD6" w:rsidRPr="008A0882" w:rsidRDefault="00943FD6" w:rsidP="00943FD6">
            <w:pPr>
              <w:jc w:val="center"/>
              <w:rPr>
                <w:rFonts w:cs="Arial"/>
                <w:szCs w:val="24"/>
              </w:rPr>
            </w:pPr>
          </w:p>
        </w:tc>
      </w:tr>
      <w:tr w:rsidR="00943FD6" w:rsidRPr="008A0882" w:rsidTr="00D77F0B">
        <w:tc>
          <w:tcPr>
            <w:tcW w:w="1834" w:type="dxa"/>
            <w:shd w:val="clear" w:color="auto" w:fill="FFFFFF" w:themeFill="background1"/>
            <w:vAlign w:val="center"/>
          </w:tcPr>
          <w:p w:rsidR="00943FD6" w:rsidRPr="008A0882" w:rsidRDefault="00943FD6" w:rsidP="00943FD6">
            <w:pPr>
              <w:jc w:val="center"/>
              <w:rPr>
                <w:rFonts w:cs="Arial"/>
                <w:szCs w:val="24"/>
              </w:rPr>
            </w:pPr>
            <w:r w:rsidRPr="008A0882">
              <w:rPr>
                <w:rFonts w:cs="Arial"/>
                <w:szCs w:val="24"/>
              </w:rPr>
              <w:t>Outstanding</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99</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20.54</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100</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20.75</w:t>
            </w:r>
          </w:p>
        </w:tc>
        <w:tc>
          <w:tcPr>
            <w:tcW w:w="1070"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91</w:t>
            </w:r>
          </w:p>
        </w:tc>
        <w:tc>
          <w:tcPr>
            <w:tcW w:w="944"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18.88</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943FD6" w:rsidRPr="008A0882" w:rsidRDefault="00943FD6" w:rsidP="00943FD6">
            <w:pPr>
              <w:jc w:val="center"/>
              <w:rPr>
                <w:rFonts w:cs="Arial"/>
                <w:bCs/>
                <w:szCs w:val="24"/>
              </w:rPr>
            </w:pPr>
            <w:r w:rsidRPr="008A0882">
              <w:rPr>
                <w:rFonts w:cs="Arial"/>
                <w:bCs/>
                <w:szCs w:val="24"/>
              </w:rPr>
              <w:t>-1.66</w:t>
            </w:r>
          </w:p>
        </w:tc>
      </w:tr>
      <w:tr w:rsidR="00943FD6" w:rsidRPr="008A0882" w:rsidTr="00D77F0B">
        <w:tc>
          <w:tcPr>
            <w:tcW w:w="1834" w:type="dxa"/>
            <w:shd w:val="clear" w:color="auto" w:fill="FFFFFF" w:themeFill="background1"/>
            <w:vAlign w:val="center"/>
          </w:tcPr>
          <w:p w:rsidR="00943FD6" w:rsidRPr="008A0882" w:rsidRDefault="00943FD6" w:rsidP="00943FD6">
            <w:pPr>
              <w:jc w:val="center"/>
              <w:rPr>
                <w:rFonts w:cs="Arial"/>
                <w:szCs w:val="24"/>
              </w:rPr>
            </w:pPr>
            <w:r w:rsidRPr="008A0882">
              <w:rPr>
                <w:rFonts w:cs="Arial"/>
                <w:szCs w:val="24"/>
              </w:rPr>
              <w:t>Good</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353</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73.24</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344</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71.37</w:t>
            </w:r>
          </w:p>
        </w:tc>
        <w:tc>
          <w:tcPr>
            <w:tcW w:w="1070"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357</w:t>
            </w:r>
          </w:p>
        </w:tc>
        <w:tc>
          <w:tcPr>
            <w:tcW w:w="944"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74.07</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943FD6" w:rsidRPr="008A0882" w:rsidRDefault="00943FD6" w:rsidP="00943FD6">
            <w:pPr>
              <w:jc w:val="center"/>
              <w:rPr>
                <w:rFonts w:cs="Arial"/>
                <w:bCs/>
                <w:szCs w:val="24"/>
              </w:rPr>
            </w:pPr>
            <w:r w:rsidRPr="008A0882">
              <w:rPr>
                <w:rFonts w:cs="Arial"/>
                <w:bCs/>
                <w:szCs w:val="24"/>
              </w:rPr>
              <w:t>+0.83</w:t>
            </w:r>
          </w:p>
        </w:tc>
      </w:tr>
      <w:tr w:rsidR="00943FD6" w:rsidRPr="008A0882" w:rsidTr="00D77F0B">
        <w:tc>
          <w:tcPr>
            <w:tcW w:w="1834" w:type="dxa"/>
            <w:shd w:val="clear" w:color="auto" w:fill="FFFFFF" w:themeFill="background1"/>
            <w:vAlign w:val="center"/>
          </w:tcPr>
          <w:p w:rsidR="00943FD6" w:rsidRPr="008A0882" w:rsidRDefault="00943FD6" w:rsidP="00943FD6">
            <w:pPr>
              <w:jc w:val="center"/>
              <w:rPr>
                <w:rFonts w:cs="Arial"/>
                <w:szCs w:val="24"/>
              </w:rPr>
            </w:pPr>
            <w:r w:rsidRPr="008A0882">
              <w:rPr>
                <w:rFonts w:cs="Arial"/>
                <w:szCs w:val="24"/>
              </w:rPr>
              <w:t xml:space="preserve">Requires Improvement </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26</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5.39</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34</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7.05</w:t>
            </w:r>
          </w:p>
        </w:tc>
        <w:tc>
          <w:tcPr>
            <w:tcW w:w="1070"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29</w:t>
            </w:r>
          </w:p>
        </w:tc>
        <w:tc>
          <w:tcPr>
            <w:tcW w:w="944"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6.02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943FD6" w:rsidRPr="008A0882" w:rsidRDefault="00943FD6" w:rsidP="00943FD6">
            <w:pPr>
              <w:jc w:val="center"/>
              <w:rPr>
                <w:rFonts w:cs="Arial"/>
                <w:bCs/>
                <w:szCs w:val="24"/>
              </w:rPr>
            </w:pPr>
            <w:r w:rsidRPr="008A0882">
              <w:rPr>
                <w:rFonts w:cs="Arial"/>
                <w:bCs/>
                <w:szCs w:val="24"/>
              </w:rPr>
              <w:t>+0.63</w:t>
            </w:r>
          </w:p>
        </w:tc>
      </w:tr>
      <w:tr w:rsidR="00943FD6" w:rsidRPr="008A0882" w:rsidTr="00D77F0B">
        <w:tc>
          <w:tcPr>
            <w:tcW w:w="1834" w:type="dxa"/>
            <w:shd w:val="clear" w:color="auto" w:fill="FFFFFF" w:themeFill="background1"/>
            <w:vAlign w:val="center"/>
          </w:tcPr>
          <w:p w:rsidR="00943FD6" w:rsidRPr="008A0882" w:rsidRDefault="00943FD6" w:rsidP="00943FD6">
            <w:pPr>
              <w:jc w:val="center"/>
              <w:rPr>
                <w:rFonts w:cs="Arial"/>
                <w:szCs w:val="24"/>
              </w:rPr>
            </w:pPr>
            <w:r w:rsidRPr="008A0882">
              <w:rPr>
                <w:rFonts w:cs="Arial"/>
                <w:szCs w:val="24"/>
              </w:rPr>
              <w:t>Inadequate</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4</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0.83</w:t>
            </w:r>
          </w:p>
        </w:tc>
        <w:tc>
          <w:tcPr>
            <w:tcW w:w="1131"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4</w:t>
            </w:r>
          </w:p>
        </w:tc>
        <w:tc>
          <w:tcPr>
            <w:tcW w:w="985"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0.83</w:t>
            </w:r>
          </w:p>
        </w:tc>
        <w:tc>
          <w:tcPr>
            <w:tcW w:w="1070"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5</w:t>
            </w:r>
          </w:p>
        </w:tc>
        <w:tc>
          <w:tcPr>
            <w:tcW w:w="944" w:type="dxa"/>
            <w:tcBorders>
              <w:top w:val="nil"/>
              <w:left w:val="nil"/>
              <w:bottom w:val="single" w:sz="8" w:space="0" w:color="auto"/>
              <w:right w:val="single" w:sz="8" w:space="0" w:color="auto"/>
            </w:tcBorders>
            <w:vAlign w:val="center"/>
          </w:tcPr>
          <w:p w:rsidR="00943FD6" w:rsidRPr="008A0882" w:rsidRDefault="00943FD6" w:rsidP="00943FD6">
            <w:pPr>
              <w:jc w:val="center"/>
              <w:rPr>
                <w:rFonts w:cs="Arial"/>
                <w:bCs/>
                <w:szCs w:val="24"/>
              </w:rPr>
            </w:pPr>
            <w:r w:rsidRPr="008A0882">
              <w:rPr>
                <w:rFonts w:cs="Arial"/>
                <w:bCs/>
                <w:szCs w:val="24"/>
              </w:rPr>
              <w:t>1.04</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943FD6" w:rsidRPr="008A0882" w:rsidRDefault="00943FD6" w:rsidP="00943FD6">
            <w:pPr>
              <w:jc w:val="center"/>
              <w:rPr>
                <w:rFonts w:cs="Arial"/>
                <w:bCs/>
                <w:szCs w:val="24"/>
              </w:rPr>
            </w:pPr>
            <w:r w:rsidRPr="008A0882">
              <w:rPr>
                <w:rFonts w:cs="Arial"/>
                <w:bCs/>
                <w:szCs w:val="24"/>
              </w:rPr>
              <w:t>+0.21</w:t>
            </w:r>
          </w:p>
        </w:tc>
      </w:tr>
      <w:tr w:rsidR="00943FD6" w:rsidRPr="008A0882" w:rsidTr="00D77F0B">
        <w:tc>
          <w:tcPr>
            <w:tcW w:w="1834"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Total</w:t>
            </w:r>
          </w:p>
        </w:tc>
        <w:tc>
          <w:tcPr>
            <w:tcW w:w="1131"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482</w:t>
            </w:r>
          </w:p>
        </w:tc>
        <w:tc>
          <w:tcPr>
            <w:tcW w:w="985"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100</w:t>
            </w:r>
          </w:p>
        </w:tc>
        <w:tc>
          <w:tcPr>
            <w:tcW w:w="1131"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482</w:t>
            </w:r>
          </w:p>
        </w:tc>
        <w:tc>
          <w:tcPr>
            <w:tcW w:w="985"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100</w:t>
            </w:r>
          </w:p>
        </w:tc>
        <w:tc>
          <w:tcPr>
            <w:tcW w:w="1070"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482</w:t>
            </w:r>
          </w:p>
        </w:tc>
        <w:tc>
          <w:tcPr>
            <w:tcW w:w="944"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100</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943FD6" w:rsidRPr="008A0882" w:rsidRDefault="00943FD6" w:rsidP="00943FD6">
            <w:pPr>
              <w:jc w:val="center"/>
              <w:rPr>
                <w:rFonts w:cs="Arial"/>
                <w:bCs/>
                <w:szCs w:val="24"/>
              </w:rPr>
            </w:pPr>
          </w:p>
        </w:tc>
      </w:tr>
      <w:tr w:rsidR="00943FD6" w:rsidRPr="008A0882" w:rsidTr="00D77F0B">
        <w:tc>
          <w:tcPr>
            <w:tcW w:w="1834"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Good +</w:t>
            </w:r>
          </w:p>
        </w:tc>
        <w:tc>
          <w:tcPr>
            <w:tcW w:w="1131"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452</w:t>
            </w:r>
          </w:p>
        </w:tc>
        <w:tc>
          <w:tcPr>
            <w:tcW w:w="985"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93.8</w:t>
            </w:r>
          </w:p>
        </w:tc>
        <w:tc>
          <w:tcPr>
            <w:tcW w:w="1131"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444</w:t>
            </w:r>
          </w:p>
        </w:tc>
        <w:tc>
          <w:tcPr>
            <w:tcW w:w="985"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92.1</w:t>
            </w:r>
          </w:p>
        </w:tc>
        <w:tc>
          <w:tcPr>
            <w:tcW w:w="1070"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448</w:t>
            </w:r>
          </w:p>
        </w:tc>
        <w:tc>
          <w:tcPr>
            <w:tcW w:w="944" w:type="dxa"/>
            <w:tcBorders>
              <w:top w:val="nil"/>
              <w:left w:val="nil"/>
              <w:bottom w:val="single" w:sz="8" w:space="0" w:color="auto"/>
              <w:right w:val="single" w:sz="8" w:space="0" w:color="auto"/>
            </w:tcBorders>
            <w:shd w:val="clear" w:color="auto" w:fill="FBE4D5"/>
            <w:vAlign w:val="center"/>
          </w:tcPr>
          <w:p w:rsidR="00943FD6" w:rsidRPr="008A0882" w:rsidRDefault="00943FD6" w:rsidP="00943FD6">
            <w:pPr>
              <w:jc w:val="center"/>
              <w:rPr>
                <w:rFonts w:cs="Arial"/>
                <w:bCs/>
                <w:szCs w:val="24"/>
              </w:rPr>
            </w:pPr>
            <w:r w:rsidRPr="008A0882">
              <w:rPr>
                <w:rFonts w:cs="Arial"/>
                <w:bCs/>
                <w:szCs w:val="24"/>
              </w:rPr>
              <w:t>92.95</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943FD6" w:rsidRPr="008A0882" w:rsidRDefault="003C3E90" w:rsidP="00943FD6">
            <w:pPr>
              <w:jc w:val="center"/>
              <w:rPr>
                <w:rFonts w:cs="Arial"/>
                <w:bCs/>
                <w:szCs w:val="24"/>
              </w:rPr>
            </w:pPr>
            <w:r w:rsidRPr="008A0882">
              <w:rPr>
                <w:rFonts w:cs="Arial"/>
                <w:bCs/>
                <w:szCs w:val="24"/>
              </w:rPr>
              <w:t>-0.13</w:t>
            </w:r>
          </w:p>
        </w:tc>
      </w:tr>
    </w:tbl>
    <w:p w:rsidR="00943FD6" w:rsidRPr="008A0882" w:rsidRDefault="00943FD6" w:rsidP="00943FD6">
      <w:pPr>
        <w:autoSpaceDE w:val="0"/>
        <w:autoSpaceDN w:val="0"/>
        <w:adjustRightInd w:val="0"/>
        <w:jc w:val="both"/>
        <w:rPr>
          <w:rFonts w:cs="Arial"/>
          <w:color w:val="000000"/>
        </w:rPr>
      </w:pPr>
    </w:p>
    <w:p w:rsidR="00943FD6" w:rsidRPr="008A0882" w:rsidRDefault="00943FD6" w:rsidP="00943FD6">
      <w:pPr>
        <w:spacing w:after="160" w:line="259" w:lineRule="auto"/>
        <w:ind w:left="142"/>
        <w:rPr>
          <w:rFonts w:eastAsiaTheme="minorHAnsi" w:cs="Arial"/>
          <w:b/>
          <w:color w:val="000000" w:themeColor="text1"/>
        </w:rPr>
      </w:pPr>
      <w:r w:rsidRPr="008A0882">
        <w:rPr>
          <w:rFonts w:eastAsiaTheme="minorHAnsi" w:cs="Arial"/>
          <w:b/>
          <w:color w:val="000000" w:themeColor="text1"/>
        </w:rPr>
        <w:t xml:space="preserve">Ofsted Inspections – Secondary School 3 Year Trend (2017 – 2019) </w:t>
      </w:r>
    </w:p>
    <w:tbl>
      <w:tblPr>
        <w:tblStyle w:val="TableGrid2"/>
        <w:tblW w:w="9214" w:type="dxa"/>
        <w:tblInd w:w="137" w:type="dxa"/>
        <w:tblLook w:val="04A0" w:firstRow="1" w:lastRow="0" w:firstColumn="1" w:lastColumn="0" w:noHBand="0" w:noVBand="1"/>
      </w:tblPr>
      <w:tblGrid>
        <w:gridCol w:w="1725"/>
        <w:gridCol w:w="1192"/>
        <w:gridCol w:w="1036"/>
        <w:gridCol w:w="1070"/>
        <w:gridCol w:w="1072"/>
        <w:gridCol w:w="1134"/>
        <w:gridCol w:w="851"/>
        <w:gridCol w:w="1134"/>
      </w:tblGrid>
      <w:tr w:rsidR="00943FD6" w:rsidRPr="008A0882" w:rsidTr="00D77F0B">
        <w:trPr>
          <w:trHeight w:val="338"/>
        </w:trPr>
        <w:tc>
          <w:tcPr>
            <w:tcW w:w="1725" w:type="dxa"/>
            <w:vMerge w:val="restart"/>
            <w:shd w:val="clear" w:color="auto" w:fill="D9D9D9" w:themeFill="background1" w:themeFillShade="D9"/>
            <w:vAlign w:val="center"/>
          </w:tcPr>
          <w:p w:rsidR="00943FD6" w:rsidRPr="008A0882" w:rsidRDefault="00943FD6" w:rsidP="00943FD6">
            <w:pPr>
              <w:rPr>
                <w:rFonts w:cs="Arial"/>
                <w:b/>
                <w:szCs w:val="24"/>
              </w:rPr>
            </w:pPr>
            <w:r w:rsidRPr="008A0882">
              <w:rPr>
                <w:rFonts w:cs="Arial"/>
                <w:b/>
                <w:szCs w:val="24"/>
              </w:rPr>
              <w:t>Judgement</w:t>
            </w:r>
          </w:p>
        </w:tc>
        <w:tc>
          <w:tcPr>
            <w:tcW w:w="2228" w:type="dxa"/>
            <w:gridSpan w:val="2"/>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2017</w:t>
            </w:r>
          </w:p>
        </w:tc>
        <w:tc>
          <w:tcPr>
            <w:tcW w:w="2142" w:type="dxa"/>
            <w:gridSpan w:val="2"/>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2018</w:t>
            </w:r>
          </w:p>
        </w:tc>
        <w:tc>
          <w:tcPr>
            <w:tcW w:w="1985" w:type="dxa"/>
            <w:gridSpan w:val="2"/>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2019</w:t>
            </w:r>
          </w:p>
        </w:tc>
        <w:tc>
          <w:tcPr>
            <w:tcW w:w="1134" w:type="dxa"/>
            <w:vMerge w:val="restart"/>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3 Year Trend</w:t>
            </w:r>
          </w:p>
          <w:p w:rsidR="00943FD6" w:rsidRPr="008A0882" w:rsidRDefault="003C3E90" w:rsidP="00943FD6">
            <w:pPr>
              <w:jc w:val="center"/>
              <w:rPr>
                <w:rFonts w:cs="Arial"/>
                <w:szCs w:val="24"/>
              </w:rPr>
            </w:pPr>
            <w:r w:rsidRPr="008A0882">
              <w:rPr>
                <w:rFonts w:cs="Arial"/>
                <w:szCs w:val="24"/>
              </w:rPr>
              <w:t>%</w:t>
            </w:r>
          </w:p>
        </w:tc>
      </w:tr>
      <w:tr w:rsidR="00943FD6" w:rsidRPr="008A0882" w:rsidTr="00D77F0B">
        <w:trPr>
          <w:trHeight w:val="337"/>
        </w:trPr>
        <w:tc>
          <w:tcPr>
            <w:tcW w:w="1725" w:type="dxa"/>
            <w:vMerge/>
            <w:shd w:val="clear" w:color="auto" w:fill="D9D9D9" w:themeFill="background1" w:themeFillShade="D9"/>
            <w:vAlign w:val="center"/>
          </w:tcPr>
          <w:p w:rsidR="00943FD6" w:rsidRPr="008A0882" w:rsidRDefault="00943FD6" w:rsidP="00943FD6">
            <w:pPr>
              <w:rPr>
                <w:rFonts w:cs="Arial"/>
                <w:b/>
                <w:szCs w:val="24"/>
              </w:rPr>
            </w:pPr>
          </w:p>
        </w:tc>
        <w:tc>
          <w:tcPr>
            <w:tcW w:w="1192"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Number</w:t>
            </w:r>
          </w:p>
        </w:tc>
        <w:tc>
          <w:tcPr>
            <w:tcW w:w="1036"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w:t>
            </w:r>
          </w:p>
        </w:tc>
        <w:tc>
          <w:tcPr>
            <w:tcW w:w="1070"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Number</w:t>
            </w:r>
          </w:p>
        </w:tc>
        <w:tc>
          <w:tcPr>
            <w:tcW w:w="1072"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w:t>
            </w:r>
          </w:p>
        </w:tc>
        <w:tc>
          <w:tcPr>
            <w:tcW w:w="1134"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Number</w:t>
            </w:r>
          </w:p>
        </w:tc>
        <w:tc>
          <w:tcPr>
            <w:tcW w:w="851" w:type="dxa"/>
            <w:shd w:val="clear" w:color="auto" w:fill="D9D9D9" w:themeFill="background1" w:themeFillShade="D9"/>
            <w:vAlign w:val="center"/>
          </w:tcPr>
          <w:p w:rsidR="00943FD6" w:rsidRPr="008A0882" w:rsidRDefault="00943FD6" w:rsidP="00943FD6">
            <w:pPr>
              <w:jc w:val="center"/>
              <w:rPr>
                <w:rFonts w:cs="Arial"/>
                <w:szCs w:val="24"/>
              </w:rPr>
            </w:pPr>
            <w:r w:rsidRPr="008A0882">
              <w:rPr>
                <w:rFonts w:cs="Arial"/>
                <w:szCs w:val="24"/>
              </w:rPr>
              <w:t>%</w:t>
            </w:r>
          </w:p>
        </w:tc>
        <w:tc>
          <w:tcPr>
            <w:tcW w:w="1134" w:type="dxa"/>
            <w:vMerge/>
            <w:tcBorders>
              <w:bottom w:val="single" w:sz="4" w:space="0" w:color="auto"/>
            </w:tcBorders>
            <w:vAlign w:val="center"/>
          </w:tcPr>
          <w:p w:rsidR="00943FD6" w:rsidRPr="008A0882" w:rsidRDefault="00943FD6" w:rsidP="00943FD6">
            <w:pPr>
              <w:jc w:val="center"/>
              <w:rPr>
                <w:rFonts w:cs="Arial"/>
                <w:szCs w:val="24"/>
              </w:rPr>
            </w:pPr>
          </w:p>
        </w:tc>
      </w:tr>
      <w:tr w:rsidR="00943FD6" w:rsidRPr="008A0882" w:rsidTr="00D77F0B">
        <w:tc>
          <w:tcPr>
            <w:tcW w:w="1725" w:type="dxa"/>
            <w:shd w:val="clear" w:color="auto" w:fill="FFFFFF" w:themeFill="background1"/>
            <w:vAlign w:val="center"/>
          </w:tcPr>
          <w:p w:rsidR="00943FD6" w:rsidRPr="008A0882" w:rsidRDefault="00943FD6" w:rsidP="00943FD6">
            <w:pPr>
              <w:rPr>
                <w:rFonts w:cs="Arial"/>
                <w:b/>
                <w:szCs w:val="24"/>
              </w:rPr>
            </w:pPr>
            <w:r w:rsidRPr="008A0882">
              <w:rPr>
                <w:rFonts w:cs="Arial"/>
                <w:b/>
                <w:szCs w:val="24"/>
              </w:rPr>
              <w:t>Outstanding</w:t>
            </w:r>
          </w:p>
        </w:tc>
        <w:tc>
          <w:tcPr>
            <w:tcW w:w="1192" w:type="dxa"/>
            <w:vAlign w:val="center"/>
          </w:tcPr>
          <w:p w:rsidR="00943FD6" w:rsidRPr="008A0882" w:rsidRDefault="00943FD6" w:rsidP="00943FD6">
            <w:pPr>
              <w:jc w:val="center"/>
              <w:rPr>
                <w:rFonts w:cs="Arial"/>
                <w:szCs w:val="24"/>
              </w:rPr>
            </w:pPr>
            <w:r w:rsidRPr="008A0882">
              <w:rPr>
                <w:rFonts w:cs="Arial"/>
                <w:szCs w:val="24"/>
              </w:rPr>
              <w:t>17</w:t>
            </w:r>
          </w:p>
        </w:tc>
        <w:tc>
          <w:tcPr>
            <w:tcW w:w="1036" w:type="dxa"/>
            <w:vAlign w:val="center"/>
          </w:tcPr>
          <w:p w:rsidR="00943FD6" w:rsidRPr="008A0882" w:rsidRDefault="00943FD6" w:rsidP="00943FD6">
            <w:pPr>
              <w:jc w:val="center"/>
              <w:rPr>
                <w:rFonts w:cs="Arial"/>
                <w:szCs w:val="24"/>
              </w:rPr>
            </w:pPr>
            <w:r w:rsidRPr="008A0882">
              <w:rPr>
                <w:rFonts w:cs="Arial"/>
                <w:szCs w:val="24"/>
              </w:rPr>
              <w:t>20.48</w:t>
            </w:r>
          </w:p>
        </w:tc>
        <w:tc>
          <w:tcPr>
            <w:tcW w:w="1070" w:type="dxa"/>
            <w:vAlign w:val="center"/>
          </w:tcPr>
          <w:p w:rsidR="00943FD6" w:rsidRPr="008A0882" w:rsidRDefault="00943FD6" w:rsidP="00943FD6">
            <w:pPr>
              <w:jc w:val="center"/>
              <w:rPr>
                <w:rFonts w:cs="Arial"/>
                <w:szCs w:val="24"/>
              </w:rPr>
            </w:pPr>
            <w:r w:rsidRPr="008A0882">
              <w:rPr>
                <w:rFonts w:cs="Arial"/>
                <w:szCs w:val="24"/>
              </w:rPr>
              <w:t>18</w:t>
            </w:r>
          </w:p>
        </w:tc>
        <w:tc>
          <w:tcPr>
            <w:tcW w:w="1072" w:type="dxa"/>
            <w:vAlign w:val="center"/>
          </w:tcPr>
          <w:p w:rsidR="00943FD6" w:rsidRPr="008A0882" w:rsidRDefault="00943FD6" w:rsidP="00943FD6">
            <w:pPr>
              <w:jc w:val="center"/>
              <w:rPr>
                <w:rFonts w:cs="Arial"/>
                <w:szCs w:val="24"/>
              </w:rPr>
            </w:pPr>
            <w:r w:rsidRPr="008A0882">
              <w:rPr>
                <w:rFonts w:cs="Arial"/>
                <w:szCs w:val="24"/>
              </w:rPr>
              <w:t>21.43</w:t>
            </w:r>
          </w:p>
        </w:tc>
        <w:tc>
          <w:tcPr>
            <w:tcW w:w="1134" w:type="dxa"/>
            <w:vAlign w:val="center"/>
          </w:tcPr>
          <w:p w:rsidR="00943FD6" w:rsidRPr="008A0882" w:rsidRDefault="00943FD6" w:rsidP="00943FD6">
            <w:pPr>
              <w:jc w:val="center"/>
              <w:rPr>
                <w:rFonts w:cs="Arial"/>
                <w:szCs w:val="24"/>
              </w:rPr>
            </w:pPr>
            <w:r w:rsidRPr="008A0882">
              <w:rPr>
                <w:rFonts w:cs="Arial"/>
                <w:szCs w:val="24"/>
              </w:rPr>
              <w:t>19</w:t>
            </w:r>
          </w:p>
        </w:tc>
        <w:tc>
          <w:tcPr>
            <w:tcW w:w="851" w:type="dxa"/>
            <w:vAlign w:val="center"/>
          </w:tcPr>
          <w:p w:rsidR="00943FD6" w:rsidRPr="008A0882" w:rsidRDefault="00943FD6" w:rsidP="00943FD6">
            <w:pPr>
              <w:jc w:val="center"/>
              <w:rPr>
                <w:rFonts w:cs="Arial"/>
                <w:szCs w:val="24"/>
              </w:rPr>
            </w:pPr>
            <w:r w:rsidRPr="008A0882">
              <w:rPr>
                <w:rFonts w:cs="Arial"/>
                <w:szCs w:val="24"/>
              </w:rPr>
              <w:t>22.62</w:t>
            </w:r>
          </w:p>
        </w:tc>
        <w:tc>
          <w:tcPr>
            <w:tcW w:w="1134" w:type="dxa"/>
            <w:shd w:val="clear" w:color="auto" w:fill="D9D9D9" w:themeFill="background1" w:themeFillShade="D9"/>
            <w:vAlign w:val="center"/>
          </w:tcPr>
          <w:p w:rsidR="00943FD6" w:rsidRPr="008A0882" w:rsidRDefault="003C3E90" w:rsidP="00943FD6">
            <w:pPr>
              <w:jc w:val="center"/>
              <w:rPr>
                <w:rFonts w:cs="Arial"/>
                <w:color w:val="000000" w:themeColor="text1"/>
                <w:szCs w:val="24"/>
              </w:rPr>
            </w:pPr>
            <w:r w:rsidRPr="008A0882">
              <w:rPr>
                <w:rFonts w:cs="Arial"/>
                <w:color w:val="000000" w:themeColor="text1"/>
                <w:szCs w:val="24"/>
              </w:rPr>
              <w:t>+2.14</w:t>
            </w:r>
          </w:p>
        </w:tc>
      </w:tr>
      <w:tr w:rsidR="00943FD6" w:rsidRPr="008A0882" w:rsidTr="00D77F0B">
        <w:tc>
          <w:tcPr>
            <w:tcW w:w="1725" w:type="dxa"/>
            <w:shd w:val="clear" w:color="auto" w:fill="FFFFFF" w:themeFill="background1"/>
            <w:vAlign w:val="center"/>
          </w:tcPr>
          <w:p w:rsidR="00943FD6" w:rsidRPr="008A0882" w:rsidRDefault="00943FD6" w:rsidP="00943FD6">
            <w:pPr>
              <w:rPr>
                <w:rFonts w:cs="Arial"/>
                <w:b/>
                <w:szCs w:val="24"/>
              </w:rPr>
            </w:pPr>
            <w:r w:rsidRPr="008A0882">
              <w:rPr>
                <w:rFonts w:cs="Arial"/>
                <w:b/>
                <w:szCs w:val="24"/>
              </w:rPr>
              <w:t>Good</w:t>
            </w:r>
          </w:p>
        </w:tc>
        <w:tc>
          <w:tcPr>
            <w:tcW w:w="1192" w:type="dxa"/>
            <w:vAlign w:val="center"/>
          </w:tcPr>
          <w:p w:rsidR="00943FD6" w:rsidRPr="008A0882" w:rsidRDefault="00943FD6" w:rsidP="00943FD6">
            <w:pPr>
              <w:jc w:val="center"/>
              <w:rPr>
                <w:rFonts w:cs="Arial"/>
                <w:szCs w:val="24"/>
              </w:rPr>
            </w:pPr>
            <w:r w:rsidRPr="008A0882">
              <w:rPr>
                <w:rFonts w:cs="Arial"/>
                <w:szCs w:val="24"/>
              </w:rPr>
              <w:t>48</w:t>
            </w:r>
          </w:p>
        </w:tc>
        <w:tc>
          <w:tcPr>
            <w:tcW w:w="1036" w:type="dxa"/>
            <w:vAlign w:val="center"/>
          </w:tcPr>
          <w:p w:rsidR="00943FD6" w:rsidRPr="008A0882" w:rsidRDefault="00943FD6" w:rsidP="00943FD6">
            <w:pPr>
              <w:jc w:val="center"/>
              <w:rPr>
                <w:rFonts w:cs="Arial"/>
                <w:szCs w:val="24"/>
              </w:rPr>
            </w:pPr>
            <w:r w:rsidRPr="008A0882">
              <w:rPr>
                <w:rFonts w:cs="Arial"/>
                <w:szCs w:val="24"/>
              </w:rPr>
              <w:t>57.83</w:t>
            </w:r>
          </w:p>
        </w:tc>
        <w:tc>
          <w:tcPr>
            <w:tcW w:w="1070" w:type="dxa"/>
            <w:vAlign w:val="center"/>
          </w:tcPr>
          <w:p w:rsidR="00943FD6" w:rsidRPr="008A0882" w:rsidRDefault="00943FD6" w:rsidP="00943FD6">
            <w:pPr>
              <w:jc w:val="center"/>
              <w:rPr>
                <w:rFonts w:cs="Arial"/>
                <w:szCs w:val="24"/>
              </w:rPr>
            </w:pPr>
            <w:r w:rsidRPr="008A0882">
              <w:rPr>
                <w:rFonts w:cs="Arial"/>
                <w:szCs w:val="24"/>
              </w:rPr>
              <w:t>43</w:t>
            </w:r>
          </w:p>
        </w:tc>
        <w:tc>
          <w:tcPr>
            <w:tcW w:w="1072" w:type="dxa"/>
            <w:vAlign w:val="center"/>
          </w:tcPr>
          <w:p w:rsidR="00943FD6" w:rsidRPr="008A0882" w:rsidRDefault="00943FD6" w:rsidP="00943FD6">
            <w:pPr>
              <w:jc w:val="center"/>
              <w:rPr>
                <w:rFonts w:cs="Arial"/>
                <w:szCs w:val="24"/>
              </w:rPr>
            </w:pPr>
            <w:r w:rsidRPr="008A0882">
              <w:rPr>
                <w:rFonts w:cs="Arial"/>
                <w:szCs w:val="24"/>
              </w:rPr>
              <w:t>51.19</w:t>
            </w:r>
          </w:p>
        </w:tc>
        <w:tc>
          <w:tcPr>
            <w:tcW w:w="1134" w:type="dxa"/>
            <w:vAlign w:val="center"/>
          </w:tcPr>
          <w:p w:rsidR="00943FD6" w:rsidRPr="008A0882" w:rsidRDefault="00943FD6" w:rsidP="00943FD6">
            <w:pPr>
              <w:jc w:val="center"/>
              <w:rPr>
                <w:rFonts w:cs="Arial"/>
                <w:szCs w:val="24"/>
              </w:rPr>
            </w:pPr>
            <w:r w:rsidRPr="008A0882">
              <w:rPr>
                <w:rFonts w:cs="Arial"/>
                <w:szCs w:val="24"/>
              </w:rPr>
              <w:t>44</w:t>
            </w:r>
          </w:p>
        </w:tc>
        <w:tc>
          <w:tcPr>
            <w:tcW w:w="851" w:type="dxa"/>
            <w:vAlign w:val="center"/>
          </w:tcPr>
          <w:p w:rsidR="00943FD6" w:rsidRPr="008A0882" w:rsidRDefault="00943FD6" w:rsidP="00943FD6">
            <w:pPr>
              <w:jc w:val="center"/>
              <w:rPr>
                <w:rFonts w:cs="Arial"/>
                <w:szCs w:val="24"/>
              </w:rPr>
            </w:pPr>
            <w:r w:rsidRPr="008A0882">
              <w:rPr>
                <w:rFonts w:cs="Arial"/>
                <w:szCs w:val="24"/>
              </w:rPr>
              <w:t>52.38</w:t>
            </w:r>
          </w:p>
        </w:tc>
        <w:tc>
          <w:tcPr>
            <w:tcW w:w="1134" w:type="dxa"/>
            <w:shd w:val="clear" w:color="auto" w:fill="D9D9D9" w:themeFill="background1" w:themeFillShade="D9"/>
            <w:vAlign w:val="center"/>
          </w:tcPr>
          <w:p w:rsidR="00943FD6" w:rsidRPr="008A0882" w:rsidRDefault="003C3E90" w:rsidP="00943FD6">
            <w:pPr>
              <w:jc w:val="center"/>
              <w:rPr>
                <w:rFonts w:cs="Arial"/>
                <w:color w:val="000000" w:themeColor="text1"/>
                <w:szCs w:val="24"/>
              </w:rPr>
            </w:pPr>
            <w:r w:rsidRPr="008A0882">
              <w:rPr>
                <w:rFonts w:cs="Arial"/>
                <w:color w:val="000000" w:themeColor="text1"/>
                <w:szCs w:val="24"/>
              </w:rPr>
              <w:t>-5.45</w:t>
            </w:r>
          </w:p>
        </w:tc>
      </w:tr>
      <w:tr w:rsidR="00943FD6" w:rsidRPr="008A0882" w:rsidTr="00D77F0B">
        <w:tc>
          <w:tcPr>
            <w:tcW w:w="1725" w:type="dxa"/>
            <w:shd w:val="clear" w:color="auto" w:fill="FFFFFF" w:themeFill="background1"/>
            <w:vAlign w:val="center"/>
          </w:tcPr>
          <w:p w:rsidR="00943FD6" w:rsidRPr="008A0882" w:rsidRDefault="00943FD6" w:rsidP="00943FD6">
            <w:pPr>
              <w:rPr>
                <w:rFonts w:cs="Arial"/>
                <w:b/>
                <w:szCs w:val="24"/>
              </w:rPr>
            </w:pPr>
            <w:r w:rsidRPr="008A0882">
              <w:rPr>
                <w:rFonts w:cs="Arial"/>
                <w:b/>
                <w:szCs w:val="24"/>
              </w:rPr>
              <w:t xml:space="preserve">Requires Improvement </w:t>
            </w:r>
          </w:p>
        </w:tc>
        <w:tc>
          <w:tcPr>
            <w:tcW w:w="1192" w:type="dxa"/>
            <w:vAlign w:val="center"/>
          </w:tcPr>
          <w:p w:rsidR="00943FD6" w:rsidRPr="008A0882" w:rsidRDefault="00943FD6" w:rsidP="00943FD6">
            <w:pPr>
              <w:jc w:val="center"/>
              <w:rPr>
                <w:rFonts w:cs="Arial"/>
                <w:szCs w:val="24"/>
              </w:rPr>
            </w:pPr>
            <w:r w:rsidRPr="008A0882">
              <w:rPr>
                <w:rFonts w:cs="Arial"/>
                <w:szCs w:val="24"/>
              </w:rPr>
              <w:t>14</w:t>
            </w:r>
          </w:p>
        </w:tc>
        <w:tc>
          <w:tcPr>
            <w:tcW w:w="1036" w:type="dxa"/>
            <w:vAlign w:val="center"/>
          </w:tcPr>
          <w:p w:rsidR="00943FD6" w:rsidRPr="008A0882" w:rsidRDefault="00943FD6" w:rsidP="00943FD6">
            <w:pPr>
              <w:jc w:val="center"/>
              <w:rPr>
                <w:rFonts w:cs="Arial"/>
                <w:szCs w:val="24"/>
              </w:rPr>
            </w:pPr>
            <w:r w:rsidRPr="008A0882">
              <w:rPr>
                <w:rFonts w:cs="Arial"/>
                <w:szCs w:val="24"/>
              </w:rPr>
              <w:t>16.87</w:t>
            </w:r>
          </w:p>
        </w:tc>
        <w:tc>
          <w:tcPr>
            <w:tcW w:w="1070" w:type="dxa"/>
            <w:vAlign w:val="center"/>
          </w:tcPr>
          <w:p w:rsidR="00943FD6" w:rsidRPr="008A0882" w:rsidRDefault="00943FD6" w:rsidP="00943FD6">
            <w:pPr>
              <w:jc w:val="center"/>
              <w:rPr>
                <w:rFonts w:cs="Arial"/>
                <w:szCs w:val="24"/>
              </w:rPr>
            </w:pPr>
            <w:r w:rsidRPr="008A0882">
              <w:rPr>
                <w:rFonts w:cs="Arial"/>
                <w:szCs w:val="24"/>
              </w:rPr>
              <w:t>16</w:t>
            </w:r>
          </w:p>
        </w:tc>
        <w:tc>
          <w:tcPr>
            <w:tcW w:w="1072" w:type="dxa"/>
            <w:vAlign w:val="center"/>
          </w:tcPr>
          <w:p w:rsidR="00943FD6" w:rsidRPr="008A0882" w:rsidRDefault="00943FD6" w:rsidP="00943FD6">
            <w:pPr>
              <w:jc w:val="center"/>
              <w:rPr>
                <w:rFonts w:cs="Arial"/>
                <w:szCs w:val="24"/>
              </w:rPr>
            </w:pPr>
            <w:r w:rsidRPr="008A0882">
              <w:rPr>
                <w:rFonts w:cs="Arial"/>
                <w:szCs w:val="24"/>
              </w:rPr>
              <w:t>19.05</w:t>
            </w:r>
          </w:p>
        </w:tc>
        <w:tc>
          <w:tcPr>
            <w:tcW w:w="1134" w:type="dxa"/>
            <w:vAlign w:val="center"/>
          </w:tcPr>
          <w:p w:rsidR="00943FD6" w:rsidRPr="008A0882" w:rsidRDefault="00943FD6" w:rsidP="00943FD6">
            <w:pPr>
              <w:jc w:val="center"/>
              <w:rPr>
                <w:rFonts w:cs="Arial"/>
                <w:szCs w:val="24"/>
              </w:rPr>
            </w:pPr>
            <w:r w:rsidRPr="008A0882">
              <w:rPr>
                <w:rFonts w:cs="Arial"/>
                <w:szCs w:val="24"/>
              </w:rPr>
              <w:t>14</w:t>
            </w:r>
          </w:p>
        </w:tc>
        <w:tc>
          <w:tcPr>
            <w:tcW w:w="851" w:type="dxa"/>
            <w:vAlign w:val="center"/>
          </w:tcPr>
          <w:p w:rsidR="00943FD6" w:rsidRPr="008A0882" w:rsidRDefault="00943FD6" w:rsidP="00943FD6">
            <w:pPr>
              <w:jc w:val="center"/>
              <w:rPr>
                <w:rFonts w:cs="Arial"/>
                <w:szCs w:val="24"/>
              </w:rPr>
            </w:pPr>
            <w:r w:rsidRPr="008A0882">
              <w:rPr>
                <w:rFonts w:cs="Arial"/>
                <w:szCs w:val="24"/>
              </w:rPr>
              <w:t>16.67</w:t>
            </w:r>
          </w:p>
        </w:tc>
        <w:tc>
          <w:tcPr>
            <w:tcW w:w="1134" w:type="dxa"/>
            <w:shd w:val="clear" w:color="auto" w:fill="D9D9D9" w:themeFill="background1" w:themeFillShade="D9"/>
            <w:vAlign w:val="center"/>
          </w:tcPr>
          <w:p w:rsidR="00943FD6" w:rsidRPr="008A0882" w:rsidRDefault="003C3E90" w:rsidP="00943FD6">
            <w:pPr>
              <w:jc w:val="center"/>
              <w:rPr>
                <w:rFonts w:cs="Arial"/>
                <w:color w:val="000000" w:themeColor="text1"/>
                <w:szCs w:val="24"/>
              </w:rPr>
            </w:pPr>
            <w:r w:rsidRPr="008A0882">
              <w:rPr>
                <w:rFonts w:cs="Arial"/>
                <w:color w:val="000000" w:themeColor="text1"/>
                <w:szCs w:val="24"/>
              </w:rPr>
              <w:t>-0.20</w:t>
            </w:r>
          </w:p>
        </w:tc>
      </w:tr>
      <w:tr w:rsidR="00943FD6" w:rsidRPr="008A0882" w:rsidTr="00D77F0B">
        <w:tc>
          <w:tcPr>
            <w:tcW w:w="1725" w:type="dxa"/>
            <w:shd w:val="clear" w:color="auto" w:fill="FFFFFF" w:themeFill="background1"/>
            <w:vAlign w:val="center"/>
          </w:tcPr>
          <w:p w:rsidR="00943FD6" w:rsidRPr="008A0882" w:rsidRDefault="00943FD6" w:rsidP="00943FD6">
            <w:pPr>
              <w:rPr>
                <w:rFonts w:cs="Arial"/>
                <w:b/>
                <w:szCs w:val="24"/>
              </w:rPr>
            </w:pPr>
            <w:r w:rsidRPr="008A0882">
              <w:rPr>
                <w:rFonts w:cs="Arial"/>
                <w:b/>
                <w:szCs w:val="24"/>
              </w:rPr>
              <w:t>Inadequate</w:t>
            </w:r>
          </w:p>
        </w:tc>
        <w:tc>
          <w:tcPr>
            <w:tcW w:w="1192" w:type="dxa"/>
            <w:vAlign w:val="center"/>
          </w:tcPr>
          <w:p w:rsidR="00943FD6" w:rsidRPr="008A0882" w:rsidRDefault="00943FD6" w:rsidP="00943FD6">
            <w:pPr>
              <w:jc w:val="center"/>
              <w:rPr>
                <w:rFonts w:cs="Arial"/>
                <w:szCs w:val="24"/>
              </w:rPr>
            </w:pPr>
            <w:r w:rsidRPr="008A0882">
              <w:rPr>
                <w:rFonts w:cs="Arial"/>
                <w:szCs w:val="24"/>
              </w:rPr>
              <w:t>4</w:t>
            </w:r>
          </w:p>
        </w:tc>
        <w:tc>
          <w:tcPr>
            <w:tcW w:w="1036" w:type="dxa"/>
            <w:vAlign w:val="center"/>
          </w:tcPr>
          <w:p w:rsidR="00943FD6" w:rsidRPr="008A0882" w:rsidRDefault="00943FD6" w:rsidP="00943FD6">
            <w:pPr>
              <w:jc w:val="center"/>
              <w:rPr>
                <w:rFonts w:cs="Arial"/>
                <w:szCs w:val="24"/>
              </w:rPr>
            </w:pPr>
            <w:r w:rsidRPr="008A0882">
              <w:rPr>
                <w:rFonts w:cs="Arial"/>
                <w:szCs w:val="24"/>
              </w:rPr>
              <w:t>4.82</w:t>
            </w:r>
          </w:p>
        </w:tc>
        <w:tc>
          <w:tcPr>
            <w:tcW w:w="1070" w:type="dxa"/>
            <w:vAlign w:val="center"/>
          </w:tcPr>
          <w:p w:rsidR="00943FD6" w:rsidRPr="008A0882" w:rsidRDefault="00943FD6" w:rsidP="00943FD6">
            <w:pPr>
              <w:jc w:val="center"/>
              <w:rPr>
                <w:rFonts w:cs="Arial"/>
                <w:szCs w:val="24"/>
              </w:rPr>
            </w:pPr>
            <w:r w:rsidRPr="008A0882">
              <w:rPr>
                <w:rFonts w:cs="Arial"/>
                <w:szCs w:val="24"/>
              </w:rPr>
              <w:t>7</w:t>
            </w:r>
          </w:p>
        </w:tc>
        <w:tc>
          <w:tcPr>
            <w:tcW w:w="1072" w:type="dxa"/>
            <w:vAlign w:val="center"/>
          </w:tcPr>
          <w:p w:rsidR="00943FD6" w:rsidRPr="008A0882" w:rsidRDefault="00943FD6" w:rsidP="00943FD6">
            <w:pPr>
              <w:jc w:val="center"/>
              <w:rPr>
                <w:rFonts w:cs="Arial"/>
                <w:szCs w:val="24"/>
              </w:rPr>
            </w:pPr>
            <w:r w:rsidRPr="008A0882">
              <w:rPr>
                <w:rFonts w:cs="Arial"/>
                <w:szCs w:val="24"/>
              </w:rPr>
              <w:t>8.33</w:t>
            </w:r>
          </w:p>
        </w:tc>
        <w:tc>
          <w:tcPr>
            <w:tcW w:w="1134" w:type="dxa"/>
            <w:vAlign w:val="center"/>
          </w:tcPr>
          <w:p w:rsidR="00943FD6" w:rsidRPr="008A0882" w:rsidRDefault="00943FD6" w:rsidP="00943FD6">
            <w:pPr>
              <w:jc w:val="center"/>
              <w:rPr>
                <w:rFonts w:cs="Arial"/>
                <w:szCs w:val="24"/>
              </w:rPr>
            </w:pPr>
            <w:r w:rsidRPr="008A0882">
              <w:rPr>
                <w:rFonts w:cs="Arial"/>
                <w:szCs w:val="24"/>
              </w:rPr>
              <w:t>7</w:t>
            </w:r>
          </w:p>
        </w:tc>
        <w:tc>
          <w:tcPr>
            <w:tcW w:w="851" w:type="dxa"/>
            <w:vAlign w:val="center"/>
          </w:tcPr>
          <w:p w:rsidR="00943FD6" w:rsidRPr="008A0882" w:rsidRDefault="00943FD6" w:rsidP="00943FD6">
            <w:pPr>
              <w:jc w:val="center"/>
              <w:rPr>
                <w:rFonts w:cs="Arial"/>
                <w:szCs w:val="24"/>
              </w:rPr>
            </w:pPr>
            <w:r w:rsidRPr="008A0882">
              <w:rPr>
                <w:rFonts w:cs="Arial"/>
                <w:szCs w:val="24"/>
              </w:rPr>
              <w:t>8.33</w:t>
            </w:r>
          </w:p>
        </w:tc>
        <w:tc>
          <w:tcPr>
            <w:tcW w:w="1134" w:type="dxa"/>
            <w:shd w:val="clear" w:color="auto" w:fill="D9D9D9" w:themeFill="background1" w:themeFillShade="D9"/>
            <w:vAlign w:val="center"/>
          </w:tcPr>
          <w:p w:rsidR="00943FD6" w:rsidRPr="008A0882" w:rsidRDefault="003C3E90" w:rsidP="00943FD6">
            <w:pPr>
              <w:jc w:val="center"/>
              <w:rPr>
                <w:rFonts w:cs="Arial"/>
                <w:color w:val="000000" w:themeColor="text1"/>
                <w:szCs w:val="24"/>
              </w:rPr>
            </w:pPr>
            <w:r w:rsidRPr="008A0882">
              <w:rPr>
                <w:rFonts w:cs="Arial"/>
                <w:color w:val="000000" w:themeColor="text1"/>
                <w:szCs w:val="24"/>
              </w:rPr>
              <w:t>+3.51</w:t>
            </w:r>
          </w:p>
        </w:tc>
      </w:tr>
      <w:tr w:rsidR="00943FD6" w:rsidRPr="008A0882" w:rsidTr="00D77F0B">
        <w:tc>
          <w:tcPr>
            <w:tcW w:w="1725" w:type="dxa"/>
            <w:shd w:val="clear" w:color="auto" w:fill="FBE4D5" w:themeFill="accent2" w:themeFillTint="33"/>
            <w:vAlign w:val="center"/>
          </w:tcPr>
          <w:p w:rsidR="00943FD6" w:rsidRPr="008A0882" w:rsidRDefault="00943FD6" w:rsidP="00943FD6">
            <w:pPr>
              <w:rPr>
                <w:rFonts w:cs="Arial"/>
                <w:b/>
                <w:szCs w:val="24"/>
              </w:rPr>
            </w:pPr>
            <w:r w:rsidRPr="008A0882">
              <w:rPr>
                <w:rFonts w:cs="Arial"/>
                <w:b/>
                <w:szCs w:val="24"/>
              </w:rPr>
              <w:t>Total</w:t>
            </w:r>
          </w:p>
        </w:tc>
        <w:tc>
          <w:tcPr>
            <w:tcW w:w="1192"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83</w:t>
            </w:r>
          </w:p>
        </w:tc>
        <w:tc>
          <w:tcPr>
            <w:tcW w:w="1036"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100.0</w:t>
            </w:r>
          </w:p>
        </w:tc>
        <w:tc>
          <w:tcPr>
            <w:tcW w:w="1070"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84</w:t>
            </w:r>
          </w:p>
        </w:tc>
        <w:tc>
          <w:tcPr>
            <w:tcW w:w="1072"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100.0</w:t>
            </w:r>
          </w:p>
        </w:tc>
        <w:tc>
          <w:tcPr>
            <w:tcW w:w="1134"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84</w:t>
            </w:r>
          </w:p>
        </w:tc>
        <w:tc>
          <w:tcPr>
            <w:tcW w:w="851"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100.0</w:t>
            </w:r>
          </w:p>
        </w:tc>
        <w:tc>
          <w:tcPr>
            <w:tcW w:w="1134" w:type="dxa"/>
            <w:shd w:val="clear" w:color="auto" w:fill="D9D9D9" w:themeFill="background1" w:themeFillShade="D9"/>
            <w:vAlign w:val="center"/>
          </w:tcPr>
          <w:p w:rsidR="00943FD6" w:rsidRPr="008A0882" w:rsidRDefault="00943FD6" w:rsidP="00943FD6">
            <w:pPr>
              <w:jc w:val="center"/>
              <w:rPr>
                <w:rFonts w:cs="Arial"/>
                <w:color w:val="000000" w:themeColor="text1"/>
                <w:szCs w:val="24"/>
              </w:rPr>
            </w:pPr>
          </w:p>
        </w:tc>
      </w:tr>
      <w:tr w:rsidR="00943FD6" w:rsidRPr="008A0882" w:rsidTr="00D77F0B">
        <w:tc>
          <w:tcPr>
            <w:tcW w:w="1725" w:type="dxa"/>
            <w:shd w:val="clear" w:color="auto" w:fill="FBE4D5" w:themeFill="accent2" w:themeFillTint="33"/>
            <w:vAlign w:val="center"/>
          </w:tcPr>
          <w:p w:rsidR="00943FD6" w:rsidRPr="008A0882" w:rsidRDefault="00943FD6" w:rsidP="00943FD6">
            <w:pPr>
              <w:rPr>
                <w:rFonts w:cs="Arial"/>
                <w:b/>
                <w:szCs w:val="24"/>
              </w:rPr>
            </w:pPr>
            <w:r w:rsidRPr="008A0882">
              <w:rPr>
                <w:rFonts w:cs="Arial"/>
                <w:b/>
                <w:szCs w:val="24"/>
              </w:rPr>
              <w:t>Good +</w:t>
            </w:r>
          </w:p>
        </w:tc>
        <w:tc>
          <w:tcPr>
            <w:tcW w:w="1192"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65</w:t>
            </w:r>
          </w:p>
        </w:tc>
        <w:tc>
          <w:tcPr>
            <w:tcW w:w="1036"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78.3</w:t>
            </w:r>
          </w:p>
        </w:tc>
        <w:tc>
          <w:tcPr>
            <w:tcW w:w="1070"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61</w:t>
            </w:r>
          </w:p>
        </w:tc>
        <w:tc>
          <w:tcPr>
            <w:tcW w:w="1072"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72.6</w:t>
            </w:r>
          </w:p>
        </w:tc>
        <w:tc>
          <w:tcPr>
            <w:tcW w:w="1134"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63</w:t>
            </w:r>
          </w:p>
        </w:tc>
        <w:tc>
          <w:tcPr>
            <w:tcW w:w="851" w:type="dxa"/>
            <w:shd w:val="clear" w:color="auto" w:fill="FBE4D5" w:themeFill="accent2" w:themeFillTint="33"/>
            <w:vAlign w:val="center"/>
          </w:tcPr>
          <w:p w:rsidR="00943FD6" w:rsidRPr="008A0882" w:rsidRDefault="00943FD6" w:rsidP="00943FD6">
            <w:pPr>
              <w:jc w:val="center"/>
              <w:rPr>
                <w:rFonts w:cs="Arial"/>
                <w:szCs w:val="24"/>
              </w:rPr>
            </w:pPr>
            <w:r w:rsidRPr="008A0882">
              <w:rPr>
                <w:rFonts w:cs="Arial"/>
                <w:szCs w:val="24"/>
              </w:rPr>
              <w:t>75.0</w:t>
            </w:r>
          </w:p>
        </w:tc>
        <w:tc>
          <w:tcPr>
            <w:tcW w:w="1134" w:type="dxa"/>
            <w:shd w:val="clear" w:color="auto" w:fill="D9D9D9" w:themeFill="background1" w:themeFillShade="D9"/>
            <w:vAlign w:val="center"/>
          </w:tcPr>
          <w:p w:rsidR="00943FD6" w:rsidRPr="008A0882" w:rsidRDefault="003C3E90" w:rsidP="00943FD6">
            <w:pPr>
              <w:jc w:val="center"/>
              <w:rPr>
                <w:rFonts w:cs="Arial"/>
                <w:color w:val="000000" w:themeColor="text1"/>
                <w:szCs w:val="24"/>
              </w:rPr>
            </w:pPr>
            <w:r w:rsidRPr="008A0882">
              <w:rPr>
                <w:rFonts w:cs="Arial"/>
                <w:color w:val="000000" w:themeColor="text1"/>
                <w:szCs w:val="24"/>
              </w:rPr>
              <w:t>-3.3</w:t>
            </w:r>
          </w:p>
        </w:tc>
      </w:tr>
    </w:tbl>
    <w:p w:rsidR="00943FD6" w:rsidRPr="008A0882" w:rsidRDefault="00943FD6" w:rsidP="00E54BF9">
      <w:pPr>
        <w:autoSpaceDE w:val="0"/>
        <w:autoSpaceDN w:val="0"/>
        <w:adjustRightInd w:val="0"/>
        <w:rPr>
          <w:rFonts w:cs="Arial"/>
          <w:color w:val="FF0000"/>
          <w:szCs w:val="24"/>
        </w:rPr>
      </w:pPr>
    </w:p>
    <w:p w:rsidR="00943FD6" w:rsidRPr="008A0882" w:rsidRDefault="00943FD6" w:rsidP="00E54BF9">
      <w:pPr>
        <w:autoSpaceDE w:val="0"/>
        <w:autoSpaceDN w:val="0"/>
        <w:adjustRightInd w:val="0"/>
        <w:rPr>
          <w:rFonts w:cs="Arial"/>
          <w:color w:val="000000" w:themeColor="text1"/>
          <w:szCs w:val="24"/>
        </w:rPr>
      </w:pPr>
    </w:p>
    <w:p w:rsidR="00E54BF9" w:rsidRPr="008A0882" w:rsidRDefault="00E54BF9" w:rsidP="00E54BF9">
      <w:pPr>
        <w:autoSpaceDE w:val="0"/>
        <w:autoSpaceDN w:val="0"/>
        <w:adjustRightInd w:val="0"/>
        <w:rPr>
          <w:rFonts w:cs="Arial"/>
          <w:b/>
          <w:bCs/>
          <w:color w:val="000000" w:themeColor="text1"/>
          <w:szCs w:val="24"/>
        </w:rPr>
      </w:pPr>
      <w:r w:rsidRPr="008A0882">
        <w:rPr>
          <w:rFonts w:cs="Arial"/>
          <w:b/>
          <w:bCs/>
          <w:color w:val="000000" w:themeColor="text1"/>
          <w:szCs w:val="24"/>
        </w:rPr>
        <w:t>Consultations</w:t>
      </w:r>
    </w:p>
    <w:p w:rsidR="003C3E90" w:rsidRPr="008A0882" w:rsidRDefault="003C3E90" w:rsidP="00E54BF9">
      <w:pPr>
        <w:autoSpaceDE w:val="0"/>
        <w:autoSpaceDN w:val="0"/>
        <w:adjustRightInd w:val="0"/>
        <w:rPr>
          <w:rFonts w:cs="Arial"/>
          <w:b/>
          <w:bCs/>
          <w:color w:val="000000" w:themeColor="text1"/>
          <w:szCs w:val="24"/>
        </w:rPr>
      </w:pPr>
    </w:p>
    <w:p w:rsidR="00E54BF9" w:rsidRPr="008A0882" w:rsidRDefault="00E54BF9" w:rsidP="00E54BF9">
      <w:pPr>
        <w:autoSpaceDE w:val="0"/>
        <w:autoSpaceDN w:val="0"/>
        <w:adjustRightInd w:val="0"/>
        <w:rPr>
          <w:rFonts w:cs="Arial"/>
          <w:color w:val="000000" w:themeColor="text1"/>
          <w:szCs w:val="24"/>
        </w:rPr>
      </w:pPr>
      <w:r w:rsidRPr="008A0882">
        <w:rPr>
          <w:rFonts w:cs="Arial"/>
          <w:color w:val="000000" w:themeColor="text1"/>
          <w:szCs w:val="24"/>
        </w:rPr>
        <w:t>N/A</w:t>
      </w:r>
    </w:p>
    <w:p w:rsidR="003C3E90" w:rsidRPr="008A0882" w:rsidRDefault="003C3E90" w:rsidP="00E54BF9">
      <w:pPr>
        <w:autoSpaceDE w:val="0"/>
        <w:autoSpaceDN w:val="0"/>
        <w:adjustRightInd w:val="0"/>
        <w:rPr>
          <w:rFonts w:cs="Arial"/>
          <w:b/>
          <w:bCs/>
          <w:color w:val="000000" w:themeColor="text1"/>
          <w:szCs w:val="24"/>
        </w:rPr>
      </w:pPr>
    </w:p>
    <w:p w:rsidR="00E54BF9" w:rsidRPr="008A0882" w:rsidRDefault="00E54BF9" w:rsidP="00E54BF9">
      <w:pPr>
        <w:autoSpaceDE w:val="0"/>
        <w:autoSpaceDN w:val="0"/>
        <w:adjustRightInd w:val="0"/>
        <w:rPr>
          <w:rFonts w:cs="Arial"/>
          <w:color w:val="000000" w:themeColor="text1"/>
          <w:szCs w:val="24"/>
        </w:rPr>
      </w:pPr>
      <w:r w:rsidRPr="008A0882">
        <w:rPr>
          <w:rFonts w:cs="Arial"/>
          <w:b/>
          <w:bCs/>
          <w:color w:val="000000" w:themeColor="text1"/>
          <w:szCs w:val="24"/>
        </w:rPr>
        <w:t>Implications</w:t>
      </w:r>
      <w:r w:rsidRPr="008A0882">
        <w:rPr>
          <w:rFonts w:cs="Arial"/>
          <w:color w:val="000000" w:themeColor="text1"/>
          <w:szCs w:val="24"/>
        </w:rPr>
        <w:t>:</w:t>
      </w:r>
    </w:p>
    <w:p w:rsidR="003C3E90" w:rsidRPr="008A0882" w:rsidRDefault="003C3E90" w:rsidP="00E54BF9">
      <w:pPr>
        <w:autoSpaceDE w:val="0"/>
        <w:autoSpaceDN w:val="0"/>
        <w:adjustRightInd w:val="0"/>
        <w:rPr>
          <w:rFonts w:cs="Arial"/>
          <w:color w:val="000000" w:themeColor="text1"/>
          <w:szCs w:val="24"/>
        </w:rPr>
      </w:pPr>
    </w:p>
    <w:p w:rsidR="00E54BF9" w:rsidRPr="008A0882" w:rsidRDefault="00E54BF9" w:rsidP="00E54BF9">
      <w:pPr>
        <w:autoSpaceDE w:val="0"/>
        <w:autoSpaceDN w:val="0"/>
        <w:adjustRightInd w:val="0"/>
        <w:rPr>
          <w:rFonts w:cs="Arial"/>
          <w:color w:val="000000" w:themeColor="text1"/>
          <w:szCs w:val="24"/>
        </w:rPr>
      </w:pPr>
      <w:r w:rsidRPr="008A0882">
        <w:rPr>
          <w:rFonts w:cs="Arial"/>
          <w:color w:val="000000" w:themeColor="text1"/>
          <w:szCs w:val="24"/>
        </w:rPr>
        <w:t>This item has the following implications, as indicated:</w:t>
      </w:r>
    </w:p>
    <w:p w:rsidR="003C3E90" w:rsidRPr="008A0882" w:rsidRDefault="003C3E90" w:rsidP="00E54BF9">
      <w:pPr>
        <w:autoSpaceDE w:val="0"/>
        <w:autoSpaceDN w:val="0"/>
        <w:adjustRightInd w:val="0"/>
        <w:rPr>
          <w:rFonts w:cs="Arial"/>
          <w:b/>
          <w:bCs/>
          <w:color w:val="000000" w:themeColor="text1"/>
          <w:szCs w:val="24"/>
        </w:rPr>
      </w:pPr>
    </w:p>
    <w:p w:rsidR="00D77F0B" w:rsidRDefault="00D77F0B" w:rsidP="00E54BF9">
      <w:pPr>
        <w:autoSpaceDE w:val="0"/>
        <w:autoSpaceDN w:val="0"/>
        <w:adjustRightInd w:val="0"/>
        <w:rPr>
          <w:rFonts w:cs="Arial"/>
          <w:b/>
          <w:bCs/>
          <w:color w:val="000000" w:themeColor="text1"/>
          <w:szCs w:val="24"/>
        </w:rPr>
      </w:pPr>
    </w:p>
    <w:p w:rsidR="00E54BF9" w:rsidRPr="008A0882" w:rsidRDefault="00E54BF9" w:rsidP="00E54BF9">
      <w:pPr>
        <w:autoSpaceDE w:val="0"/>
        <w:autoSpaceDN w:val="0"/>
        <w:adjustRightInd w:val="0"/>
        <w:rPr>
          <w:rFonts w:cs="Arial"/>
          <w:b/>
          <w:bCs/>
          <w:color w:val="000000" w:themeColor="text1"/>
          <w:szCs w:val="24"/>
        </w:rPr>
      </w:pPr>
      <w:r w:rsidRPr="008A0882">
        <w:rPr>
          <w:rFonts w:cs="Arial"/>
          <w:b/>
          <w:bCs/>
          <w:color w:val="000000" w:themeColor="text1"/>
          <w:szCs w:val="24"/>
        </w:rPr>
        <w:t>Risk management</w:t>
      </w:r>
    </w:p>
    <w:p w:rsidR="003C3E90" w:rsidRPr="008A0882" w:rsidRDefault="003C3E90" w:rsidP="00E54BF9">
      <w:pPr>
        <w:autoSpaceDE w:val="0"/>
        <w:autoSpaceDN w:val="0"/>
        <w:adjustRightInd w:val="0"/>
        <w:rPr>
          <w:rFonts w:cs="Arial"/>
          <w:color w:val="000000" w:themeColor="text1"/>
          <w:szCs w:val="24"/>
        </w:rPr>
      </w:pPr>
    </w:p>
    <w:p w:rsidR="00E54BF9" w:rsidRPr="008A0882" w:rsidRDefault="00E54BF9" w:rsidP="00E54BF9">
      <w:pPr>
        <w:autoSpaceDE w:val="0"/>
        <w:autoSpaceDN w:val="0"/>
        <w:adjustRightInd w:val="0"/>
        <w:rPr>
          <w:rFonts w:cs="Arial"/>
          <w:color w:val="000000" w:themeColor="text1"/>
          <w:szCs w:val="24"/>
        </w:rPr>
      </w:pPr>
      <w:r w:rsidRPr="008A0882">
        <w:rPr>
          <w:rFonts w:cs="Arial"/>
          <w:color w:val="000000" w:themeColor="text1"/>
          <w:szCs w:val="24"/>
        </w:rPr>
        <w:t>There are no significant risk implications</w:t>
      </w:r>
      <w:r w:rsidR="00FA3449" w:rsidRPr="008A0882">
        <w:rPr>
          <w:rFonts w:cs="Arial"/>
          <w:color w:val="000000" w:themeColor="text1"/>
          <w:szCs w:val="24"/>
        </w:rPr>
        <w:t>.</w:t>
      </w:r>
    </w:p>
    <w:p w:rsidR="003C3E90" w:rsidRPr="008A0882" w:rsidRDefault="003C3E90" w:rsidP="00E54BF9">
      <w:pPr>
        <w:autoSpaceDE w:val="0"/>
        <w:autoSpaceDN w:val="0"/>
        <w:adjustRightInd w:val="0"/>
        <w:rPr>
          <w:rFonts w:cs="Arial"/>
          <w:b/>
          <w:bCs/>
          <w:color w:val="000000" w:themeColor="text1"/>
          <w:szCs w:val="24"/>
        </w:rPr>
      </w:pPr>
    </w:p>
    <w:p w:rsidR="00E54BF9" w:rsidRPr="008A0882" w:rsidRDefault="00E54BF9" w:rsidP="00E54BF9">
      <w:pPr>
        <w:autoSpaceDE w:val="0"/>
        <w:autoSpaceDN w:val="0"/>
        <w:adjustRightInd w:val="0"/>
        <w:rPr>
          <w:rFonts w:cs="Arial"/>
          <w:b/>
          <w:bCs/>
          <w:color w:val="000000" w:themeColor="text1"/>
          <w:szCs w:val="24"/>
        </w:rPr>
      </w:pPr>
      <w:r w:rsidRPr="008A0882">
        <w:rPr>
          <w:rFonts w:cs="Arial"/>
          <w:b/>
          <w:bCs/>
          <w:color w:val="000000" w:themeColor="text1"/>
          <w:szCs w:val="24"/>
        </w:rPr>
        <w:t>Local Government (Access to Information) Act 1985</w:t>
      </w:r>
    </w:p>
    <w:p w:rsidR="00E54BF9" w:rsidRPr="008A0882" w:rsidRDefault="00E54BF9" w:rsidP="00E54BF9">
      <w:pPr>
        <w:autoSpaceDE w:val="0"/>
        <w:autoSpaceDN w:val="0"/>
        <w:adjustRightInd w:val="0"/>
        <w:rPr>
          <w:rFonts w:cs="Arial"/>
          <w:b/>
          <w:bCs/>
          <w:color w:val="000000" w:themeColor="text1"/>
          <w:szCs w:val="24"/>
        </w:rPr>
      </w:pPr>
      <w:r w:rsidRPr="008A0882">
        <w:rPr>
          <w:rFonts w:cs="Arial"/>
          <w:b/>
          <w:bCs/>
          <w:color w:val="000000" w:themeColor="text1"/>
          <w:szCs w:val="24"/>
        </w:rPr>
        <w:t>List of Background Papers</w:t>
      </w:r>
    </w:p>
    <w:p w:rsidR="00304EF8" w:rsidRDefault="00304EF8" w:rsidP="00E54BF9">
      <w:pPr>
        <w:autoSpaceDE w:val="0"/>
        <w:autoSpaceDN w:val="0"/>
        <w:adjustRightInd w:val="0"/>
        <w:rPr>
          <w:rFonts w:cs="Arial"/>
          <w:color w:val="000000" w:themeColor="text1"/>
          <w:szCs w:val="24"/>
        </w:rPr>
      </w:pPr>
    </w:p>
    <w:p w:rsidR="00E54BF9" w:rsidRPr="008A0882" w:rsidRDefault="00E54BF9" w:rsidP="00E54BF9">
      <w:pPr>
        <w:autoSpaceDE w:val="0"/>
        <w:autoSpaceDN w:val="0"/>
        <w:adjustRightInd w:val="0"/>
        <w:rPr>
          <w:rFonts w:cs="Arial"/>
          <w:color w:val="000000" w:themeColor="text1"/>
          <w:szCs w:val="24"/>
        </w:rPr>
      </w:pPr>
      <w:r w:rsidRPr="008A0882">
        <w:rPr>
          <w:rFonts w:cs="Arial"/>
          <w:color w:val="000000" w:themeColor="text1"/>
          <w:szCs w:val="24"/>
        </w:rPr>
        <w:t>N/A</w:t>
      </w:r>
    </w:p>
    <w:p w:rsidR="003C3E90" w:rsidRPr="008A0882" w:rsidRDefault="003C3E90" w:rsidP="00E54BF9">
      <w:pPr>
        <w:autoSpaceDE w:val="0"/>
        <w:autoSpaceDN w:val="0"/>
        <w:adjustRightInd w:val="0"/>
        <w:rPr>
          <w:rFonts w:cs="Arial"/>
          <w:color w:val="000000" w:themeColor="text1"/>
          <w:szCs w:val="24"/>
        </w:rPr>
      </w:pPr>
    </w:p>
    <w:p w:rsidR="00E54BF9" w:rsidRPr="008A0882" w:rsidRDefault="00E54BF9" w:rsidP="00E54BF9">
      <w:pPr>
        <w:autoSpaceDE w:val="0"/>
        <w:autoSpaceDN w:val="0"/>
        <w:adjustRightInd w:val="0"/>
        <w:rPr>
          <w:rFonts w:cs="Arial"/>
          <w:color w:val="000000" w:themeColor="text1"/>
          <w:szCs w:val="24"/>
        </w:rPr>
      </w:pPr>
      <w:r w:rsidRPr="008A0882">
        <w:rPr>
          <w:rFonts w:cs="Arial"/>
          <w:color w:val="000000" w:themeColor="text1"/>
          <w:szCs w:val="24"/>
        </w:rPr>
        <w:t>Reason for inclusion in Part II, if appropriate</w:t>
      </w:r>
    </w:p>
    <w:p w:rsidR="00304EF8" w:rsidRDefault="00304EF8" w:rsidP="00E54BF9">
      <w:pPr>
        <w:rPr>
          <w:rFonts w:cs="Arial"/>
          <w:color w:val="000000" w:themeColor="text1"/>
          <w:szCs w:val="24"/>
        </w:rPr>
      </w:pPr>
    </w:p>
    <w:p w:rsidR="0024215E" w:rsidRPr="008A0882" w:rsidRDefault="00E54BF9" w:rsidP="00E54BF9">
      <w:pPr>
        <w:rPr>
          <w:rFonts w:cs="Arial"/>
          <w:color w:val="000000" w:themeColor="text1"/>
        </w:rPr>
      </w:pPr>
      <w:r w:rsidRPr="008A0882">
        <w:rPr>
          <w:rFonts w:cs="Arial"/>
          <w:color w:val="000000" w:themeColor="text1"/>
          <w:szCs w:val="24"/>
        </w:rPr>
        <w:t>N/A</w:t>
      </w:r>
    </w:p>
    <w:sectPr w:rsidR="0024215E" w:rsidRPr="008A0882">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3B" w:rsidRDefault="00B5723B">
      <w:r>
        <w:separator/>
      </w:r>
    </w:p>
  </w:endnote>
  <w:endnote w:type="continuationSeparator" w:id="0">
    <w:p w:rsidR="00B5723B" w:rsidRDefault="00B5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5723B">
      <w:tc>
        <w:tcPr>
          <w:tcW w:w="9243" w:type="dxa"/>
          <w:tcBorders>
            <w:top w:val="nil"/>
            <w:left w:val="nil"/>
            <w:bottom w:val="nil"/>
            <w:right w:val="nil"/>
          </w:tcBorders>
        </w:tcPr>
        <w:p w:rsidR="00B5723B" w:rsidRDefault="00B5723B">
          <w:pPr>
            <w:pStyle w:val="Footer"/>
            <w:tabs>
              <w:tab w:val="clear" w:pos="4153"/>
            </w:tabs>
            <w:ind w:right="-45"/>
            <w:jc w:val="right"/>
          </w:pPr>
        </w:p>
      </w:tc>
    </w:tr>
  </w:tbl>
  <w:p w:rsidR="00B5723B" w:rsidRDefault="00B5723B">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5723B">
      <w:tc>
        <w:tcPr>
          <w:tcW w:w="9243" w:type="dxa"/>
          <w:tcBorders>
            <w:top w:val="nil"/>
            <w:left w:val="nil"/>
            <w:bottom w:val="nil"/>
            <w:right w:val="nil"/>
          </w:tcBorders>
        </w:tcPr>
        <w:p w:rsidR="00B5723B" w:rsidRDefault="00B5723B" w:rsidP="0024215E">
          <w:pPr>
            <w:pStyle w:val="Footer"/>
            <w:tabs>
              <w:tab w:val="clear" w:pos="4153"/>
            </w:tabs>
            <w:ind w:right="-45"/>
            <w:jc w:val="right"/>
          </w:pPr>
          <w:r>
            <w:rPr>
              <w:noProof/>
            </w:rPr>
            <w:drawing>
              <wp:inline distT="0" distB="0" distL="0" distR="0">
                <wp:extent cx="1257300" cy="626745"/>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6745"/>
                        </a:xfrm>
                        <a:prstGeom prst="rect">
                          <a:avLst/>
                        </a:prstGeom>
                        <a:noFill/>
                        <a:ln>
                          <a:noFill/>
                        </a:ln>
                      </pic:spPr>
                    </pic:pic>
                  </a:graphicData>
                </a:graphic>
              </wp:inline>
            </w:drawing>
          </w:r>
        </w:p>
      </w:tc>
    </w:tr>
  </w:tbl>
  <w:p w:rsidR="00B5723B" w:rsidRPr="0036487C" w:rsidRDefault="00B5723B" w:rsidP="0024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3B" w:rsidRDefault="00B5723B">
      <w:r>
        <w:separator/>
      </w:r>
    </w:p>
  </w:footnote>
  <w:footnote w:type="continuationSeparator" w:id="0">
    <w:p w:rsidR="00B5723B" w:rsidRDefault="00B57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D83"/>
    <w:multiLevelType w:val="hybridMultilevel"/>
    <w:tmpl w:val="ED1C04EC"/>
    <w:lvl w:ilvl="0" w:tplc="10142FF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E2F44"/>
    <w:multiLevelType w:val="hybridMultilevel"/>
    <w:tmpl w:val="AE56B8E6"/>
    <w:lvl w:ilvl="0" w:tplc="F77A9EC2">
      <w:start w:val="2"/>
      <w:numFmt w:val="lowerRoman"/>
      <w:lvlText w:val="(%1)"/>
      <w:lvlJc w:val="left"/>
      <w:pPr>
        <w:ind w:left="1080" w:hanging="720"/>
      </w:pPr>
      <w:rPr>
        <w:rFonts w:hint="default"/>
      </w:rPr>
    </w:lvl>
    <w:lvl w:ilvl="1" w:tplc="1CDA29E0" w:tentative="1">
      <w:start w:val="1"/>
      <w:numFmt w:val="lowerLetter"/>
      <w:lvlText w:val="%2."/>
      <w:lvlJc w:val="left"/>
      <w:pPr>
        <w:ind w:left="1440" w:hanging="360"/>
      </w:pPr>
    </w:lvl>
    <w:lvl w:ilvl="2" w:tplc="D65C38A2" w:tentative="1">
      <w:start w:val="1"/>
      <w:numFmt w:val="lowerRoman"/>
      <w:lvlText w:val="%3."/>
      <w:lvlJc w:val="right"/>
      <w:pPr>
        <w:ind w:left="2160" w:hanging="180"/>
      </w:pPr>
    </w:lvl>
    <w:lvl w:ilvl="3" w:tplc="FDCC3DF8" w:tentative="1">
      <w:start w:val="1"/>
      <w:numFmt w:val="decimal"/>
      <w:lvlText w:val="%4."/>
      <w:lvlJc w:val="left"/>
      <w:pPr>
        <w:ind w:left="2880" w:hanging="360"/>
      </w:pPr>
    </w:lvl>
    <w:lvl w:ilvl="4" w:tplc="AB2C240C" w:tentative="1">
      <w:start w:val="1"/>
      <w:numFmt w:val="lowerLetter"/>
      <w:lvlText w:val="%5."/>
      <w:lvlJc w:val="left"/>
      <w:pPr>
        <w:ind w:left="3600" w:hanging="360"/>
      </w:pPr>
    </w:lvl>
    <w:lvl w:ilvl="5" w:tplc="64EC3BE6" w:tentative="1">
      <w:start w:val="1"/>
      <w:numFmt w:val="lowerRoman"/>
      <w:lvlText w:val="%6."/>
      <w:lvlJc w:val="right"/>
      <w:pPr>
        <w:ind w:left="4320" w:hanging="180"/>
      </w:pPr>
    </w:lvl>
    <w:lvl w:ilvl="6" w:tplc="33BC23A2" w:tentative="1">
      <w:start w:val="1"/>
      <w:numFmt w:val="decimal"/>
      <w:lvlText w:val="%7."/>
      <w:lvlJc w:val="left"/>
      <w:pPr>
        <w:ind w:left="5040" w:hanging="360"/>
      </w:pPr>
    </w:lvl>
    <w:lvl w:ilvl="7" w:tplc="44445850" w:tentative="1">
      <w:start w:val="1"/>
      <w:numFmt w:val="lowerLetter"/>
      <w:lvlText w:val="%8."/>
      <w:lvlJc w:val="left"/>
      <w:pPr>
        <w:ind w:left="5760" w:hanging="360"/>
      </w:pPr>
    </w:lvl>
    <w:lvl w:ilvl="8" w:tplc="5944F0B4" w:tentative="1">
      <w:start w:val="1"/>
      <w:numFmt w:val="lowerRoman"/>
      <w:lvlText w:val="%9."/>
      <w:lvlJc w:val="right"/>
      <w:pPr>
        <w:ind w:left="6480" w:hanging="180"/>
      </w:pPr>
    </w:lvl>
  </w:abstractNum>
  <w:abstractNum w:abstractNumId="2" w15:restartNumberingAfterBreak="0">
    <w:nsid w:val="2F045714"/>
    <w:multiLevelType w:val="hybridMultilevel"/>
    <w:tmpl w:val="A320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16A75"/>
    <w:multiLevelType w:val="hybridMultilevel"/>
    <w:tmpl w:val="9E7A16AE"/>
    <w:lvl w:ilvl="0" w:tplc="2326B67E">
      <w:start w:val="1"/>
      <w:numFmt w:val="bullet"/>
      <w:lvlText w:val=""/>
      <w:lvlJc w:val="left"/>
      <w:pPr>
        <w:ind w:left="436"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3AB022AB"/>
    <w:multiLevelType w:val="hybridMultilevel"/>
    <w:tmpl w:val="24005590"/>
    <w:lvl w:ilvl="0" w:tplc="CD50110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2626A"/>
    <w:multiLevelType w:val="hybridMultilevel"/>
    <w:tmpl w:val="A89A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E682D"/>
    <w:multiLevelType w:val="hybridMultilevel"/>
    <w:tmpl w:val="AC6C5620"/>
    <w:lvl w:ilvl="0" w:tplc="CD50110E">
      <w:start w:val="1"/>
      <w:numFmt w:val="bullet"/>
      <w:lvlText w:val=""/>
      <w:lvlJc w:val="left"/>
      <w:pPr>
        <w:ind w:left="578" w:hanging="360"/>
      </w:pPr>
      <w:rPr>
        <w:rFonts w:ascii="Symbol" w:hAnsi="Symbol" w:hint="default"/>
        <w:sz w:val="16"/>
        <w:szCs w:val="16"/>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449F402D"/>
    <w:multiLevelType w:val="hybridMultilevel"/>
    <w:tmpl w:val="00C86326"/>
    <w:lvl w:ilvl="0" w:tplc="2F4C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FD420C"/>
    <w:multiLevelType w:val="hybridMultilevel"/>
    <w:tmpl w:val="1EFE3D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A3F69"/>
    <w:multiLevelType w:val="hybridMultilevel"/>
    <w:tmpl w:val="DE260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2740C"/>
    <w:multiLevelType w:val="hybridMultilevel"/>
    <w:tmpl w:val="237E1E3E"/>
    <w:lvl w:ilvl="0" w:tplc="B3EE5CDA">
      <w:start w:val="1"/>
      <w:numFmt w:val="lowerRoman"/>
      <w:lvlText w:val="%1."/>
      <w:lvlJc w:val="left"/>
      <w:pPr>
        <w:ind w:left="720" w:hanging="360"/>
      </w:pPr>
      <w:rPr>
        <w:rFonts w:ascii="Arial" w:eastAsia="Times New Roman" w:hAnsi="Arial" w:cs="Times New Roman"/>
      </w:rPr>
    </w:lvl>
    <w:lvl w:ilvl="1" w:tplc="A17EFC84" w:tentative="1">
      <w:start w:val="1"/>
      <w:numFmt w:val="lowerLetter"/>
      <w:lvlText w:val="%2."/>
      <w:lvlJc w:val="left"/>
      <w:pPr>
        <w:ind w:left="1440" w:hanging="360"/>
      </w:pPr>
    </w:lvl>
    <w:lvl w:ilvl="2" w:tplc="185A7314" w:tentative="1">
      <w:start w:val="1"/>
      <w:numFmt w:val="lowerRoman"/>
      <w:lvlText w:val="%3."/>
      <w:lvlJc w:val="right"/>
      <w:pPr>
        <w:ind w:left="2160" w:hanging="180"/>
      </w:pPr>
    </w:lvl>
    <w:lvl w:ilvl="3" w:tplc="247AC4B4" w:tentative="1">
      <w:start w:val="1"/>
      <w:numFmt w:val="decimal"/>
      <w:lvlText w:val="%4."/>
      <w:lvlJc w:val="left"/>
      <w:pPr>
        <w:ind w:left="2880" w:hanging="360"/>
      </w:pPr>
    </w:lvl>
    <w:lvl w:ilvl="4" w:tplc="CACEC62C" w:tentative="1">
      <w:start w:val="1"/>
      <w:numFmt w:val="lowerLetter"/>
      <w:lvlText w:val="%5."/>
      <w:lvlJc w:val="left"/>
      <w:pPr>
        <w:ind w:left="3600" w:hanging="360"/>
      </w:pPr>
    </w:lvl>
    <w:lvl w:ilvl="5" w:tplc="13CCDCDE" w:tentative="1">
      <w:start w:val="1"/>
      <w:numFmt w:val="lowerRoman"/>
      <w:lvlText w:val="%6."/>
      <w:lvlJc w:val="right"/>
      <w:pPr>
        <w:ind w:left="4320" w:hanging="180"/>
      </w:pPr>
    </w:lvl>
    <w:lvl w:ilvl="6" w:tplc="D6DAF58C" w:tentative="1">
      <w:start w:val="1"/>
      <w:numFmt w:val="decimal"/>
      <w:lvlText w:val="%7."/>
      <w:lvlJc w:val="left"/>
      <w:pPr>
        <w:ind w:left="5040" w:hanging="360"/>
      </w:pPr>
    </w:lvl>
    <w:lvl w:ilvl="7" w:tplc="B7803596" w:tentative="1">
      <w:start w:val="1"/>
      <w:numFmt w:val="lowerLetter"/>
      <w:lvlText w:val="%8."/>
      <w:lvlJc w:val="left"/>
      <w:pPr>
        <w:ind w:left="5760" w:hanging="360"/>
      </w:pPr>
    </w:lvl>
    <w:lvl w:ilvl="8" w:tplc="0414C77A" w:tentative="1">
      <w:start w:val="1"/>
      <w:numFmt w:val="lowerRoman"/>
      <w:lvlText w:val="%9."/>
      <w:lvlJc w:val="right"/>
      <w:pPr>
        <w:ind w:left="6480" w:hanging="180"/>
      </w:pPr>
    </w:lvl>
  </w:abstractNum>
  <w:abstractNum w:abstractNumId="11" w15:restartNumberingAfterBreak="0">
    <w:nsid w:val="67C25934"/>
    <w:multiLevelType w:val="multilevel"/>
    <w:tmpl w:val="99EC8B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A0767FD"/>
    <w:multiLevelType w:val="hybridMultilevel"/>
    <w:tmpl w:val="1C08BC4A"/>
    <w:lvl w:ilvl="0" w:tplc="1E1C6656">
      <w:start w:val="1"/>
      <w:numFmt w:val="bullet"/>
      <w:lvlText w:val=""/>
      <w:lvlJc w:val="left"/>
      <w:pPr>
        <w:ind w:left="720" w:hanging="360"/>
      </w:pPr>
      <w:rPr>
        <w:rFonts w:ascii="Symbol" w:hAnsi="Symbol"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37BC4"/>
    <w:multiLevelType w:val="hybridMultilevel"/>
    <w:tmpl w:val="33B03BA0"/>
    <w:lvl w:ilvl="0" w:tplc="B34C1E7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C43"/>
    <w:multiLevelType w:val="multilevel"/>
    <w:tmpl w:val="8F005E0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A83B8E"/>
    <w:multiLevelType w:val="hybridMultilevel"/>
    <w:tmpl w:val="C6FE7CAC"/>
    <w:lvl w:ilvl="0" w:tplc="10142FF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B4410"/>
    <w:multiLevelType w:val="hybridMultilevel"/>
    <w:tmpl w:val="7186A814"/>
    <w:lvl w:ilvl="0" w:tplc="F1A296CA">
      <w:start w:val="1"/>
      <w:numFmt w:val="lowerRoman"/>
      <w:lvlText w:val="(%1)"/>
      <w:lvlJc w:val="left"/>
      <w:pPr>
        <w:ind w:left="1080" w:hanging="720"/>
      </w:pPr>
      <w:rPr>
        <w:rFonts w:hint="default"/>
      </w:rPr>
    </w:lvl>
    <w:lvl w:ilvl="1" w:tplc="6FB85A20" w:tentative="1">
      <w:start w:val="1"/>
      <w:numFmt w:val="lowerLetter"/>
      <w:lvlText w:val="%2."/>
      <w:lvlJc w:val="left"/>
      <w:pPr>
        <w:ind w:left="1440" w:hanging="360"/>
      </w:pPr>
    </w:lvl>
    <w:lvl w:ilvl="2" w:tplc="DA269A88" w:tentative="1">
      <w:start w:val="1"/>
      <w:numFmt w:val="lowerRoman"/>
      <w:lvlText w:val="%3."/>
      <w:lvlJc w:val="right"/>
      <w:pPr>
        <w:ind w:left="2160" w:hanging="180"/>
      </w:pPr>
    </w:lvl>
    <w:lvl w:ilvl="3" w:tplc="FE72E3A0" w:tentative="1">
      <w:start w:val="1"/>
      <w:numFmt w:val="decimal"/>
      <w:lvlText w:val="%4."/>
      <w:lvlJc w:val="left"/>
      <w:pPr>
        <w:ind w:left="2880" w:hanging="360"/>
      </w:pPr>
    </w:lvl>
    <w:lvl w:ilvl="4" w:tplc="F9246B14" w:tentative="1">
      <w:start w:val="1"/>
      <w:numFmt w:val="lowerLetter"/>
      <w:lvlText w:val="%5."/>
      <w:lvlJc w:val="left"/>
      <w:pPr>
        <w:ind w:left="3600" w:hanging="360"/>
      </w:pPr>
    </w:lvl>
    <w:lvl w:ilvl="5" w:tplc="61A699EA" w:tentative="1">
      <w:start w:val="1"/>
      <w:numFmt w:val="lowerRoman"/>
      <w:lvlText w:val="%6."/>
      <w:lvlJc w:val="right"/>
      <w:pPr>
        <w:ind w:left="4320" w:hanging="180"/>
      </w:pPr>
    </w:lvl>
    <w:lvl w:ilvl="6" w:tplc="275EBF22" w:tentative="1">
      <w:start w:val="1"/>
      <w:numFmt w:val="decimal"/>
      <w:lvlText w:val="%7."/>
      <w:lvlJc w:val="left"/>
      <w:pPr>
        <w:ind w:left="5040" w:hanging="360"/>
      </w:pPr>
    </w:lvl>
    <w:lvl w:ilvl="7" w:tplc="3664FF90" w:tentative="1">
      <w:start w:val="1"/>
      <w:numFmt w:val="lowerLetter"/>
      <w:lvlText w:val="%8."/>
      <w:lvlJc w:val="left"/>
      <w:pPr>
        <w:ind w:left="5760" w:hanging="360"/>
      </w:pPr>
    </w:lvl>
    <w:lvl w:ilvl="8" w:tplc="BB5EB280"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1"/>
  </w:num>
  <w:num w:numId="5">
    <w:abstractNumId w:val="14"/>
  </w:num>
  <w:num w:numId="6">
    <w:abstractNumId w:val="3"/>
  </w:num>
  <w:num w:numId="7">
    <w:abstractNumId w:val="4"/>
  </w:num>
  <w:num w:numId="8">
    <w:abstractNumId w:val="12"/>
  </w:num>
  <w:num w:numId="9">
    <w:abstractNumId w:val="13"/>
  </w:num>
  <w:num w:numId="10">
    <w:abstractNumId w:val="6"/>
  </w:num>
  <w:num w:numId="11">
    <w:abstractNumId w:val="15"/>
  </w:num>
  <w:num w:numId="12">
    <w:abstractNumId w:val="0"/>
  </w:num>
  <w:num w:numId="13">
    <w:abstractNumId w:val="5"/>
  </w:num>
  <w:num w:numId="14">
    <w:abstractNumId w:val="9"/>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5980"/>
    <w:rsid w:val="000546DB"/>
    <w:rsid w:val="000A4F7C"/>
    <w:rsid w:val="000E343F"/>
    <w:rsid w:val="000E7108"/>
    <w:rsid w:val="00113AA0"/>
    <w:rsid w:val="00124B9F"/>
    <w:rsid w:val="00132E1A"/>
    <w:rsid w:val="00137B7A"/>
    <w:rsid w:val="0019496E"/>
    <w:rsid w:val="001D09D2"/>
    <w:rsid w:val="001E6313"/>
    <w:rsid w:val="0024215E"/>
    <w:rsid w:val="002461F1"/>
    <w:rsid w:val="00271019"/>
    <w:rsid w:val="002A3FF0"/>
    <w:rsid w:val="002B6C6A"/>
    <w:rsid w:val="00304EF8"/>
    <w:rsid w:val="00322448"/>
    <w:rsid w:val="00360A14"/>
    <w:rsid w:val="00374695"/>
    <w:rsid w:val="00376DB7"/>
    <w:rsid w:val="00381D04"/>
    <w:rsid w:val="0039422E"/>
    <w:rsid w:val="003B1BCE"/>
    <w:rsid w:val="003C3E90"/>
    <w:rsid w:val="003D3815"/>
    <w:rsid w:val="003E2678"/>
    <w:rsid w:val="0040788F"/>
    <w:rsid w:val="00447E56"/>
    <w:rsid w:val="00471404"/>
    <w:rsid w:val="0047467C"/>
    <w:rsid w:val="0049739B"/>
    <w:rsid w:val="004A12BC"/>
    <w:rsid w:val="004B2165"/>
    <w:rsid w:val="004C1061"/>
    <w:rsid w:val="00502D4A"/>
    <w:rsid w:val="00503517"/>
    <w:rsid w:val="00515775"/>
    <w:rsid w:val="00556FE6"/>
    <w:rsid w:val="00570B61"/>
    <w:rsid w:val="005A1B9E"/>
    <w:rsid w:val="005D60CA"/>
    <w:rsid w:val="006169BA"/>
    <w:rsid w:val="00636255"/>
    <w:rsid w:val="0063671A"/>
    <w:rsid w:val="006615F2"/>
    <w:rsid w:val="00676D0E"/>
    <w:rsid w:val="006920D6"/>
    <w:rsid w:val="006D7599"/>
    <w:rsid w:val="00746DEE"/>
    <w:rsid w:val="007624A1"/>
    <w:rsid w:val="0078487E"/>
    <w:rsid w:val="00795A31"/>
    <w:rsid w:val="007A4A44"/>
    <w:rsid w:val="007C5C6B"/>
    <w:rsid w:val="007F2BDA"/>
    <w:rsid w:val="007F5E53"/>
    <w:rsid w:val="00851EA8"/>
    <w:rsid w:val="0085689C"/>
    <w:rsid w:val="00857A7F"/>
    <w:rsid w:val="00871115"/>
    <w:rsid w:val="00884FB1"/>
    <w:rsid w:val="00895456"/>
    <w:rsid w:val="008A0882"/>
    <w:rsid w:val="00911C4C"/>
    <w:rsid w:val="009138D0"/>
    <w:rsid w:val="00943FD6"/>
    <w:rsid w:val="009819DF"/>
    <w:rsid w:val="009C4681"/>
    <w:rsid w:val="009F65C2"/>
    <w:rsid w:val="00A45F40"/>
    <w:rsid w:val="00A50CA7"/>
    <w:rsid w:val="00A53B66"/>
    <w:rsid w:val="00A56A96"/>
    <w:rsid w:val="00A61DE2"/>
    <w:rsid w:val="00AA2104"/>
    <w:rsid w:val="00AA3EFD"/>
    <w:rsid w:val="00AB2C9F"/>
    <w:rsid w:val="00AB543E"/>
    <w:rsid w:val="00B102E6"/>
    <w:rsid w:val="00B5403F"/>
    <w:rsid w:val="00B5723B"/>
    <w:rsid w:val="00B63A9C"/>
    <w:rsid w:val="00B96558"/>
    <w:rsid w:val="00BB041C"/>
    <w:rsid w:val="00BD00F8"/>
    <w:rsid w:val="00C02AD1"/>
    <w:rsid w:val="00C13896"/>
    <w:rsid w:val="00C27A4E"/>
    <w:rsid w:val="00C44047"/>
    <w:rsid w:val="00C45798"/>
    <w:rsid w:val="00C5170A"/>
    <w:rsid w:val="00C61B34"/>
    <w:rsid w:val="00C81D46"/>
    <w:rsid w:val="00C926D3"/>
    <w:rsid w:val="00CB2682"/>
    <w:rsid w:val="00CE2554"/>
    <w:rsid w:val="00D11B89"/>
    <w:rsid w:val="00D43E5B"/>
    <w:rsid w:val="00D73957"/>
    <w:rsid w:val="00D77F0B"/>
    <w:rsid w:val="00D80F70"/>
    <w:rsid w:val="00DC2E26"/>
    <w:rsid w:val="00DF15E4"/>
    <w:rsid w:val="00E0068F"/>
    <w:rsid w:val="00E06197"/>
    <w:rsid w:val="00E12119"/>
    <w:rsid w:val="00E149F0"/>
    <w:rsid w:val="00E41A8B"/>
    <w:rsid w:val="00E54BF9"/>
    <w:rsid w:val="00E5514B"/>
    <w:rsid w:val="00E60284"/>
    <w:rsid w:val="00E62835"/>
    <w:rsid w:val="00E747B1"/>
    <w:rsid w:val="00EA100B"/>
    <w:rsid w:val="00ED53B1"/>
    <w:rsid w:val="00ED6A00"/>
    <w:rsid w:val="00EE7C98"/>
    <w:rsid w:val="00EF0A7F"/>
    <w:rsid w:val="00F03CFB"/>
    <w:rsid w:val="00F268C6"/>
    <w:rsid w:val="00F8595C"/>
    <w:rsid w:val="00FA3449"/>
    <w:rsid w:val="00FA6FC4"/>
    <w:rsid w:val="00FD59E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FBA97"/>
  <w15:chartTrackingRefBased/>
  <w15:docId w15:val="{6768575C-E511-4052-A497-99C49869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character" w:styleId="Hyperlink">
    <w:name w:val="Hyperlink"/>
    <w:uiPriority w:val="99"/>
    <w:unhideWhenUsed/>
    <w:rsid w:val="00606EFF"/>
    <w:rPr>
      <w:color w:val="0563C1"/>
      <w:u w:val="single"/>
    </w:rPr>
  </w:style>
  <w:style w:type="paragraph" w:styleId="ListParagraph">
    <w:name w:val="List Paragraph"/>
    <w:basedOn w:val="Normal"/>
    <w:link w:val="ListParagraphChar"/>
    <w:uiPriority w:val="34"/>
    <w:qFormat/>
    <w:rsid w:val="00606EFF"/>
    <w:pPr>
      <w:ind w:left="720"/>
      <w:contextualSpacing/>
    </w:pPr>
  </w:style>
  <w:style w:type="character" w:customStyle="1" w:styleId="HeaderChar">
    <w:name w:val="Header Char"/>
    <w:link w:val="Header"/>
    <w:uiPriority w:val="99"/>
    <w:rsid w:val="00606EFF"/>
    <w:rPr>
      <w:rFonts w:ascii="Universal" w:hAnsi="Universal"/>
      <w:sz w:val="24"/>
    </w:rPr>
  </w:style>
  <w:style w:type="character" w:styleId="CommentReference">
    <w:name w:val="annotation reference"/>
    <w:uiPriority w:val="99"/>
    <w:semiHidden/>
    <w:unhideWhenUsed/>
    <w:rsid w:val="003618D4"/>
    <w:rPr>
      <w:sz w:val="16"/>
      <w:szCs w:val="16"/>
    </w:rPr>
  </w:style>
  <w:style w:type="paragraph" w:styleId="CommentText">
    <w:name w:val="annotation text"/>
    <w:basedOn w:val="Normal"/>
    <w:link w:val="CommentTextChar"/>
    <w:uiPriority w:val="99"/>
    <w:semiHidden/>
    <w:unhideWhenUsed/>
    <w:rsid w:val="003618D4"/>
    <w:rPr>
      <w:sz w:val="20"/>
    </w:rPr>
  </w:style>
  <w:style w:type="character" w:customStyle="1" w:styleId="CommentTextChar">
    <w:name w:val="Comment Text Char"/>
    <w:link w:val="CommentText"/>
    <w:uiPriority w:val="99"/>
    <w:semiHidden/>
    <w:rsid w:val="003618D4"/>
    <w:rPr>
      <w:rFonts w:ascii="Arial" w:hAnsi="Arial"/>
    </w:rPr>
  </w:style>
  <w:style w:type="paragraph" w:styleId="CommentSubject">
    <w:name w:val="annotation subject"/>
    <w:basedOn w:val="CommentText"/>
    <w:next w:val="CommentText"/>
    <w:link w:val="CommentSubjectChar"/>
    <w:uiPriority w:val="99"/>
    <w:semiHidden/>
    <w:unhideWhenUsed/>
    <w:rsid w:val="003618D4"/>
    <w:rPr>
      <w:b/>
      <w:bCs/>
    </w:rPr>
  </w:style>
  <w:style w:type="character" w:customStyle="1" w:styleId="CommentSubjectChar">
    <w:name w:val="Comment Subject Char"/>
    <w:link w:val="CommentSubject"/>
    <w:uiPriority w:val="99"/>
    <w:semiHidden/>
    <w:rsid w:val="003618D4"/>
    <w:rPr>
      <w:rFonts w:ascii="Arial" w:hAnsi="Arial"/>
      <w:b/>
      <w:bCs/>
    </w:rPr>
  </w:style>
  <w:style w:type="table" w:styleId="TableGrid">
    <w:name w:val="Table Grid"/>
    <w:basedOn w:val="TableNormal"/>
    <w:uiPriority w:val="59"/>
    <w:rsid w:val="00DC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02D4A"/>
    <w:rPr>
      <w:rFonts w:ascii="Arial" w:hAnsi="Arial"/>
      <w:sz w:val="24"/>
    </w:rPr>
  </w:style>
  <w:style w:type="paragraph" w:styleId="NoSpacing">
    <w:name w:val="No Spacing"/>
    <w:uiPriority w:val="1"/>
    <w:qFormat/>
    <w:rsid w:val="00AB543E"/>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94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6940">
      <w:bodyDiv w:val="1"/>
      <w:marLeft w:val="0"/>
      <w:marRight w:val="0"/>
      <w:marTop w:val="0"/>
      <w:marBottom w:val="0"/>
      <w:divBdr>
        <w:top w:val="none" w:sz="0" w:space="0" w:color="auto"/>
        <w:left w:val="none" w:sz="0" w:space="0" w:color="auto"/>
        <w:bottom w:val="none" w:sz="0" w:space="0" w:color="auto"/>
        <w:right w:val="none" w:sz="0" w:space="0" w:color="auto"/>
      </w:divBdr>
    </w:div>
    <w:div w:id="639187061">
      <w:bodyDiv w:val="1"/>
      <w:marLeft w:val="0"/>
      <w:marRight w:val="0"/>
      <w:marTop w:val="0"/>
      <w:marBottom w:val="0"/>
      <w:divBdr>
        <w:top w:val="none" w:sz="0" w:space="0" w:color="auto"/>
        <w:left w:val="none" w:sz="0" w:space="0" w:color="auto"/>
        <w:bottom w:val="none" w:sz="0" w:space="0" w:color="auto"/>
        <w:right w:val="none" w:sz="0" w:space="0" w:color="auto"/>
      </w:divBdr>
    </w:div>
    <w:div w:id="1275290795">
      <w:bodyDiv w:val="1"/>
      <w:marLeft w:val="0"/>
      <w:marRight w:val="0"/>
      <w:marTop w:val="0"/>
      <w:marBottom w:val="0"/>
      <w:divBdr>
        <w:top w:val="none" w:sz="0" w:space="0" w:color="auto"/>
        <w:left w:val="none" w:sz="0" w:space="0" w:color="auto"/>
        <w:bottom w:val="none" w:sz="0" w:space="0" w:color="auto"/>
        <w:right w:val="none" w:sz="0" w:space="0" w:color="auto"/>
      </w:divBdr>
    </w:div>
    <w:div w:id="1513572815">
      <w:bodyDiv w:val="1"/>
      <w:marLeft w:val="0"/>
      <w:marRight w:val="0"/>
      <w:marTop w:val="0"/>
      <w:marBottom w:val="0"/>
      <w:divBdr>
        <w:top w:val="none" w:sz="0" w:space="0" w:color="auto"/>
        <w:left w:val="none" w:sz="0" w:space="0" w:color="auto"/>
        <w:bottom w:val="none" w:sz="0" w:space="0" w:color="auto"/>
        <w:right w:val="none" w:sz="0" w:space="0" w:color="auto"/>
      </w:divBdr>
    </w:div>
    <w:div w:id="188810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43E9-F6A2-4B76-965E-F301C6F5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404</TotalTime>
  <Pages>13</Pages>
  <Words>4327</Words>
  <Characters>22371</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26645</CharactersWithSpaces>
  <SharedDoc>false</SharedDoc>
  <HLinks>
    <vt:vector size="12" baseType="variant">
      <vt:variant>
        <vt:i4>5636169</vt:i4>
      </vt:variant>
      <vt:variant>
        <vt:i4>18</vt:i4>
      </vt:variant>
      <vt:variant>
        <vt:i4>0</vt:i4>
      </vt:variant>
      <vt:variant>
        <vt:i4>5</vt:i4>
      </vt:variant>
      <vt:variant>
        <vt:lpwstr>http://www.lancashire.gov.uk/</vt:lpwstr>
      </vt:variant>
      <vt:variant>
        <vt:lpwstr/>
      </vt:variant>
      <vt:variant>
        <vt:i4>1376315</vt:i4>
      </vt:variant>
      <vt:variant>
        <vt:i4>15</vt:i4>
      </vt:variant>
      <vt:variant>
        <vt:i4>0</vt:i4>
      </vt:variant>
      <vt:variant>
        <vt:i4>5</vt:i4>
      </vt:variant>
      <vt:variant>
        <vt:lpwstr>mailto:paul.duckworth@lancashire.gov.uk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
  <cp:lastModifiedBy>Parker, Sam</cp:lastModifiedBy>
  <cp:revision>17</cp:revision>
  <cp:lastPrinted>2019-11-07T17:08:00Z</cp:lastPrinted>
  <dcterms:created xsi:type="dcterms:W3CDTF">2020-01-21T09:01:00Z</dcterms:created>
  <dcterms:modified xsi:type="dcterms:W3CDTF">2020-01-27T13:29:00Z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Secondary Education Provision in Burnley</vt:lpwstr>
  </property>
  <property fmtid="{D5CDD505-2E9C-101B-9397-08002B2CF9AE}" pid="5" name="LeadOfficer">
    <vt:lpwstr>Sarah Hirst</vt:lpwstr>
  </property>
  <property fmtid="{D5CDD505-2E9C-101B-9397-08002B2CF9AE}" pid="6" name="LeadOfficerEmail">
    <vt:lpwstr>Sarah.Hirst@lancashire.gov.uk</vt:lpwstr>
  </property>
  <property fmtid="{D5CDD505-2E9C-101B-9397-08002B2CF9AE}" pid="7" name="LeadOfficerTel">
    <vt:lpwstr>Tel: 01772 531842</vt:lpwstr>
  </property>
  <property fmtid="{D5CDD505-2E9C-101B-9397-08002B2CF9AE}" pid="8" name="MeetingDate">
    <vt:lpwstr>Thursday, 10 August 2017</vt:lpwstr>
  </property>
  <property fmtid="{D5CDD505-2E9C-101B-9397-08002B2CF9AE}" pid="9" name="Wards">
    <vt:lpwstr>Burnley Central East; Burnley Central West; Burnley North East; Burnley Rural; Burnley South West; Padiham and Burnley West;</vt:lpwstr>
  </property>
</Properties>
</file>