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4937B5" w14:textId="77777777" w:rsidR="006F349B" w:rsidRPr="00203B80" w:rsidRDefault="006F349B" w:rsidP="00657D0F">
      <w:pPr>
        <w:jc w:val="both"/>
        <w:rPr>
          <w:rFonts w:cs="Arial"/>
          <w:b/>
          <w:szCs w:val="24"/>
        </w:rPr>
      </w:pPr>
      <w:r w:rsidRPr="00203B80">
        <w:rPr>
          <w:rFonts w:cs="Arial"/>
          <w:b/>
          <w:szCs w:val="24"/>
        </w:rPr>
        <w:t>Report to the Cabinet</w:t>
      </w:r>
    </w:p>
    <w:p w14:paraId="3FEAE250" w14:textId="34105B7A" w:rsidR="006F349B" w:rsidRPr="00657D0F" w:rsidRDefault="006F349B" w:rsidP="00657D0F">
      <w:pPr>
        <w:jc w:val="both"/>
        <w:rPr>
          <w:rFonts w:cs="Arial"/>
          <w:szCs w:val="24"/>
        </w:rPr>
      </w:pPr>
      <w:r w:rsidRPr="00203B80">
        <w:rPr>
          <w:rFonts w:cs="Arial"/>
          <w:szCs w:val="24"/>
        </w:rPr>
        <w:t xml:space="preserve">Meeting to be held on </w:t>
      </w:r>
      <w:r w:rsidR="00A250B6">
        <w:rPr>
          <w:rFonts w:cs="Arial"/>
          <w:szCs w:val="24"/>
        </w:rPr>
        <w:t>Th</w:t>
      </w:r>
      <w:r w:rsidR="005E7E87">
        <w:rPr>
          <w:rFonts w:cs="Arial"/>
          <w:szCs w:val="24"/>
        </w:rPr>
        <w:t xml:space="preserve">ursday, </w:t>
      </w:r>
      <w:r w:rsidR="0095036F" w:rsidRPr="00203B80">
        <w:rPr>
          <w:rFonts w:cs="Arial"/>
          <w:szCs w:val="24"/>
        </w:rPr>
        <w:t>14 May</w:t>
      </w:r>
      <w:r w:rsidR="00AA2519" w:rsidRPr="00203B80">
        <w:rPr>
          <w:rFonts w:cs="Arial"/>
          <w:szCs w:val="24"/>
        </w:rPr>
        <w:t xml:space="preserve"> 2020</w:t>
      </w:r>
    </w:p>
    <w:p w14:paraId="30F8DC73" w14:textId="77777777" w:rsidR="00AA2519" w:rsidRPr="00657D0F" w:rsidRDefault="00AA2519" w:rsidP="00657D0F">
      <w:pPr>
        <w:jc w:val="both"/>
        <w:rPr>
          <w:rFonts w:cs="Arial"/>
          <w:szCs w:val="24"/>
        </w:rPr>
      </w:pPr>
    </w:p>
    <w:p w14:paraId="562DE2E5" w14:textId="77777777" w:rsidR="006F349B" w:rsidRPr="00657D0F" w:rsidRDefault="006F349B" w:rsidP="00657D0F">
      <w:pPr>
        <w:jc w:val="both"/>
        <w:rPr>
          <w:rFonts w:cs="Arial"/>
          <w:b/>
          <w:szCs w:val="24"/>
        </w:rPr>
      </w:pPr>
      <w:r w:rsidRPr="00657D0F">
        <w:rPr>
          <w:rFonts w:cs="Arial"/>
          <w:b/>
          <w:szCs w:val="24"/>
        </w:rPr>
        <w:t>Report of the Head of Service - Procurement</w:t>
      </w:r>
    </w:p>
    <w:p w14:paraId="2541E0C2" w14:textId="42838698" w:rsidR="006F349B" w:rsidRPr="00657D0F" w:rsidRDefault="006F349B" w:rsidP="00657D0F">
      <w:pPr>
        <w:jc w:val="both"/>
        <w:rPr>
          <w:rFonts w:cs="Arial"/>
          <w:szCs w:val="24"/>
        </w:rPr>
      </w:pP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tblGrid>
      <w:tr w:rsidR="006F349B" w:rsidRPr="005E7E87" w14:paraId="33B14567" w14:textId="77777777" w:rsidTr="006F349B">
        <w:tc>
          <w:tcPr>
            <w:tcW w:w="3402" w:type="dxa"/>
            <w:tcBorders>
              <w:bottom w:val="single" w:sz="4" w:space="0" w:color="auto"/>
            </w:tcBorders>
          </w:tcPr>
          <w:p w14:paraId="6B58408D" w14:textId="77777777" w:rsidR="006F349B" w:rsidRPr="005E7E87" w:rsidRDefault="006F349B" w:rsidP="00657D0F">
            <w:pPr>
              <w:pStyle w:val="BodyText"/>
              <w:jc w:val="both"/>
              <w:rPr>
                <w:rFonts w:cs="Arial"/>
                <w:b/>
                <w:sz w:val="28"/>
                <w:szCs w:val="28"/>
              </w:rPr>
            </w:pPr>
            <w:r w:rsidRPr="005E7E87">
              <w:rPr>
                <w:rFonts w:cs="Arial"/>
                <w:b/>
                <w:sz w:val="28"/>
                <w:szCs w:val="28"/>
              </w:rPr>
              <w:fldChar w:fldCharType="begin"/>
            </w:r>
            <w:r w:rsidRPr="005E7E87">
              <w:rPr>
                <w:rFonts w:cs="Arial"/>
                <w:b/>
                <w:sz w:val="28"/>
                <w:szCs w:val="28"/>
              </w:rPr>
              <w:instrText xml:space="preserve"> DOCPROPERTY  IssueExemptionClassTitle  \* MERGEFORMAT </w:instrText>
            </w:r>
            <w:r w:rsidRPr="005E7E87">
              <w:rPr>
                <w:rFonts w:cs="Arial"/>
                <w:b/>
                <w:sz w:val="28"/>
                <w:szCs w:val="28"/>
              </w:rPr>
              <w:fldChar w:fldCharType="separate"/>
            </w:r>
            <w:r w:rsidRPr="005E7E87">
              <w:rPr>
                <w:rFonts w:cs="Arial"/>
                <w:b/>
                <w:sz w:val="28"/>
                <w:szCs w:val="28"/>
              </w:rPr>
              <w:t>Part I</w:t>
            </w:r>
            <w:r w:rsidRPr="005E7E87">
              <w:rPr>
                <w:rFonts w:cs="Arial"/>
                <w:b/>
                <w:sz w:val="28"/>
                <w:szCs w:val="28"/>
              </w:rPr>
              <w:fldChar w:fldCharType="end"/>
            </w:r>
          </w:p>
        </w:tc>
      </w:tr>
      <w:tr w:rsidR="006F349B" w:rsidRPr="00657D0F" w14:paraId="177EB139" w14:textId="77777777" w:rsidTr="006F349B">
        <w:tc>
          <w:tcPr>
            <w:tcW w:w="3402" w:type="dxa"/>
            <w:tcBorders>
              <w:left w:val="nil"/>
              <w:right w:val="nil"/>
            </w:tcBorders>
          </w:tcPr>
          <w:p w14:paraId="32C054B7" w14:textId="77777777" w:rsidR="006F349B" w:rsidRPr="00657D0F" w:rsidRDefault="006F349B" w:rsidP="00657D0F">
            <w:pPr>
              <w:pStyle w:val="BodyText"/>
              <w:jc w:val="both"/>
              <w:rPr>
                <w:rFonts w:cs="Arial"/>
                <w:szCs w:val="24"/>
              </w:rPr>
            </w:pPr>
          </w:p>
        </w:tc>
      </w:tr>
      <w:tr w:rsidR="006F349B" w:rsidRPr="00657D0F" w14:paraId="22704B6D" w14:textId="77777777">
        <w:tc>
          <w:tcPr>
            <w:tcW w:w="3402" w:type="dxa"/>
          </w:tcPr>
          <w:p w14:paraId="726188C8" w14:textId="420D95F0" w:rsidR="006F349B" w:rsidRPr="00657D0F" w:rsidRDefault="006F349B" w:rsidP="00657D0F">
            <w:pPr>
              <w:pStyle w:val="BodyText"/>
              <w:jc w:val="both"/>
              <w:rPr>
                <w:rFonts w:cs="Arial"/>
                <w:szCs w:val="24"/>
              </w:rPr>
            </w:pPr>
            <w:r w:rsidRPr="00657D0F">
              <w:rPr>
                <w:rFonts w:cs="Arial"/>
                <w:szCs w:val="24"/>
              </w:rPr>
              <w:t>Electoral Division</w:t>
            </w:r>
            <w:r w:rsidR="005E7E87">
              <w:rPr>
                <w:rFonts w:cs="Arial"/>
                <w:szCs w:val="24"/>
              </w:rPr>
              <w:t>s</w:t>
            </w:r>
            <w:r w:rsidRPr="00657D0F">
              <w:rPr>
                <w:rFonts w:cs="Arial"/>
                <w:szCs w:val="24"/>
              </w:rPr>
              <w:t xml:space="preserve"> affected:</w:t>
            </w:r>
          </w:p>
          <w:p w14:paraId="22C95FE3" w14:textId="77777777" w:rsidR="006F349B" w:rsidRPr="00657D0F" w:rsidRDefault="006F349B" w:rsidP="00657D0F">
            <w:pPr>
              <w:ind w:right="-250"/>
              <w:jc w:val="both"/>
              <w:rPr>
                <w:rFonts w:cs="Arial"/>
                <w:szCs w:val="24"/>
              </w:rPr>
            </w:pPr>
            <w:r w:rsidRPr="00657D0F">
              <w:rPr>
                <w:rFonts w:cs="Arial"/>
                <w:szCs w:val="24"/>
              </w:rPr>
              <w:fldChar w:fldCharType="begin"/>
            </w:r>
            <w:r w:rsidRPr="00657D0F">
              <w:rPr>
                <w:rFonts w:cs="Arial"/>
                <w:szCs w:val="24"/>
              </w:rPr>
              <w:instrText xml:space="preserve"> DOCPROPERTY  Wards  \* MERGEFORMAT </w:instrText>
            </w:r>
            <w:r w:rsidRPr="00657D0F">
              <w:rPr>
                <w:rFonts w:cs="Arial"/>
                <w:szCs w:val="24"/>
              </w:rPr>
              <w:fldChar w:fldCharType="separate"/>
            </w:r>
            <w:r w:rsidRPr="00657D0F">
              <w:rPr>
                <w:rFonts w:cs="Arial"/>
                <w:szCs w:val="24"/>
              </w:rPr>
              <w:t>(All Divisions);</w:t>
            </w:r>
            <w:r w:rsidRPr="00657D0F">
              <w:rPr>
                <w:rFonts w:cs="Arial"/>
                <w:szCs w:val="24"/>
              </w:rPr>
              <w:fldChar w:fldCharType="end"/>
            </w:r>
          </w:p>
        </w:tc>
      </w:tr>
    </w:tbl>
    <w:p w14:paraId="2EC8C10B" w14:textId="4ACF3B34" w:rsidR="00AA2519" w:rsidRPr="00657D0F" w:rsidRDefault="00AA2519" w:rsidP="00657D0F">
      <w:pPr>
        <w:jc w:val="both"/>
        <w:rPr>
          <w:rFonts w:cs="Arial"/>
          <w:b/>
          <w:szCs w:val="24"/>
        </w:rPr>
      </w:pPr>
    </w:p>
    <w:p w14:paraId="66A296EA" w14:textId="77777777" w:rsidR="006F349B" w:rsidRPr="00657D0F" w:rsidRDefault="006F349B" w:rsidP="00657D0F">
      <w:pPr>
        <w:jc w:val="both"/>
        <w:rPr>
          <w:rFonts w:cs="Arial"/>
          <w:b/>
          <w:szCs w:val="24"/>
        </w:rPr>
      </w:pPr>
      <w:r w:rsidRPr="00657D0F">
        <w:rPr>
          <w:rFonts w:cs="Arial"/>
          <w:b/>
          <w:szCs w:val="24"/>
        </w:rPr>
        <w:fldChar w:fldCharType="begin"/>
      </w:r>
      <w:r w:rsidRPr="00657D0F">
        <w:rPr>
          <w:rFonts w:cs="Arial"/>
          <w:b/>
          <w:szCs w:val="24"/>
        </w:rPr>
        <w:instrText xml:space="preserve"> DOCPROPERTY  IssueTitle  \* MERGEFORMAT </w:instrText>
      </w:r>
      <w:r w:rsidRPr="00657D0F">
        <w:rPr>
          <w:rFonts w:cs="Arial"/>
          <w:b/>
          <w:szCs w:val="24"/>
        </w:rPr>
        <w:fldChar w:fldCharType="separate"/>
      </w:r>
      <w:r w:rsidRPr="00657D0F">
        <w:rPr>
          <w:rFonts w:cs="Arial"/>
          <w:b/>
          <w:szCs w:val="24"/>
        </w:rPr>
        <w:t xml:space="preserve">Request Approval to </w:t>
      </w:r>
      <w:r w:rsidR="00AA2519" w:rsidRPr="00657D0F">
        <w:rPr>
          <w:rFonts w:cs="Arial"/>
          <w:b/>
          <w:szCs w:val="24"/>
        </w:rPr>
        <w:t>Extend Existing Contracts</w:t>
      </w:r>
      <w:r w:rsidRPr="00657D0F">
        <w:rPr>
          <w:rFonts w:cs="Arial"/>
          <w:b/>
          <w:szCs w:val="24"/>
        </w:rPr>
        <w:t xml:space="preserve"> </w:t>
      </w:r>
      <w:r w:rsidRPr="00657D0F">
        <w:rPr>
          <w:rFonts w:cs="Arial"/>
          <w:b/>
          <w:szCs w:val="24"/>
        </w:rPr>
        <w:fldChar w:fldCharType="end"/>
      </w:r>
      <w:r w:rsidR="00AA2519" w:rsidRPr="00657D0F">
        <w:rPr>
          <w:rFonts w:cs="Arial"/>
          <w:b/>
          <w:szCs w:val="24"/>
        </w:rPr>
        <w:t>in Response to Covid-19</w:t>
      </w:r>
      <w:r w:rsidR="00D30B8D">
        <w:rPr>
          <w:rFonts w:cs="Arial"/>
          <w:b/>
          <w:szCs w:val="24"/>
        </w:rPr>
        <w:t xml:space="preserve"> Outbreak</w:t>
      </w:r>
    </w:p>
    <w:p w14:paraId="068479A2" w14:textId="77777777" w:rsidR="006F349B" w:rsidRPr="00657D0F" w:rsidRDefault="006F349B" w:rsidP="00657D0F">
      <w:pPr>
        <w:ind w:left="709" w:hanging="709"/>
        <w:jc w:val="both"/>
        <w:rPr>
          <w:rFonts w:cs="Arial"/>
          <w:szCs w:val="24"/>
        </w:rPr>
      </w:pPr>
      <w:r w:rsidRPr="00657D0F">
        <w:rPr>
          <w:rFonts w:cs="Arial"/>
          <w:szCs w:val="24"/>
        </w:rPr>
        <w:t>(Appendix 'A' refers)</w:t>
      </w:r>
    </w:p>
    <w:p w14:paraId="233B0189" w14:textId="77777777" w:rsidR="006F349B" w:rsidRPr="00657D0F" w:rsidRDefault="006F349B" w:rsidP="00657D0F">
      <w:pPr>
        <w:jc w:val="both"/>
        <w:rPr>
          <w:rFonts w:cs="Arial"/>
          <w:szCs w:val="24"/>
        </w:rPr>
      </w:pPr>
    </w:p>
    <w:p w14:paraId="29B6BBC3" w14:textId="77777777" w:rsidR="006F349B" w:rsidRPr="00657D0F" w:rsidRDefault="006F349B" w:rsidP="00657D0F">
      <w:pPr>
        <w:ind w:right="-873"/>
        <w:jc w:val="both"/>
        <w:rPr>
          <w:rFonts w:cs="Arial"/>
          <w:szCs w:val="24"/>
        </w:rPr>
      </w:pPr>
      <w:r w:rsidRPr="00657D0F">
        <w:rPr>
          <w:rFonts w:cs="Arial"/>
          <w:szCs w:val="24"/>
        </w:rPr>
        <w:t xml:space="preserve">Contact for further information: </w:t>
      </w:r>
    </w:p>
    <w:p w14:paraId="624DFD42" w14:textId="77777777" w:rsidR="006F349B" w:rsidRPr="00657D0F" w:rsidRDefault="006F349B" w:rsidP="00657D0F">
      <w:pPr>
        <w:ind w:right="-873"/>
        <w:jc w:val="both"/>
        <w:rPr>
          <w:rFonts w:cs="Arial"/>
          <w:szCs w:val="24"/>
        </w:rPr>
      </w:pPr>
      <w:r w:rsidRPr="00657D0F">
        <w:rPr>
          <w:rFonts w:cs="Arial"/>
          <w:szCs w:val="24"/>
        </w:rPr>
        <w:fldChar w:fldCharType="begin"/>
      </w:r>
      <w:r w:rsidRPr="00657D0F">
        <w:rPr>
          <w:rFonts w:cs="Arial"/>
          <w:szCs w:val="24"/>
        </w:rPr>
        <w:instrText xml:space="preserve"> DOCPROPERTY  LeadOfficer  \* MERGEFORMAT </w:instrText>
      </w:r>
      <w:r w:rsidRPr="00657D0F">
        <w:rPr>
          <w:rFonts w:cs="Arial"/>
          <w:szCs w:val="24"/>
        </w:rPr>
        <w:fldChar w:fldCharType="separate"/>
      </w:r>
      <w:r w:rsidRPr="00657D0F">
        <w:rPr>
          <w:rFonts w:cs="Arial"/>
          <w:szCs w:val="24"/>
        </w:rPr>
        <w:t>Rachel Tanner</w:t>
      </w:r>
      <w:r w:rsidRPr="00657D0F">
        <w:rPr>
          <w:rFonts w:cs="Arial"/>
          <w:szCs w:val="24"/>
        </w:rPr>
        <w:fldChar w:fldCharType="end"/>
      </w:r>
      <w:r w:rsidRPr="00657D0F">
        <w:rPr>
          <w:rFonts w:cs="Arial"/>
          <w:szCs w:val="24"/>
        </w:rPr>
        <w:t xml:space="preserve">, </w:t>
      </w:r>
      <w:r w:rsidRPr="00657D0F">
        <w:rPr>
          <w:rFonts w:cs="Arial"/>
          <w:szCs w:val="24"/>
        </w:rPr>
        <w:fldChar w:fldCharType="begin"/>
      </w:r>
      <w:r w:rsidRPr="00657D0F">
        <w:rPr>
          <w:rFonts w:cs="Arial"/>
          <w:szCs w:val="24"/>
        </w:rPr>
        <w:instrText xml:space="preserve"> DOCPROPERTY  LeadOfficerTel  \* MERGEFORMAT </w:instrText>
      </w:r>
      <w:r w:rsidRPr="00657D0F">
        <w:rPr>
          <w:rFonts w:cs="Arial"/>
          <w:szCs w:val="24"/>
        </w:rPr>
        <w:fldChar w:fldCharType="separate"/>
      </w:r>
      <w:r w:rsidRPr="00657D0F">
        <w:rPr>
          <w:rFonts w:cs="Arial"/>
          <w:szCs w:val="24"/>
        </w:rPr>
        <w:t xml:space="preserve">Tel: </w:t>
      </w:r>
      <w:r w:rsidR="00095D60" w:rsidRPr="00657D0F">
        <w:rPr>
          <w:rFonts w:cs="Arial"/>
          <w:szCs w:val="24"/>
        </w:rPr>
        <w:t>(</w:t>
      </w:r>
      <w:r w:rsidRPr="00657D0F">
        <w:rPr>
          <w:rFonts w:cs="Arial"/>
          <w:szCs w:val="24"/>
        </w:rPr>
        <w:t>01772</w:t>
      </w:r>
      <w:r w:rsidR="00095D60" w:rsidRPr="00657D0F">
        <w:rPr>
          <w:rFonts w:cs="Arial"/>
          <w:szCs w:val="24"/>
        </w:rPr>
        <w:t>)</w:t>
      </w:r>
      <w:r w:rsidRPr="00657D0F">
        <w:rPr>
          <w:rFonts w:cs="Arial"/>
          <w:szCs w:val="24"/>
        </w:rPr>
        <w:t xml:space="preserve"> 534904</w:t>
      </w:r>
      <w:r w:rsidRPr="00657D0F">
        <w:rPr>
          <w:rFonts w:cs="Arial"/>
          <w:szCs w:val="24"/>
        </w:rPr>
        <w:fldChar w:fldCharType="end"/>
      </w:r>
      <w:r w:rsidRPr="00657D0F">
        <w:rPr>
          <w:rFonts w:cs="Arial"/>
          <w:szCs w:val="24"/>
        </w:rPr>
        <w:t xml:space="preserve">, Head of Service - Procurement, </w:t>
      </w:r>
    </w:p>
    <w:p w14:paraId="64F9A983" w14:textId="77777777" w:rsidR="006F349B" w:rsidRPr="00B97C4D" w:rsidRDefault="006F349B" w:rsidP="00657D0F">
      <w:pPr>
        <w:ind w:right="-873"/>
        <w:jc w:val="both"/>
        <w:rPr>
          <w:rFonts w:cs="Arial"/>
          <w:color w:val="2E74B5" w:themeColor="accent1" w:themeShade="BF"/>
          <w:szCs w:val="24"/>
          <w:u w:val="single"/>
        </w:rPr>
      </w:pPr>
      <w:r w:rsidRPr="00B97C4D">
        <w:rPr>
          <w:rFonts w:cs="Arial"/>
          <w:color w:val="2E74B5" w:themeColor="accent1" w:themeShade="BF"/>
          <w:szCs w:val="24"/>
          <w:u w:val="single"/>
        </w:rPr>
        <w:fldChar w:fldCharType="begin"/>
      </w:r>
      <w:r w:rsidRPr="00B97C4D">
        <w:rPr>
          <w:rFonts w:cs="Arial"/>
          <w:color w:val="2E74B5" w:themeColor="accent1" w:themeShade="BF"/>
          <w:szCs w:val="24"/>
          <w:u w:val="single"/>
        </w:rPr>
        <w:instrText xml:space="preserve"> DOCPROPERTY  LeadOfficerEmail  \* MERGEFORMAT </w:instrText>
      </w:r>
      <w:r w:rsidRPr="00B97C4D">
        <w:rPr>
          <w:rFonts w:cs="Arial"/>
          <w:color w:val="2E74B5" w:themeColor="accent1" w:themeShade="BF"/>
          <w:szCs w:val="24"/>
          <w:u w:val="single"/>
        </w:rPr>
        <w:fldChar w:fldCharType="separate"/>
      </w:r>
      <w:r w:rsidRPr="00B97C4D">
        <w:rPr>
          <w:rFonts w:cs="Arial"/>
          <w:color w:val="2E74B5" w:themeColor="accent1" w:themeShade="BF"/>
          <w:szCs w:val="24"/>
          <w:u w:val="single"/>
        </w:rPr>
        <w:t>rachel.tanner@lancashire.gov.uk</w:t>
      </w:r>
      <w:r w:rsidRPr="00B97C4D">
        <w:rPr>
          <w:rFonts w:cs="Arial"/>
          <w:color w:val="2E74B5" w:themeColor="accent1" w:themeShade="BF"/>
          <w:szCs w:val="24"/>
          <w:u w:val="single"/>
        </w:rPr>
        <w:fldChar w:fldCharType="end"/>
      </w:r>
    </w:p>
    <w:p w14:paraId="58E8ECF1" w14:textId="77777777" w:rsidR="006F349B" w:rsidRPr="00657D0F" w:rsidRDefault="006F349B" w:rsidP="00657D0F">
      <w:pPr>
        <w:jc w:val="both"/>
        <w:rPr>
          <w:rFonts w:cs="Arial"/>
          <w:b/>
          <w:szCs w:val="24"/>
          <w:u w:val="single"/>
        </w:rPr>
      </w:pPr>
    </w:p>
    <w:tbl>
      <w:tblPr>
        <w:tblStyle w:val="TableGrid"/>
        <w:tblW w:w="9180" w:type="dxa"/>
        <w:tblLayout w:type="fixed"/>
        <w:tblLook w:val="04A0" w:firstRow="1" w:lastRow="0" w:firstColumn="1" w:lastColumn="0" w:noHBand="0" w:noVBand="1"/>
      </w:tblPr>
      <w:tblGrid>
        <w:gridCol w:w="9017"/>
        <w:gridCol w:w="163"/>
      </w:tblGrid>
      <w:tr w:rsidR="006F349B" w:rsidRPr="00657D0F" w14:paraId="6ABD541B" w14:textId="77777777" w:rsidTr="005E7E87">
        <w:tc>
          <w:tcPr>
            <w:tcW w:w="9180" w:type="dxa"/>
            <w:gridSpan w:val="2"/>
          </w:tcPr>
          <w:p w14:paraId="7AD6B808" w14:textId="77777777" w:rsidR="006F349B" w:rsidRPr="00657D0F" w:rsidRDefault="006F349B" w:rsidP="00657D0F">
            <w:pPr>
              <w:jc w:val="both"/>
              <w:rPr>
                <w:rFonts w:cs="Arial"/>
                <w:b/>
                <w:szCs w:val="24"/>
                <w:u w:val="single"/>
              </w:rPr>
            </w:pPr>
          </w:p>
          <w:p w14:paraId="1A5F0CFC" w14:textId="77777777" w:rsidR="006F349B" w:rsidRPr="00657D0F" w:rsidRDefault="006F349B" w:rsidP="00657D0F">
            <w:pPr>
              <w:pStyle w:val="Heading6"/>
              <w:jc w:val="both"/>
              <w:rPr>
                <w:rFonts w:ascii="Arial" w:hAnsi="Arial" w:cs="Arial"/>
                <w:szCs w:val="24"/>
              </w:rPr>
            </w:pPr>
            <w:r w:rsidRPr="00657D0F">
              <w:rPr>
                <w:rFonts w:ascii="Arial" w:hAnsi="Arial" w:cs="Arial"/>
                <w:szCs w:val="24"/>
              </w:rPr>
              <w:t>Executive Summary</w:t>
            </w:r>
          </w:p>
          <w:p w14:paraId="4B81DF9C" w14:textId="77777777" w:rsidR="006F349B" w:rsidRPr="00657D0F" w:rsidRDefault="006F349B" w:rsidP="00657D0F">
            <w:pPr>
              <w:jc w:val="both"/>
              <w:rPr>
                <w:rFonts w:cs="Arial"/>
                <w:b/>
                <w:szCs w:val="24"/>
              </w:rPr>
            </w:pPr>
          </w:p>
          <w:p w14:paraId="506C4920" w14:textId="77777777" w:rsidR="006F349B" w:rsidRPr="00657D0F" w:rsidRDefault="00AA2519" w:rsidP="00657D0F">
            <w:pPr>
              <w:jc w:val="both"/>
              <w:rPr>
                <w:rFonts w:cs="Arial"/>
                <w:szCs w:val="24"/>
              </w:rPr>
            </w:pPr>
            <w:r w:rsidRPr="00657D0F">
              <w:rPr>
                <w:rFonts w:cs="Arial"/>
                <w:szCs w:val="24"/>
              </w:rPr>
              <w:t xml:space="preserve">Given the unprecedented circumstances brought about by </w:t>
            </w:r>
            <w:r w:rsidR="006076E8">
              <w:rPr>
                <w:rFonts w:cs="Arial"/>
                <w:szCs w:val="24"/>
              </w:rPr>
              <w:t xml:space="preserve">the </w:t>
            </w:r>
            <w:r w:rsidRPr="00657D0F">
              <w:rPr>
                <w:rFonts w:cs="Arial"/>
                <w:szCs w:val="24"/>
              </w:rPr>
              <w:t>C</w:t>
            </w:r>
            <w:r w:rsidR="00DB7594" w:rsidRPr="00657D0F">
              <w:rPr>
                <w:rFonts w:cs="Arial"/>
                <w:szCs w:val="24"/>
              </w:rPr>
              <w:t>OVID</w:t>
            </w:r>
            <w:r w:rsidRPr="00657D0F">
              <w:rPr>
                <w:rFonts w:cs="Arial"/>
                <w:szCs w:val="24"/>
              </w:rPr>
              <w:t>-19</w:t>
            </w:r>
            <w:r w:rsidR="006076E8">
              <w:rPr>
                <w:rFonts w:cs="Arial"/>
                <w:szCs w:val="24"/>
              </w:rPr>
              <w:t xml:space="preserve"> outbreak</w:t>
            </w:r>
            <w:r w:rsidRPr="00657D0F">
              <w:rPr>
                <w:rFonts w:cs="Arial"/>
                <w:szCs w:val="24"/>
              </w:rPr>
              <w:t xml:space="preserve"> the Procurement Service has undertaken an urgent review of contracts expiring that would otherwise have been re-procured in the next 6 to 12 months. Proposals for those contracts have been considered in accordance with Procurement Policy Note 01/20 'Responding to COVID-19' and this report identifie</w:t>
            </w:r>
            <w:r w:rsidR="009F7D60" w:rsidRPr="00657D0F">
              <w:rPr>
                <w:rFonts w:cs="Arial"/>
                <w:szCs w:val="24"/>
              </w:rPr>
              <w:t>s those contracts</w:t>
            </w:r>
            <w:r w:rsidRPr="00657D0F">
              <w:rPr>
                <w:rFonts w:cs="Arial"/>
                <w:szCs w:val="24"/>
              </w:rPr>
              <w:t xml:space="preserve"> meeting the criteria for extension with the incumbent supplier.</w:t>
            </w:r>
          </w:p>
          <w:p w14:paraId="653E2837" w14:textId="77777777" w:rsidR="00AA2519" w:rsidRPr="00657D0F" w:rsidRDefault="00AA2519" w:rsidP="00657D0F">
            <w:pPr>
              <w:jc w:val="both"/>
              <w:rPr>
                <w:rFonts w:cs="Arial"/>
                <w:szCs w:val="24"/>
              </w:rPr>
            </w:pPr>
          </w:p>
          <w:p w14:paraId="1C99ACC9" w14:textId="77777777" w:rsidR="009F7D60" w:rsidRPr="00657D0F" w:rsidRDefault="00AA2519" w:rsidP="00657D0F">
            <w:pPr>
              <w:jc w:val="both"/>
              <w:rPr>
                <w:rFonts w:cs="Arial"/>
                <w:szCs w:val="24"/>
              </w:rPr>
            </w:pPr>
            <w:r w:rsidRPr="00657D0F">
              <w:rPr>
                <w:rFonts w:cs="Arial"/>
                <w:szCs w:val="24"/>
              </w:rPr>
              <w:t xml:space="preserve">Approval will enable the Council to extend contracts and </w:t>
            </w:r>
            <w:r w:rsidR="009F7D60" w:rsidRPr="00657D0F">
              <w:rPr>
                <w:rFonts w:cs="Arial"/>
                <w:szCs w:val="24"/>
              </w:rPr>
              <w:t>permit</w:t>
            </w:r>
            <w:r w:rsidRPr="00657D0F">
              <w:rPr>
                <w:rFonts w:cs="Arial"/>
                <w:szCs w:val="24"/>
              </w:rPr>
              <w:t xml:space="preserve"> the Procurement Service to</w:t>
            </w:r>
            <w:r w:rsidR="009F7D60" w:rsidRPr="00657D0F">
              <w:rPr>
                <w:rFonts w:cs="Arial"/>
                <w:szCs w:val="24"/>
              </w:rPr>
              <w:t>:</w:t>
            </w:r>
          </w:p>
          <w:p w14:paraId="4E865696" w14:textId="77777777" w:rsidR="009F7D60" w:rsidRPr="00657D0F" w:rsidRDefault="009F7D60" w:rsidP="00657D0F">
            <w:pPr>
              <w:jc w:val="both"/>
              <w:rPr>
                <w:rFonts w:cs="Arial"/>
                <w:szCs w:val="24"/>
              </w:rPr>
            </w:pPr>
          </w:p>
          <w:p w14:paraId="12B4A1D8" w14:textId="77777777" w:rsidR="009F7D60" w:rsidRPr="00657D0F" w:rsidRDefault="009F7D60" w:rsidP="00657D0F">
            <w:pPr>
              <w:numPr>
                <w:ilvl w:val="0"/>
                <w:numId w:val="3"/>
              </w:numPr>
              <w:ind w:left="709" w:hanging="289"/>
              <w:jc w:val="both"/>
              <w:rPr>
                <w:rFonts w:cs="Arial"/>
                <w:szCs w:val="24"/>
              </w:rPr>
            </w:pPr>
            <w:r w:rsidRPr="00657D0F">
              <w:rPr>
                <w:rFonts w:cs="Arial"/>
                <w:szCs w:val="24"/>
              </w:rPr>
              <w:t>Ensure its focus is maintained on essential category management activities, namely the supply of PPE.</w:t>
            </w:r>
          </w:p>
          <w:p w14:paraId="36B19DC8" w14:textId="77777777" w:rsidR="009F7D60" w:rsidRPr="00657D0F" w:rsidRDefault="009F7D60" w:rsidP="00657D0F">
            <w:pPr>
              <w:numPr>
                <w:ilvl w:val="0"/>
                <w:numId w:val="3"/>
              </w:numPr>
              <w:ind w:left="709" w:hanging="289"/>
              <w:jc w:val="both"/>
              <w:rPr>
                <w:rFonts w:cs="Arial"/>
                <w:szCs w:val="24"/>
              </w:rPr>
            </w:pPr>
            <w:r w:rsidRPr="00657D0F">
              <w:rPr>
                <w:rFonts w:cs="Arial"/>
                <w:szCs w:val="24"/>
              </w:rPr>
              <w:t>Where resource permits redeploy staff to support essential services outside of the Procurement Service.</w:t>
            </w:r>
          </w:p>
          <w:p w14:paraId="56FED1FA" w14:textId="77777777" w:rsidR="00AA2519" w:rsidRPr="00657D0F" w:rsidRDefault="009F7D60" w:rsidP="00657D0F">
            <w:pPr>
              <w:numPr>
                <w:ilvl w:val="0"/>
                <w:numId w:val="3"/>
              </w:numPr>
              <w:ind w:left="709" w:hanging="289"/>
              <w:jc w:val="both"/>
              <w:rPr>
                <w:rFonts w:cs="Arial"/>
                <w:szCs w:val="24"/>
              </w:rPr>
            </w:pPr>
            <w:r w:rsidRPr="00657D0F">
              <w:rPr>
                <w:rFonts w:cs="Arial"/>
                <w:szCs w:val="24"/>
              </w:rPr>
              <w:t>Undertake</w:t>
            </w:r>
            <w:r w:rsidR="00AA2519" w:rsidRPr="00657D0F">
              <w:rPr>
                <w:rFonts w:cs="Arial"/>
                <w:szCs w:val="24"/>
              </w:rPr>
              <w:t xml:space="preserve"> full tendering processes to put new contractual arrangements in place</w:t>
            </w:r>
            <w:r w:rsidRPr="00657D0F">
              <w:rPr>
                <w:rFonts w:cs="Arial"/>
                <w:szCs w:val="24"/>
              </w:rPr>
              <w:t xml:space="preserve"> at a later date</w:t>
            </w:r>
            <w:r w:rsidR="00AA2519" w:rsidRPr="00657D0F">
              <w:rPr>
                <w:rFonts w:cs="Arial"/>
                <w:szCs w:val="24"/>
              </w:rPr>
              <w:t>.</w:t>
            </w:r>
          </w:p>
          <w:p w14:paraId="08CA593D" w14:textId="4462A14D" w:rsidR="006F349B" w:rsidRDefault="006F349B" w:rsidP="00657D0F">
            <w:pPr>
              <w:jc w:val="both"/>
              <w:rPr>
                <w:rFonts w:cs="Arial"/>
                <w:b/>
                <w:szCs w:val="24"/>
              </w:rPr>
            </w:pPr>
          </w:p>
          <w:p w14:paraId="32C82015" w14:textId="77777777" w:rsidR="005E7E87" w:rsidRPr="00192819" w:rsidRDefault="005E7E87" w:rsidP="005E7E87">
            <w:pPr>
              <w:jc w:val="both"/>
            </w:pPr>
            <w:r w:rsidRPr="00192819">
              <w:t>This is deemed to be a Key Decision and the provisions of Standing Order C21</w:t>
            </w:r>
            <w:r>
              <w:t xml:space="preserve"> </w:t>
            </w:r>
            <w:r w:rsidRPr="00192819">
              <w:t>have been complied with.</w:t>
            </w:r>
          </w:p>
          <w:p w14:paraId="16D2DF2B" w14:textId="77777777" w:rsidR="005E7E87" w:rsidRPr="00657D0F" w:rsidRDefault="005E7E87" w:rsidP="00657D0F">
            <w:pPr>
              <w:jc w:val="both"/>
              <w:rPr>
                <w:rFonts w:cs="Arial"/>
                <w:b/>
                <w:szCs w:val="24"/>
              </w:rPr>
            </w:pPr>
          </w:p>
          <w:p w14:paraId="55CE1E79" w14:textId="77777777" w:rsidR="006F349B" w:rsidRPr="00657D0F" w:rsidRDefault="006F349B" w:rsidP="00657D0F">
            <w:pPr>
              <w:pStyle w:val="Heading5"/>
              <w:jc w:val="both"/>
              <w:rPr>
                <w:rFonts w:ascii="Arial" w:hAnsi="Arial" w:cs="Arial"/>
                <w:szCs w:val="24"/>
                <w:u w:val="none"/>
              </w:rPr>
            </w:pPr>
            <w:r w:rsidRPr="00657D0F">
              <w:rPr>
                <w:rFonts w:ascii="Arial" w:hAnsi="Arial" w:cs="Arial"/>
                <w:szCs w:val="24"/>
                <w:u w:val="none"/>
              </w:rPr>
              <w:t>Recommendation</w:t>
            </w:r>
          </w:p>
          <w:p w14:paraId="5F73F354" w14:textId="77777777" w:rsidR="006F349B" w:rsidRPr="00657D0F" w:rsidRDefault="006F349B" w:rsidP="00657D0F">
            <w:pPr>
              <w:jc w:val="both"/>
              <w:rPr>
                <w:rFonts w:cs="Arial"/>
                <w:szCs w:val="24"/>
              </w:rPr>
            </w:pPr>
          </w:p>
          <w:p w14:paraId="51713741" w14:textId="77777777" w:rsidR="005E7E87" w:rsidRDefault="006F349B" w:rsidP="00657D0F">
            <w:pPr>
              <w:jc w:val="both"/>
              <w:rPr>
                <w:rFonts w:cs="Arial"/>
                <w:szCs w:val="24"/>
              </w:rPr>
            </w:pPr>
            <w:r w:rsidRPr="005C0432">
              <w:rPr>
                <w:rFonts w:cs="Arial"/>
                <w:szCs w:val="24"/>
              </w:rPr>
              <w:t>Cabinet</w:t>
            </w:r>
            <w:r w:rsidRPr="00657D0F">
              <w:rPr>
                <w:rFonts w:cs="Arial"/>
                <w:szCs w:val="24"/>
              </w:rPr>
              <w:t xml:space="preserve"> is asked to</w:t>
            </w:r>
            <w:r w:rsidR="005E7E87">
              <w:rPr>
                <w:rFonts w:cs="Arial"/>
                <w:szCs w:val="24"/>
              </w:rPr>
              <w:t>:</w:t>
            </w:r>
          </w:p>
          <w:p w14:paraId="5FDCDF8C" w14:textId="77777777" w:rsidR="005E7E87" w:rsidRDefault="005E7E87" w:rsidP="00657D0F">
            <w:pPr>
              <w:jc w:val="both"/>
              <w:rPr>
                <w:rFonts w:cs="Arial"/>
                <w:szCs w:val="24"/>
              </w:rPr>
            </w:pPr>
          </w:p>
          <w:p w14:paraId="1EE8BC2D" w14:textId="3DD0FB10" w:rsidR="005E7E87" w:rsidRDefault="005E7E87" w:rsidP="005E7E87">
            <w:pPr>
              <w:pStyle w:val="ListParagraph"/>
              <w:numPr>
                <w:ilvl w:val="0"/>
                <w:numId w:val="9"/>
              </w:numPr>
              <w:jc w:val="both"/>
              <w:rPr>
                <w:rFonts w:cs="Arial"/>
                <w:szCs w:val="24"/>
              </w:rPr>
            </w:pPr>
            <w:r w:rsidRPr="005E7E87">
              <w:rPr>
                <w:rFonts w:cs="Arial"/>
                <w:szCs w:val="24"/>
              </w:rPr>
              <w:t>A</w:t>
            </w:r>
            <w:r w:rsidR="006F349B" w:rsidRPr="005E7E87">
              <w:rPr>
                <w:rFonts w:cs="Arial"/>
                <w:szCs w:val="24"/>
              </w:rPr>
              <w:t xml:space="preserve">pprove the </w:t>
            </w:r>
            <w:r w:rsidR="00AA2519" w:rsidRPr="005E7E87">
              <w:rPr>
                <w:rFonts w:cs="Arial"/>
                <w:szCs w:val="24"/>
              </w:rPr>
              <w:t>extension</w:t>
            </w:r>
            <w:r w:rsidR="006F349B" w:rsidRPr="005E7E87">
              <w:rPr>
                <w:rFonts w:cs="Arial"/>
                <w:szCs w:val="24"/>
              </w:rPr>
              <w:t xml:space="preserve"> of the </w:t>
            </w:r>
            <w:r w:rsidR="00AA2519" w:rsidRPr="005E7E87">
              <w:rPr>
                <w:rFonts w:cs="Arial"/>
                <w:szCs w:val="24"/>
              </w:rPr>
              <w:t>contracts</w:t>
            </w:r>
            <w:r w:rsidR="006F349B" w:rsidRPr="005E7E87">
              <w:rPr>
                <w:rFonts w:cs="Arial"/>
                <w:szCs w:val="24"/>
              </w:rPr>
              <w:t xml:space="preserve"> as set out </w:t>
            </w:r>
            <w:r w:rsidR="00AA2519" w:rsidRPr="005E7E87">
              <w:rPr>
                <w:rFonts w:cs="Arial"/>
                <w:szCs w:val="24"/>
              </w:rPr>
              <w:t>in this report and detailed in Appendix 'A'.</w:t>
            </w:r>
          </w:p>
          <w:p w14:paraId="15153C77" w14:textId="319D4A04" w:rsidR="006F349B" w:rsidRPr="005E7E87" w:rsidRDefault="005E7E87" w:rsidP="00657D0F">
            <w:pPr>
              <w:pStyle w:val="ListParagraph"/>
              <w:numPr>
                <w:ilvl w:val="0"/>
                <w:numId w:val="9"/>
              </w:numPr>
              <w:jc w:val="both"/>
              <w:rPr>
                <w:rFonts w:cs="Arial"/>
                <w:szCs w:val="24"/>
              </w:rPr>
            </w:pPr>
            <w:r w:rsidRPr="005E7E87">
              <w:rPr>
                <w:rFonts w:cs="Arial"/>
                <w:szCs w:val="24"/>
              </w:rPr>
              <w:t xml:space="preserve">Authorise </w:t>
            </w:r>
            <w:r w:rsidR="00EC0A0B" w:rsidRPr="005E7E87">
              <w:rPr>
                <w:rFonts w:cs="Arial"/>
                <w:szCs w:val="24"/>
              </w:rPr>
              <w:t>Director</w:t>
            </w:r>
            <w:r w:rsidRPr="005E7E87">
              <w:rPr>
                <w:rFonts w:cs="Arial"/>
                <w:szCs w:val="24"/>
              </w:rPr>
              <w:t xml:space="preserve">s and </w:t>
            </w:r>
            <w:r w:rsidR="00EC0A0B" w:rsidRPr="005E7E87">
              <w:rPr>
                <w:rFonts w:cs="Arial"/>
                <w:szCs w:val="24"/>
              </w:rPr>
              <w:t>Head</w:t>
            </w:r>
            <w:r w:rsidRPr="005E7E87">
              <w:rPr>
                <w:rFonts w:cs="Arial"/>
                <w:szCs w:val="24"/>
              </w:rPr>
              <w:t>s</w:t>
            </w:r>
            <w:r w:rsidR="00EC0A0B" w:rsidRPr="005E7E87">
              <w:rPr>
                <w:rFonts w:cs="Arial"/>
                <w:szCs w:val="24"/>
              </w:rPr>
              <w:t xml:space="preserve"> of Service to determine </w:t>
            </w:r>
            <w:r w:rsidRPr="005E7E87">
              <w:rPr>
                <w:rFonts w:cs="Arial"/>
                <w:szCs w:val="24"/>
              </w:rPr>
              <w:t xml:space="preserve">the </w:t>
            </w:r>
            <w:r w:rsidR="00EC0A0B" w:rsidRPr="005E7E87">
              <w:rPr>
                <w:rFonts w:cs="Arial"/>
                <w:szCs w:val="24"/>
              </w:rPr>
              <w:t>length and number of extensions within the maximum scope permitted by this report</w:t>
            </w:r>
            <w:r w:rsidRPr="005E7E87">
              <w:rPr>
                <w:rFonts w:cs="Arial"/>
                <w:szCs w:val="24"/>
              </w:rPr>
              <w:t>.</w:t>
            </w:r>
          </w:p>
        </w:tc>
      </w:tr>
      <w:tr w:rsidR="005E7E87" w14:paraId="59686FBC" w14:textId="77777777" w:rsidTr="005E7E87">
        <w:trPr>
          <w:gridAfter w:val="1"/>
          <w:wAfter w:w="163" w:type="dxa"/>
        </w:trPr>
        <w:tc>
          <w:tcPr>
            <w:tcW w:w="9017" w:type="dxa"/>
          </w:tcPr>
          <w:p w14:paraId="31617C43" w14:textId="77777777" w:rsidR="005E7E87" w:rsidRDefault="005E7E87" w:rsidP="00657D0F">
            <w:pPr>
              <w:jc w:val="both"/>
              <w:rPr>
                <w:rFonts w:cs="Arial"/>
                <w:b/>
                <w:szCs w:val="24"/>
                <w:u w:val="single"/>
              </w:rPr>
            </w:pPr>
          </w:p>
          <w:p w14:paraId="610C4AA7" w14:textId="35C6A1F2" w:rsidR="005E7E87" w:rsidRPr="005E7E87" w:rsidRDefault="005E7E87" w:rsidP="00657D0F">
            <w:pPr>
              <w:jc w:val="both"/>
            </w:pPr>
            <w:r w:rsidRPr="008237D7">
              <w:t xml:space="preserve">This decision should be implemented immediately for the purposes of Standing Order C29 as any delay could adversely affect the execution of the county council's responsibilities. The reason for this is that the decision has been designated as business critical by </w:t>
            </w:r>
            <w:r>
              <w:t>Corporate Management Team</w:t>
            </w:r>
            <w:r w:rsidRPr="008237D7">
              <w:t>, and any delay in its implementation would have an adverse effect on the ope</w:t>
            </w:r>
            <w:r>
              <w:t>rations of the county council.</w:t>
            </w:r>
          </w:p>
          <w:p w14:paraId="624703C4" w14:textId="1128B09E" w:rsidR="005E7E87" w:rsidRDefault="005E7E87" w:rsidP="00657D0F">
            <w:pPr>
              <w:jc w:val="both"/>
              <w:rPr>
                <w:rFonts w:cs="Arial"/>
                <w:b/>
                <w:szCs w:val="24"/>
                <w:u w:val="single"/>
              </w:rPr>
            </w:pPr>
          </w:p>
        </w:tc>
      </w:tr>
    </w:tbl>
    <w:p w14:paraId="26176E63" w14:textId="6976D26F" w:rsidR="006076E8" w:rsidRDefault="006076E8" w:rsidP="00657D0F">
      <w:pPr>
        <w:jc w:val="both"/>
        <w:rPr>
          <w:rFonts w:cs="Arial"/>
          <w:b/>
          <w:szCs w:val="24"/>
        </w:rPr>
      </w:pPr>
    </w:p>
    <w:p w14:paraId="6BF29F35" w14:textId="77777777" w:rsidR="006F349B" w:rsidRPr="00657D0F" w:rsidRDefault="006F349B" w:rsidP="00657D0F">
      <w:pPr>
        <w:jc w:val="both"/>
        <w:rPr>
          <w:rFonts w:cs="Arial"/>
          <w:b/>
          <w:szCs w:val="24"/>
        </w:rPr>
      </w:pPr>
      <w:r w:rsidRPr="00657D0F">
        <w:rPr>
          <w:rFonts w:cs="Arial"/>
          <w:b/>
          <w:szCs w:val="24"/>
        </w:rPr>
        <w:t xml:space="preserve">Background and Advice </w:t>
      </w:r>
    </w:p>
    <w:p w14:paraId="55D2ACE3" w14:textId="77777777" w:rsidR="006F349B" w:rsidRPr="00657D0F" w:rsidRDefault="006F349B" w:rsidP="00657D0F">
      <w:pPr>
        <w:jc w:val="both"/>
        <w:rPr>
          <w:rFonts w:cs="Arial"/>
          <w:b/>
          <w:szCs w:val="24"/>
        </w:rPr>
      </w:pPr>
    </w:p>
    <w:p w14:paraId="0E3F6B64" w14:textId="77777777" w:rsidR="00DB7594" w:rsidRPr="00657D0F" w:rsidRDefault="009F7D60" w:rsidP="00657D0F">
      <w:pPr>
        <w:jc w:val="both"/>
        <w:rPr>
          <w:rFonts w:cs="Arial"/>
          <w:szCs w:val="24"/>
        </w:rPr>
      </w:pPr>
      <w:r w:rsidRPr="00657D0F">
        <w:rPr>
          <w:rFonts w:cs="Arial"/>
          <w:szCs w:val="24"/>
        </w:rPr>
        <w:t xml:space="preserve">Given the unprecedented circumstances brought about by Covid-19 the Procurement Service has undertaken an urgent review of contracts expiring that would otherwise have been re-procured in the next 6 to 12 months. </w:t>
      </w:r>
    </w:p>
    <w:p w14:paraId="32079686" w14:textId="77777777" w:rsidR="00DB7594" w:rsidRPr="00657D0F" w:rsidRDefault="00DB7594" w:rsidP="00657D0F">
      <w:pPr>
        <w:jc w:val="both"/>
        <w:rPr>
          <w:rFonts w:cs="Arial"/>
          <w:szCs w:val="24"/>
        </w:rPr>
      </w:pPr>
    </w:p>
    <w:p w14:paraId="6826592F" w14:textId="77777777" w:rsidR="00DB7594" w:rsidRPr="00657D0F" w:rsidRDefault="00DB7594" w:rsidP="00657D0F">
      <w:pPr>
        <w:jc w:val="both"/>
        <w:rPr>
          <w:rFonts w:cs="Arial"/>
          <w:szCs w:val="24"/>
        </w:rPr>
      </w:pPr>
      <w:r w:rsidRPr="00657D0F">
        <w:rPr>
          <w:rFonts w:cs="Arial"/>
          <w:szCs w:val="24"/>
        </w:rPr>
        <w:t xml:space="preserve">The majority of 'business as usual' </w:t>
      </w:r>
      <w:r w:rsidR="00B97C4D">
        <w:rPr>
          <w:rFonts w:cs="Arial"/>
          <w:szCs w:val="24"/>
        </w:rPr>
        <w:t xml:space="preserve">new </w:t>
      </w:r>
      <w:r w:rsidRPr="00657D0F">
        <w:rPr>
          <w:rFonts w:cs="Arial"/>
          <w:szCs w:val="24"/>
        </w:rPr>
        <w:t>tendering activity is</w:t>
      </w:r>
      <w:r w:rsidR="00B97C4D">
        <w:rPr>
          <w:rFonts w:cs="Arial"/>
          <w:szCs w:val="24"/>
        </w:rPr>
        <w:t xml:space="preserve"> for the time being</w:t>
      </w:r>
      <w:r w:rsidRPr="00657D0F">
        <w:rPr>
          <w:rFonts w:cs="Arial"/>
          <w:szCs w:val="24"/>
        </w:rPr>
        <w:t xml:space="preserve"> to be regarded as non-essential in the context of maintaining a focus on providing the essential services which support the most vulnerable people in Lancashire.</w:t>
      </w:r>
    </w:p>
    <w:p w14:paraId="22385D5B" w14:textId="77777777" w:rsidR="00DB7594" w:rsidRPr="00657D0F" w:rsidRDefault="00DB7594" w:rsidP="00657D0F">
      <w:pPr>
        <w:jc w:val="both"/>
        <w:rPr>
          <w:rFonts w:cs="Arial"/>
          <w:szCs w:val="24"/>
        </w:rPr>
      </w:pPr>
    </w:p>
    <w:p w14:paraId="67623A82" w14:textId="654D1C47" w:rsidR="00DB7594" w:rsidRPr="00657D0F" w:rsidRDefault="005E7E87" w:rsidP="00657D0F">
      <w:pPr>
        <w:jc w:val="both"/>
        <w:rPr>
          <w:rFonts w:cs="Arial"/>
          <w:szCs w:val="24"/>
        </w:rPr>
      </w:pPr>
      <w:r>
        <w:rPr>
          <w:rFonts w:cs="Arial"/>
          <w:szCs w:val="24"/>
        </w:rPr>
        <w:t>Where the c</w:t>
      </w:r>
      <w:r w:rsidR="00DB7594" w:rsidRPr="00657D0F">
        <w:rPr>
          <w:rFonts w:cs="Arial"/>
          <w:szCs w:val="24"/>
        </w:rPr>
        <w:t xml:space="preserve">ouncil has a need to maintain </w:t>
      </w:r>
      <w:r w:rsidR="00B97C4D">
        <w:rPr>
          <w:rFonts w:cs="Arial"/>
          <w:szCs w:val="24"/>
        </w:rPr>
        <w:t xml:space="preserve">continuity for the </w:t>
      </w:r>
      <w:r w:rsidR="00DB7594" w:rsidRPr="00657D0F">
        <w:rPr>
          <w:rFonts w:cs="Arial"/>
          <w:szCs w:val="24"/>
        </w:rPr>
        <w:t xml:space="preserve">delivery of goods, </w:t>
      </w:r>
      <w:r w:rsidR="00B97C4D">
        <w:rPr>
          <w:rFonts w:cs="Arial"/>
          <w:szCs w:val="24"/>
        </w:rPr>
        <w:t xml:space="preserve">works and </w:t>
      </w:r>
      <w:r w:rsidR="00DB7594" w:rsidRPr="00657D0F">
        <w:rPr>
          <w:rFonts w:cs="Arial"/>
          <w:szCs w:val="24"/>
        </w:rPr>
        <w:t>services</w:t>
      </w:r>
      <w:r w:rsidR="0022088B">
        <w:rPr>
          <w:rFonts w:cs="Arial"/>
          <w:szCs w:val="24"/>
        </w:rPr>
        <w:t xml:space="preserve">, </w:t>
      </w:r>
      <w:r>
        <w:rPr>
          <w:rFonts w:cs="Arial"/>
          <w:szCs w:val="24"/>
        </w:rPr>
        <w:t>the c</w:t>
      </w:r>
      <w:r w:rsidR="0022088B" w:rsidRPr="00657D0F">
        <w:rPr>
          <w:rFonts w:cs="Arial"/>
          <w:szCs w:val="24"/>
        </w:rPr>
        <w:t>ouncil</w:t>
      </w:r>
      <w:r w:rsidR="0022088B">
        <w:rPr>
          <w:rFonts w:cs="Arial"/>
          <w:szCs w:val="24"/>
        </w:rPr>
        <w:t xml:space="preserve"> </w:t>
      </w:r>
      <w:r w:rsidR="002A1D94">
        <w:rPr>
          <w:rFonts w:cs="Arial"/>
          <w:szCs w:val="24"/>
        </w:rPr>
        <w:t xml:space="preserve">must </w:t>
      </w:r>
      <w:r w:rsidR="0022088B">
        <w:rPr>
          <w:rFonts w:cs="Arial"/>
          <w:szCs w:val="24"/>
        </w:rPr>
        <w:t xml:space="preserve">generally </w:t>
      </w:r>
      <w:r w:rsidR="0022088B" w:rsidRPr="00657D0F">
        <w:rPr>
          <w:rFonts w:cs="Arial"/>
          <w:szCs w:val="24"/>
        </w:rPr>
        <w:t xml:space="preserve">procure </w:t>
      </w:r>
      <w:r w:rsidR="0022088B">
        <w:rPr>
          <w:rFonts w:cs="Arial"/>
          <w:szCs w:val="24"/>
        </w:rPr>
        <w:t xml:space="preserve">contracts in accordance with </w:t>
      </w:r>
      <w:r w:rsidR="0022088B" w:rsidRPr="00657D0F">
        <w:rPr>
          <w:rFonts w:cs="Arial"/>
          <w:szCs w:val="24"/>
        </w:rPr>
        <w:t>the Public Contract Regu</w:t>
      </w:r>
      <w:r w:rsidR="0022088B">
        <w:rPr>
          <w:rFonts w:cs="Arial"/>
          <w:szCs w:val="24"/>
        </w:rPr>
        <w:t>l</w:t>
      </w:r>
      <w:r>
        <w:rPr>
          <w:rFonts w:cs="Arial"/>
          <w:szCs w:val="24"/>
        </w:rPr>
        <w:t>ations 2015 (PCRs).  Where the c</w:t>
      </w:r>
      <w:r w:rsidR="0022088B">
        <w:rPr>
          <w:rFonts w:cs="Arial"/>
          <w:szCs w:val="24"/>
        </w:rPr>
        <w:t>ouncil</w:t>
      </w:r>
      <w:r w:rsidR="00302349">
        <w:rPr>
          <w:rFonts w:cs="Arial"/>
          <w:szCs w:val="24"/>
        </w:rPr>
        <w:t>, due to circumstances beyond its control,</w:t>
      </w:r>
      <w:r w:rsidR="0022088B">
        <w:rPr>
          <w:rFonts w:cs="Arial"/>
          <w:szCs w:val="24"/>
        </w:rPr>
        <w:t xml:space="preserve"> is unable to procure new contracts </w:t>
      </w:r>
      <w:r w:rsidR="00302349">
        <w:rPr>
          <w:rFonts w:cs="Arial"/>
          <w:szCs w:val="24"/>
        </w:rPr>
        <w:t xml:space="preserve">by undertaking </w:t>
      </w:r>
      <w:r w:rsidR="0022088B">
        <w:rPr>
          <w:rFonts w:cs="Arial"/>
          <w:szCs w:val="24"/>
        </w:rPr>
        <w:t>a compliant tender exercise, the PCRs permit extension or modification of existing contracts if certain conditions are met. T</w:t>
      </w:r>
      <w:r w:rsidR="00DB7594" w:rsidRPr="00657D0F">
        <w:rPr>
          <w:rFonts w:cs="Arial"/>
          <w:szCs w:val="24"/>
        </w:rPr>
        <w:t xml:space="preserve">he most relevant </w:t>
      </w:r>
      <w:r w:rsidR="0022088B">
        <w:rPr>
          <w:rFonts w:cs="Arial"/>
          <w:szCs w:val="24"/>
        </w:rPr>
        <w:t xml:space="preserve">provision of the PCRs in the circumstances is </w:t>
      </w:r>
      <w:r w:rsidR="00DB7594" w:rsidRPr="00657D0F">
        <w:rPr>
          <w:rFonts w:cs="Arial"/>
          <w:szCs w:val="24"/>
        </w:rPr>
        <w:t>Regulation 72(1</w:t>
      </w:r>
      <w:proofErr w:type="gramStart"/>
      <w:r w:rsidR="00DB7594" w:rsidRPr="00657D0F">
        <w:rPr>
          <w:rFonts w:cs="Arial"/>
          <w:szCs w:val="24"/>
        </w:rPr>
        <w:t>)(</w:t>
      </w:r>
      <w:proofErr w:type="gramEnd"/>
      <w:r w:rsidR="00DB7594" w:rsidRPr="00657D0F">
        <w:rPr>
          <w:rFonts w:cs="Arial"/>
          <w:szCs w:val="24"/>
        </w:rPr>
        <w:t>c)</w:t>
      </w:r>
      <w:r w:rsidR="0022088B">
        <w:rPr>
          <w:rFonts w:cs="Arial"/>
          <w:szCs w:val="24"/>
        </w:rPr>
        <w:t>.</w:t>
      </w:r>
    </w:p>
    <w:p w14:paraId="3E6B6DE2" w14:textId="77777777" w:rsidR="00DB7594" w:rsidRDefault="00DB7594" w:rsidP="00657D0F">
      <w:pPr>
        <w:jc w:val="both"/>
        <w:rPr>
          <w:rFonts w:cs="Arial"/>
          <w:sz w:val="28"/>
          <w:szCs w:val="24"/>
        </w:rPr>
      </w:pPr>
    </w:p>
    <w:p w14:paraId="3A635D14" w14:textId="77777777" w:rsidR="00D30B8D" w:rsidRDefault="00D30B8D" w:rsidP="00657D0F">
      <w:pPr>
        <w:jc w:val="both"/>
        <w:rPr>
          <w:rFonts w:cs="Arial"/>
          <w:sz w:val="28"/>
          <w:szCs w:val="24"/>
        </w:rPr>
      </w:pPr>
      <w:r w:rsidRPr="00657D0F">
        <w:rPr>
          <w:rFonts w:cs="Arial"/>
          <w:szCs w:val="24"/>
        </w:rPr>
        <w:t xml:space="preserve">Proposals for contracts expiring have </w:t>
      </w:r>
      <w:r w:rsidR="00302349">
        <w:rPr>
          <w:rFonts w:cs="Arial"/>
          <w:szCs w:val="24"/>
        </w:rPr>
        <w:t xml:space="preserve">therefore </w:t>
      </w:r>
      <w:r w:rsidRPr="00657D0F">
        <w:rPr>
          <w:rFonts w:cs="Arial"/>
          <w:szCs w:val="24"/>
        </w:rPr>
        <w:t xml:space="preserve">been considered in accordance with </w:t>
      </w:r>
      <w:r w:rsidR="0022088B">
        <w:rPr>
          <w:rFonts w:cs="Arial"/>
          <w:szCs w:val="24"/>
        </w:rPr>
        <w:t>Cabinet Office Guidance (</w:t>
      </w:r>
      <w:r w:rsidRPr="00657D0F">
        <w:rPr>
          <w:rFonts w:cs="Arial"/>
          <w:szCs w:val="24"/>
        </w:rPr>
        <w:t>Procurement Policy Note 01/20 'Responding to COVID-19'</w:t>
      </w:r>
      <w:r w:rsidR="0022088B">
        <w:rPr>
          <w:rFonts w:cs="Arial"/>
          <w:szCs w:val="24"/>
        </w:rPr>
        <w:t>)</w:t>
      </w:r>
      <w:r>
        <w:rPr>
          <w:rFonts w:cs="Arial"/>
          <w:szCs w:val="24"/>
        </w:rPr>
        <w:t xml:space="preserve"> and</w:t>
      </w:r>
      <w:r w:rsidRPr="00657D0F">
        <w:rPr>
          <w:rFonts w:cs="Arial"/>
          <w:szCs w:val="24"/>
        </w:rPr>
        <w:t xml:space="preserve"> Regulation 72(1</w:t>
      </w:r>
      <w:proofErr w:type="gramStart"/>
      <w:r w:rsidRPr="00657D0F">
        <w:rPr>
          <w:rFonts w:cs="Arial"/>
          <w:szCs w:val="24"/>
        </w:rPr>
        <w:t>)(</w:t>
      </w:r>
      <w:proofErr w:type="gramEnd"/>
      <w:r w:rsidRPr="00657D0F">
        <w:rPr>
          <w:rFonts w:cs="Arial"/>
          <w:szCs w:val="24"/>
        </w:rPr>
        <w:t>c)</w:t>
      </w:r>
      <w:r w:rsidR="00302349">
        <w:rPr>
          <w:rFonts w:cs="Arial"/>
          <w:szCs w:val="24"/>
        </w:rPr>
        <w:t xml:space="preserve"> PCR</w:t>
      </w:r>
      <w:r>
        <w:rPr>
          <w:rFonts w:cs="Arial"/>
          <w:szCs w:val="24"/>
        </w:rPr>
        <w:t>.</w:t>
      </w:r>
    </w:p>
    <w:p w14:paraId="10F6AA46" w14:textId="77777777" w:rsidR="00D30B8D" w:rsidRPr="00657D0F" w:rsidRDefault="00D30B8D" w:rsidP="00657D0F">
      <w:pPr>
        <w:jc w:val="both"/>
        <w:rPr>
          <w:rFonts w:cs="Arial"/>
          <w:sz w:val="28"/>
          <w:szCs w:val="24"/>
        </w:rPr>
      </w:pPr>
    </w:p>
    <w:p w14:paraId="61EF0962" w14:textId="114F42FB" w:rsidR="00657D0F" w:rsidRDefault="00657D0F" w:rsidP="00657D0F">
      <w:pPr>
        <w:pStyle w:val="Default"/>
        <w:rPr>
          <w:szCs w:val="22"/>
        </w:rPr>
      </w:pPr>
      <w:r w:rsidRPr="00657D0F">
        <w:rPr>
          <w:szCs w:val="22"/>
        </w:rPr>
        <w:t>Regulation 72(1</w:t>
      </w:r>
      <w:proofErr w:type="gramStart"/>
      <w:r w:rsidRPr="00657D0F">
        <w:rPr>
          <w:szCs w:val="22"/>
        </w:rPr>
        <w:t>)</w:t>
      </w:r>
      <w:r w:rsidR="0022088B">
        <w:rPr>
          <w:szCs w:val="22"/>
        </w:rPr>
        <w:t>(</w:t>
      </w:r>
      <w:proofErr w:type="gramEnd"/>
      <w:r w:rsidR="0022088B">
        <w:rPr>
          <w:szCs w:val="22"/>
        </w:rPr>
        <w:t xml:space="preserve">c) </w:t>
      </w:r>
      <w:r w:rsidRPr="00657D0F">
        <w:rPr>
          <w:szCs w:val="22"/>
        </w:rPr>
        <w:t xml:space="preserve">sets out the following: </w:t>
      </w:r>
    </w:p>
    <w:p w14:paraId="2A47D928" w14:textId="77777777" w:rsidR="00657D0F" w:rsidRPr="00657D0F" w:rsidRDefault="00657D0F" w:rsidP="00657D0F">
      <w:pPr>
        <w:pStyle w:val="Default"/>
        <w:rPr>
          <w:szCs w:val="22"/>
        </w:rPr>
      </w:pPr>
    </w:p>
    <w:p w14:paraId="2162A43B" w14:textId="77777777" w:rsidR="00657D0F" w:rsidRPr="006076E8" w:rsidRDefault="00657D0F" w:rsidP="006076E8">
      <w:pPr>
        <w:pStyle w:val="Default"/>
        <w:jc w:val="both"/>
        <w:rPr>
          <w:i/>
          <w:iCs/>
          <w:color w:val="404040" w:themeColor="text1" w:themeTint="BF"/>
          <w:szCs w:val="22"/>
        </w:rPr>
      </w:pPr>
      <w:r w:rsidRPr="006076E8">
        <w:rPr>
          <w:i/>
          <w:iCs/>
          <w:color w:val="404040" w:themeColor="text1" w:themeTint="BF"/>
          <w:szCs w:val="22"/>
        </w:rPr>
        <w:t>Contracts … may be modified without a new procurement procedure … in any of the following cases:</w:t>
      </w:r>
    </w:p>
    <w:p w14:paraId="604336F6" w14:textId="77777777" w:rsidR="00657D0F" w:rsidRPr="006076E8" w:rsidRDefault="00657D0F" w:rsidP="006076E8">
      <w:pPr>
        <w:pStyle w:val="Default"/>
        <w:jc w:val="both"/>
        <w:rPr>
          <w:i/>
          <w:color w:val="404040" w:themeColor="text1" w:themeTint="BF"/>
          <w:szCs w:val="22"/>
        </w:rPr>
      </w:pPr>
      <w:r w:rsidRPr="006076E8">
        <w:rPr>
          <w:i/>
          <w:iCs/>
          <w:color w:val="404040" w:themeColor="text1" w:themeTint="BF"/>
          <w:szCs w:val="22"/>
        </w:rPr>
        <w:t xml:space="preserve"> </w:t>
      </w:r>
    </w:p>
    <w:p w14:paraId="0DA058CE" w14:textId="77777777" w:rsidR="00657D0F" w:rsidRPr="006076E8" w:rsidRDefault="00657D0F" w:rsidP="006076E8">
      <w:pPr>
        <w:pStyle w:val="Default"/>
        <w:ind w:left="720"/>
        <w:jc w:val="both"/>
        <w:rPr>
          <w:i/>
          <w:iCs/>
          <w:color w:val="404040" w:themeColor="text1" w:themeTint="BF"/>
          <w:szCs w:val="22"/>
        </w:rPr>
      </w:pPr>
      <w:r w:rsidRPr="006076E8">
        <w:rPr>
          <w:i/>
          <w:color w:val="404040" w:themeColor="text1" w:themeTint="BF"/>
          <w:szCs w:val="22"/>
        </w:rPr>
        <w:t xml:space="preserve">(c) </w:t>
      </w:r>
      <w:proofErr w:type="gramStart"/>
      <w:r w:rsidRPr="006076E8">
        <w:rPr>
          <w:i/>
          <w:iCs/>
          <w:color w:val="404040" w:themeColor="text1" w:themeTint="BF"/>
          <w:szCs w:val="22"/>
        </w:rPr>
        <w:t>where</w:t>
      </w:r>
      <w:proofErr w:type="gramEnd"/>
      <w:r w:rsidRPr="006076E8">
        <w:rPr>
          <w:i/>
          <w:iCs/>
          <w:color w:val="404040" w:themeColor="text1" w:themeTint="BF"/>
          <w:szCs w:val="22"/>
        </w:rPr>
        <w:t xml:space="preserve"> all of the following conditions are fulfilled: </w:t>
      </w:r>
    </w:p>
    <w:p w14:paraId="5B7B9DB7" w14:textId="77777777" w:rsidR="00657D0F" w:rsidRPr="006076E8" w:rsidRDefault="00657D0F" w:rsidP="006076E8">
      <w:pPr>
        <w:pStyle w:val="Default"/>
        <w:ind w:left="720"/>
        <w:jc w:val="both"/>
        <w:rPr>
          <w:i/>
          <w:color w:val="404040" w:themeColor="text1" w:themeTint="BF"/>
          <w:szCs w:val="22"/>
        </w:rPr>
      </w:pPr>
    </w:p>
    <w:p w14:paraId="305E6F3D" w14:textId="77777777" w:rsidR="00657D0F" w:rsidRPr="006076E8" w:rsidRDefault="00657D0F" w:rsidP="006076E8">
      <w:pPr>
        <w:pStyle w:val="Default"/>
        <w:ind w:left="1843" w:hanging="403"/>
        <w:jc w:val="both"/>
        <w:rPr>
          <w:i/>
          <w:color w:val="404040" w:themeColor="text1" w:themeTint="BF"/>
          <w:szCs w:val="22"/>
        </w:rPr>
      </w:pPr>
      <w:r w:rsidRPr="006076E8">
        <w:rPr>
          <w:i/>
          <w:iCs/>
          <w:color w:val="404040" w:themeColor="text1" w:themeTint="BF"/>
          <w:szCs w:val="22"/>
        </w:rPr>
        <w:t>(</w:t>
      </w:r>
      <w:proofErr w:type="spellStart"/>
      <w:r w:rsidRPr="006076E8">
        <w:rPr>
          <w:i/>
          <w:iCs/>
          <w:color w:val="404040" w:themeColor="text1" w:themeTint="BF"/>
          <w:szCs w:val="22"/>
        </w:rPr>
        <w:t>i</w:t>
      </w:r>
      <w:proofErr w:type="spellEnd"/>
      <w:r w:rsidRPr="006076E8">
        <w:rPr>
          <w:i/>
          <w:iCs/>
          <w:color w:val="404040" w:themeColor="text1" w:themeTint="BF"/>
          <w:szCs w:val="22"/>
        </w:rPr>
        <w:t xml:space="preserve">)    </w:t>
      </w:r>
      <w:proofErr w:type="gramStart"/>
      <w:r w:rsidRPr="006076E8">
        <w:rPr>
          <w:i/>
          <w:iCs/>
          <w:color w:val="404040" w:themeColor="text1" w:themeTint="BF"/>
          <w:szCs w:val="22"/>
        </w:rPr>
        <w:t>the</w:t>
      </w:r>
      <w:proofErr w:type="gramEnd"/>
      <w:r w:rsidRPr="006076E8">
        <w:rPr>
          <w:i/>
          <w:iCs/>
          <w:color w:val="404040" w:themeColor="text1" w:themeTint="BF"/>
          <w:szCs w:val="22"/>
        </w:rPr>
        <w:t xml:space="preserve"> need for modification has been brought about by circumstances which a diligent contracting authority could not have foreseen; </w:t>
      </w:r>
    </w:p>
    <w:p w14:paraId="31DE575F" w14:textId="77777777" w:rsidR="00657D0F" w:rsidRPr="006076E8" w:rsidRDefault="00657D0F" w:rsidP="006076E8">
      <w:pPr>
        <w:pStyle w:val="Default"/>
        <w:ind w:left="1843" w:hanging="403"/>
        <w:jc w:val="both"/>
        <w:rPr>
          <w:i/>
          <w:color w:val="404040" w:themeColor="text1" w:themeTint="BF"/>
          <w:szCs w:val="22"/>
        </w:rPr>
      </w:pPr>
      <w:r w:rsidRPr="006076E8">
        <w:rPr>
          <w:i/>
          <w:iCs/>
          <w:color w:val="404040" w:themeColor="text1" w:themeTint="BF"/>
          <w:szCs w:val="22"/>
        </w:rPr>
        <w:t xml:space="preserve">(ii)   </w:t>
      </w:r>
      <w:proofErr w:type="gramStart"/>
      <w:r w:rsidRPr="006076E8">
        <w:rPr>
          <w:i/>
          <w:iCs/>
          <w:color w:val="404040" w:themeColor="text1" w:themeTint="BF"/>
          <w:szCs w:val="22"/>
        </w:rPr>
        <w:t>the</w:t>
      </w:r>
      <w:proofErr w:type="gramEnd"/>
      <w:r w:rsidRPr="006076E8">
        <w:rPr>
          <w:i/>
          <w:iCs/>
          <w:color w:val="404040" w:themeColor="text1" w:themeTint="BF"/>
          <w:szCs w:val="22"/>
        </w:rPr>
        <w:t xml:space="preserve"> modification does not alter the overall nature of the contract; </w:t>
      </w:r>
    </w:p>
    <w:p w14:paraId="39CA93AE" w14:textId="77777777" w:rsidR="00657D0F" w:rsidRPr="006076E8" w:rsidRDefault="00657D0F" w:rsidP="006076E8">
      <w:pPr>
        <w:ind w:left="1843" w:hanging="403"/>
        <w:jc w:val="both"/>
        <w:rPr>
          <w:rFonts w:cs="Arial"/>
          <w:i/>
          <w:color w:val="404040" w:themeColor="text1" w:themeTint="BF"/>
          <w:sz w:val="28"/>
          <w:szCs w:val="24"/>
        </w:rPr>
      </w:pPr>
      <w:r w:rsidRPr="006076E8">
        <w:rPr>
          <w:i/>
          <w:iCs/>
          <w:color w:val="404040" w:themeColor="text1" w:themeTint="BF"/>
          <w:szCs w:val="22"/>
        </w:rPr>
        <w:t xml:space="preserve">(iii) </w:t>
      </w:r>
      <w:proofErr w:type="gramStart"/>
      <w:r w:rsidRPr="006076E8">
        <w:rPr>
          <w:i/>
          <w:iCs/>
          <w:color w:val="404040" w:themeColor="text1" w:themeTint="BF"/>
          <w:szCs w:val="22"/>
        </w:rPr>
        <w:t>any</w:t>
      </w:r>
      <w:proofErr w:type="gramEnd"/>
      <w:r w:rsidRPr="006076E8">
        <w:rPr>
          <w:i/>
          <w:iCs/>
          <w:color w:val="404040" w:themeColor="text1" w:themeTint="BF"/>
          <w:szCs w:val="22"/>
        </w:rPr>
        <w:t xml:space="preserve"> increase in price does not exceed 50% of the value of the original contract or framework agreement.</w:t>
      </w:r>
    </w:p>
    <w:p w14:paraId="2B904E95" w14:textId="77777777" w:rsidR="00657D0F" w:rsidRDefault="00657D0F" w:rsidP="00657D0F">
      <w:pPr>
        <w:jc w:val="both"/>
        <w:rPr>
          <w:rFonts w:cs="Arial"/>
          <w:szCs w:val="24"/>
        </w:rPr>
      </w:pPr>
    </w:p>
    <w:p w14:paraId="5A2371D6" w14:textId="10CC1127" w:rsidR="00302349" w:rsidRDefault="00302349" w:rsidP="00302349">
      <w:pPr>
        <w:jc w:val="both"/>
        <w:rPr>
          <w:rFonts w:cs="Arial"/>
          <w:szCs w:val="24"/>
        </w:rPr>
      </w:pPr>
      <w:r>
        <w:rPr>
          <w:rFonts w:cs="Arial"/>
          <w:szCs w:val="24"/>
        </w:rPr>
        <w:t>T</w:t>
      </w:r>
      <w:r w:rsidRPr="00657D0F">
        <w:rPr>
          <w:rFonts w:cs="Arial"/>
          <w:szCs w:val="24"/>
        </w:rPr>
        <w:t xml:space="preserve">his report identifies those contracts meeting the criteria for modification with the incumbent supplier. </w:t>
      </w:r>
      <w:r w:rsidR="00380B22">
        <w:rPr>
          <w:rFonts w:cs="Arial"/>
          <w:szCs w:val="24"/>
        </w:rPr>
        <w:t>Further specific considerations in respect of certain contracts are dealt with in the "Legal" section below.</w:t>
      </w:r>
    </w:p>
    <w:p w14:paraId="78603CDE" w14:textId="4D6159CF" w:rsidR="00302349" w:rsidRDefault="00302349" w:rsidP="00657D0F">
      <w:pPr>
        <w:jc w:val="both"/>
        <w:rPr>
          <w:rFonts w:cs="Arial"/>
          <w:szCs w:val="24"/>
        </w:rPr>
      </w:pPr>
    </w:p>
    <w:p w14:paraId="2ABF334A" w14:textId="041F769A" w:rsidR="005E7E87" w:rsidRDefault="005E7E87" w:rsidP="00657D0F">
      <w:pPr>
        <w:jc w:val="both"/>
        <w:rPr>
          <w:rFonts w:cs="Arial"/>
          <w:szCs w:val="24"/>
        </w:rPr>
      </w:pPr>
    </w:p>
    <w:p w14:paraId="4615A7D2" w14:textId="77777777" w:rsidR="005E7E87" w:rsidRDefault="005E7E87" w:rsidP="00657D0F">
      <w:pPr>
        <w:jc w:val="both"/>
        <w:rPr>
          <w:rFonts w:cs="Arial"/>
          <w:szCs w:val="24"/>
        </w:rPr>
      </w:pPr>
    </w:p>
    <w:p w14:paraId="1F0C023E" w14:textId="6529BBAD" w:rsidR="00302349" w:rsidRDefault="00657D0F" w:rsidP="00657D0F">
      <w:pPr>
        <w:jc w:val="both"/>
        <w:rPr>
          <w:rFonts w:cs="Arial"/>
          <w:szCs w:val="24"/>
        </w:rPr>
      </w:pPr>
      <w:r>
        <w:rPr>
          <w:rFonts w:cs="Arial"/>
          <w:szCs w:val="24"/>
        </w:rPr>
        <w:t xml:space="preserve">It is vital </w:t>
      </w:r>
      <w:r w:rsidR="00B81F6E">
        <w:rPr>
          <w:rFonts w:cs="Arial"/>
          <w:szCs w:val="24"/>
        </w:rPr>
        <w:t xml:space="preserve">that in respect of those contracts </w:t>
      </w:r>
      <w:r w:rsidR="005E7E87">
        <w:rPr>
          <w:rFonts w:cs="Arial"/>
          <w:szCs w:val="24"/>
        </w:rPr>
        <w:t>the c</w:t>
      </w:r>
      <w:r>
        <w:rPr>
          <w:rFonts w:cs="Arial"/>
          <w:szCs w:val="24"/>
        </w:rPr>
        <w:t>ouncil</w:t>
      </w:r>
      <w:r w:rsidR="005E7E87">
        <w:rPr>
          <w:rFonts w:cs="Arial"/>
          <w:szCs w:val="24"/>
        </w:rPr>
        <w:t>:</w:t>
      </w:r>
      <w:r w:rsidR="00302349">
        <w:rPr>
          <w:rFonts w:cs="Arial"/>
          <w:szCs w:val="24"/>
        </w:rPr>
        <w:t xml:space="preserve"> </w:t>
      </w:r>
    </w:p>
    <w:p w14:paraId="1787BCC4" w14:textId="77777777" w:rsidR="005E7E87" w:rsidRDefault="005E7E87" w:rsidP="00657D0F">
      <w:pPr>
        <w:jc w:val="both"/>
        <w:rPr>
          <w:rFonts w:cs="Arial"/>
          <w:szCs w:val="24"/>
        </w:rPr>
      </w:pPr>
    </w:p>
    <w:p w14:paraId="2ABEC616" w14:textId="08B73A8C" w:rsidR="00302349" w:rsidRDefault="00302349" w:rsidP="00203B80">
      <w:pPr>
        <w:pStyle w:val="ListParagraph"/>
        <w:numPr>
          <w:ilvl w:val="0"/>
          <w:numId w:val="8"/>
        </w:numPr>
        <w:jc w:val="both"/>
        <w:rPr>
          <w:rFonts w:cs="Arial"/>
          <w:szCs w:val="24"/>
        </w:rPr>
      </w:pPr>
      <w:r w:rsidRPr="002A1D94">
        <w:rPr>
          <w:rFonts w:cs="Arial"/>
          <w:szCs w:val="24"/>
        </w:rPr>
        <w:t xml:space="preserve">limits any contract extension or other modification to what is absolutely necessary to address the </w:t>
      </w:r>
      <w:r>
        <w:rPr>
          <w:rFonts w:cs="Arial"/>
          <w:szCs w:val="24"/>
        </w:rPr>
        <w:t xml:space="preserve">circumstances of the </w:t>
      </w:r>
      <w:r w:rsidRPr="002A1D94">
        <w:rPr>
          <w:rFonts w:cs="Arial"/>
          <w:szCs w:val="24"/>
        </w:rPr>
        <w:t>COVID-19 outbreak</w:t>
      </w:r>
      <w:r w:rsidR="005E7E87">
        <w:rPr>
          <w:rFonts w:cs="Arial"/>
          <w:szCs w:val="24"/>
        </w:rPr>
        <w:t>;</w:t>
      </w:r>
    </w:p>
    <w:p w14:paraId="73C2115B" w14:textId="77777777" w:rsidR="00302349" w:rsidRDefault="00302349" w:rsidP="00203B80">
      <w:pPr>
        <w:pStyle w:val="ListParagraph"/>
        <w:numPr>
          <w:ilvl w:val="0"/>
          <w:numId w:val="8"/>
        </w:numPr>
        <w:jc w:val="both"/>
        <w:rPr>
          <w:rFonts w:cs="Arial"/>
          <w:szCs w:val="24"/>
        </w:rPr>
      </w:pPr>
      <w:r>
        <w:rPr>
          <w:rFonts w:cs="Arial"/>
          <w:szCs w:val="24"/>
        </w:rPr>
        <w:t xml:space="preserve">limits any contract extension of modification to fall within the boundaries of Regulation 72(1)(c) of the PCRs; </w:t>
      </w:r>
      <w:r w:rsidRPr="002A1D94">
        <w:rPr>
          <w:rFonts w:cs="Arial"/>
          <w:szCs w:val="24"/>
        </w:rPr>
        <w:t xml:space="preserve">and </w:t>
      </w:r>
    </w:p>
    <w:p w14:paraId="7720C851" w14:textId="5C877601" w:rsidR="00657D0F" w:rsidRDefault="00657D0F" w:rsidP="00203B80">
      <w:pPr>
        <w:pStyle w:val="ListParagraph"/>
        <w:numPr>
          <w:ilvl w:val="0"/>
          <w:numId w:val="8"/>
        </w:numPr>
        <w:jc w:val="both"/>
        <w:rPr>
          <w:rFonts w:cs="Arial"/>
          <w:szCs w:val="24"/>
        </w:rPr>
      </w:pPr>
      <w:r w:rsidRPr="002A1D94">
        <w:rPr>
          <w:rFonts w:cs="Arial"/>
          <w:szCs w:val="24"/>
        </w:rPr>
        <w:t>keep</w:t>
      </w:r>
      <w:r w:rsidR="00302349">
        <w:rPr>
          <w:rFonts w:cs="Arial"/>
          <w:szCs w:val="24"/>
        </w:rPr>
        <w:t>s</w:t>
      </w:r>
      <w:r w:rsidRPr="002A1D94">
        <w:rPr>
          <w:rFonts w:cs="Arial"/>
          <w:szCs w:val="24"/>
        </w:rPr>
        <w:t xml:space="preserve"> a written justification that satisfies the</w:t>
      </w:r>
      <w:r w:rsidR="00302349">
        <w:rPr>
          <w:rFonts w:cs="Arial"/>
          <w:szCs w:val="24"/>
        </w:rPr>
        <w:t xml:space="preserve"> above </w:t>
      </w:r>
      <w:r w:rsidRPr="002A1D94">
        <w:rPr>
          <w:rFonts w:cs="Arial"/>
          <w:szCs w:val="24"/>
        </w:rPr>
        <w:t>conditions</w:t>
      </w:r>
      <w:r w:rsidR="00302349">
        <w:rPr>
          <w:rFonts w:cs="Arial"/>
          <w:szCs w:val="24"/>
        </w:rPr>
        <w:t>, with reference to the specific facts</w:t>
      </w:r>
      <w:r w:rsidR="005E7E87">
        <w:rPr>
          <w:rFonts w:cs="Arial"/>
          <w:szCs w:val="24"/>
        </w:rPr>
        <w:t>;</w:t>
      </w:r>
      <w:r w:rsidRPr="007753FF">
        <w:rPr>
          <w:rFonts w:cs="Arial"/>
          <w:szCs w:val="24"/>
        </w:rPr>
        <w:t xml:space="preserve"> </w:t>
      </w:r>
    </w:p>
    <w:p w14:paraId="3FB1B9CC" w14:textId="77777777" w:rsidR="002A1D94" w:rsidRPr="002A1D94" w:rsidRDefault="002A1D94" w:rsidP="00203B80">
      <w:pPr>
        <w:pStyle w:val="ListParagraph"/>
        <w:numPr>
          <w:ilvl w:val="0"/>
          <w:numId w:val="8"/>
        </w:numPr>
        <w:jc w:val="both"/>
        <w:rPr>
          <w:rFonts w:cs="Arial"/>
          <w:szCs w:val="24"/>
        </w:rPr>
      </w:pPr>
      <w:proofErr w:type="gramStart"/>
      <w:r w:rsidRPr="002A1D94">
        <w:rPr>
          <w:rFonts w:cs="Arial"/>
          <w:szCs w:val="24"/>
        </w:rPr>
        <w:t>publish</w:t>
      </w:r>
      <w:r>
        <w:rPr>
          <w:rFonts w:cs="Arial"/>
          <w:szCs w:val="24"/>
        </w:rPr>
        <w:t>es</w:t>
      </w:r>
      <w:proofErr w:type="gramEnd"/>
      <w:r w:rsidRPr="002A1D94">
        <w:rPr>
          <w:rFonts w:cs="Arial"/>
          <w:szCs w:val="24"/>
        </w:rPr>
        <w:t xml:space="preserve"> a notice </w:t>
      </w:r>
      <w:r>
        <w:rPr>
          <w:rFonts w:cs="Arial"/>
          <w:szCs w:val="24"/>
        </w:rPr>
        <w:t xml:space="preserve">in the Official Journal of the European Union in respect of each extended contract </w:t>
      </w:r>
      <w:r w:rsidRPr="002A1D94">
        <w:rPr>
          <w:rFonts w:cs="Arial"/>
          <w:szCs w:val="24"/>
        </w:rPr>
        <w:t>confirming reliance upon this ground</w:t>
      </w:r>
      <w:r>
        <w:rPr>
          <w:rFonts w:cs="Arial"/>
          <w:szCs w:val="24"/>
        </w:rPr>
        <w:t>.</w:t>
      </w:r>
    </w:p>
    <w:p w14:paraId="667C58B1" w14:textId="1118ED9D" w:rsidR="00B81F6E" w:rsidRDefault="00B81F6E" w:rsidP="00657D0F">
      <w:pPr>
        <w:jc w:val="both"/>
        <w:rPr>
          <w:rFonts w:cs="Arial"/>
          <w:szCs w:val="24"/>
        </w:rPr>
      </w:pPr>
    </w:p>
    <w:p w14:paraId="4B63591D" w14:textId="10C662AA" w:rsidR="006076E8" w:rsidRPr="00657D0F" w:rsidRDefault="006076E8" w:rsidP="006076E8">
      <w:pPr>
        <w:jc w:val="both"/>
        <w:rPr>
          <w:rFonts w:cs="Arial"/>
          <w:szCs w:val="24"/>
        </w:rPr>
      </w:pPr>
      <w:r>
        <w:rPr>
          <w:rFonts w:cs="Arial"/>
          <w:szCs w:val="24"/>
        </w:rPr>
        <w:t xml:space="preserve">Where an extension is requested </w:t>
      </w:r>
      <w:r w:rsidR="002A1D94">
        <w:rPr>
          <w:rFonts w:cs="Arial"/>
          <w:szCs w:val="24"/>
        </w:rPr>
        <w:t xml:space="preserve">in </w:t>
      </w:r>
      <w:r>
        <w:rPr>
          <w:rFonts w:cs="Arial"/>
          <w:szCs w:val="24"/>
        </w:rPr>
        <w:t>this report it is proposed that this is taken forward on the basis that the Director</w:t>
      </w:r>
      <w:r w:rsidR="00756949">
        <w:rPr>
          <w:rFonts w:cs="Arial"/>
          <w:szCs w:val="24"/>
        </w:rPr>
        <w:t>/</w:t>
      </w:r>
      <w:r>
        <w:rPr>
          <w:rFonts w:cs="Arial"/>
          <w:szCs w:val="24"/>
        </w:rPr>
        <w:t xml:space="preserve">Head of Service will </w:t>
      </w:r>
      <w:r w:rsidR="00756949">
        <w:rPr>
          <w:rFonts w:cs="Arial"/>
          <w:szCs w:val="24"/>
        </w:rPr>
        <w:t>be authorised</w:t>
      </w:r>
      <w:r>
        <w:rPr>
          <w:rFonts w:cs="Arial"/>
          <w:szCs w:val="24"/>
        </w:rPr>
        <w:t xml:space="preserve"> to determine length and number of extensions within the maximum </w:t>
      </w:r>
      <w:r w:rsidR="00302349">
        <w:rPr>
          <w:rFonts w:cs="Arial"/>
          <w:szCs w:val="24"/>
        </w:rPr>
        <w:t xml:space="preserve">scope </w:t>
      </w:r>
      <w:r>
        <w:rPr>
          <w:rFonts w:cs="Arial"/>
          <w:szCs w:val="24"/>
        </w:rPr>
        <w:t xml:space="preserve">permitted by this report. </w:t>
      </w:r>
    </w:p>
    <w:p w14:paraId="48AAE653" w14:textId="7146140C" w:rsidR="006076E8" w:rsidRDefault="006076E8" w:rsidP="00657D0F">
      <w:pPr>
        <w:jc w:val="both"/>
        <w:rPr>
          <w:rFonts w:cs="Arial"/>
          <w:szCs w:val="24"/>
        </w:rPr>
      </w:pPr>
    </w:p>
    <w:p w14:paraId="5F52CFE6" w14:textId="77777777" w:rsidR="009F7D60" w:rsidRPr="00657D0F" w:rsidRDefault="009F7D60" w:rsidP="00657D0F">
      <w:pPr>
        <w:jc w:val="both"/>
        <w:rPr>
          <w:rFonts w:cs="Arial"/>
          <w:szCs w:val="24"/>
        </w:rPr>
      </w:pPr>
      <w:r w:rsidRPr="00657D0F">
        <w:rPr>
          <w:rFonts w:cs="Arial"/>
          <w:szCs w:val="24"/>
        </w:rPr>
        <w:t>The contracts concerned are detailed at Appendix 'A</w:t>
      </w:r>
      <w:r w:rsidR="006076E8">
        <w:rPr>
          <w:rFonts w:cs="Arial"/>
          <w:szCs w:val="24"/>
        </w:rPr>
        <w:t>', the table below summarises the extensions by procurement category:</w:t>
      </w:r>
    </w:p>
    <w:p w14:paraId="06FE8AEB" w14:textId="77777777" w:rsidR="009F7D60" w:rsidRPr="00657D0F" w:rsidRDefault="009F7D60" w:rsidP="00657D0F">
      <w:pPr>
        <w:jc w:val="both"/>
        <w:rPr>
          <w:rFonts w:cs="Arial"/>
          <w:szCs w:val="24"/>
        </w:rPr>
      </w:pPr>
    </w:p>
    <w:tbl>
      <w:tblPr>
        <w:tblStyle w:val="TableGrid"/>
        <w:tblW w:w="9067" w:type="dxa"/>
        <w:tblLook w:val="04A0" w:firstRow="1" w:lastRow="0" w:firstColumn="1" w:lastColumn="0" w:noHBand="0" w:noVBand="1"/>
      </w:tblPr>
      <w:tblGrid>
        <w:gridCol w:w="2405"/>
        <w:gridCol w:w="2268"/>
        <w:gridCol w:w="1276"/>
        <w:gridCol w:w="3118"/>
      </w:tblGrid>
      <w:tr w:rsidR="0095036F" w:rsidRPr="006076E8" w14:paraId="5CCC4947" w14:textId="77777777" w:rsidTr="006076E8">
        <w:trPr>
          <w:trHeight w:val="300"/>
        </w:trPr>
        <w:tc>
          <w:tcPr>
            <w:tcW w:w="2405" w:type="dxa"/>
            <w:shd w:val="clear" w:color="auto" w:fill="F2F2F2" w:themeFill="background1" w:themeFillShade="F2"/>
            <w:noWrap/>
            <w:hideMark/>
          </w:tcPr>
          <w:p w14:paraId="6E23FD1C" w14:textId="5D590799" w:rsidR="0095036F" w:rsidRPr="006076E8" w:rsidRDefault="0095036F" w:rsidP="0095036F">
            <w:pPr>
              <w:jc w:val="center"/>
              <w:rPr>
                <w:rFonts w:cs="Arial"/>
                <w:b/>
                <w:bCs/>
                <w:color w:val="000000"/>
                <w:sz w:val="20"/>
                <w:szCs w:val="22"/>
                <w:lang w:val="en-US" w:eastAsia="en-US"/>
              </w:rPr>
            </w:pPr>
            <w:r w:rsidRPr="006076E8">
              <w:rPr>
                <w:rFonts w:cs="Arial"/>
                <w:b/>
                <w:bCs/>
                <w:color w:val="000000"/>
                <w:sz w:val="20"/>
                <w:szCs w:val="22"/>
                <w:lang w:val="en-US" w:eastAsia="en-US"/>
              </w:rPr>
              <w:t>Category of spend</w:t>
            </w:r>
          </w:p>
        </w:tc>
        <w:tc>
          <w:tcPr>
            <w:tcW w:w="2268" w:type="dxa"/>
            <w:shd w:val="clear" w:color="auto" w:fill="F2F2F2" w:themeFill="background1" w:themeFillShade="F2"/>
            <w:noWrap/>
            <w:hideMark/>
          </w:tcPr>
          <w:p w14:paraId="75B20DA9" w14:textId="77777777" w:rsidR="0095036F" w:rsidRDefault="0095036F" w:rsidP="0095036F">
            <w:pPr>
              <w:jc w:val="center"/>
              <w:rPr>
                <w:rFonts w:cs="Arial"/>
                <w:b/>
                <w:bCs/>
                <w:color w:val="000000"/>
                <w:sz w:val="20"/>
                <w:szCs w:val="22"/>
                <w:lang w:val="en-US" w:eastAsia="en-US"/>
              </w:rPr>
            </w:pPr>
            <w:r w:rsidRPr="006076E8">
              <w:rPr>
                <w:rFonts w:cs="Arial"/>
                <w:b/>
                <w:bCs/>
                <w:color w:val="000000"/>
                <w:sz w:val="20"/>
                <w:szCs w:val="22"/>
                <w:lang w:val="en-US" w:eastAsia="en-US"/>
              </w:rPr>
              <w:t>Value of maximum extension</w:t>
            </w:r>
            <w:r>
              <w:rPr>
                <w:rFonts w:cs="Arial"/>
                <w:b/>
                <w:bCs/>
                <w:color w:val="000000"/>
                <w:sz w:val="20"/>
                <w:szCs w:val="22"/>
                <w:lang w:val="en-US" w:eastAsia="en-US"/>
              </w:rPr>
              <w:t xml:space="preserve"> requested</w:t>
            </w:r>
          </w:p>
          <w:p w14:paraId="352C3955" w14:textId="77777777" w:rsidR="0095036F" w:rsidRPr="006076E8" w:rsidRDefault="0095036F" w:rsidP="0095036F">
            <w:pPr>
              <w:jc w:val="center"/>
              <w:rPr>
                <w:rFonts w:cs="Arial"/>
                <w:b/>
                <w:bCs/>
                <w:color w:val="000000"/>
                <w:sz w:val="20"/>
                <w:szCs w:val="22"/>
                <w:lang w:val="en-US" w:eastAsia="en-US"/>
              </w:rPr>
            </w:pPr>
          </w:p>
        </w:tc>
        <w:tc>
          <w:tcPr>
            <w:tcW w:w="1276" w:type="dxa"/>
            <w:shd w:val="clear" w:color="auto" w:fill="F2F2F2" w:themeFill="background1" w:themeFillShade="F2"/>
            <w:noWrap/>
            <w:hideMark/>
          </w:tcPr>
          <w:p w14:paraId="7CA04F3C" w14:textId="6623F224" w:rsidR="0095036F" w:rsidRPr="006076E8" w:rsidRDefault="0095036F" w:rsidP="0095036F">
            <w:pPr>
              <w:jc w:val="center"/>
              <w:rPr>
                <w:rFonts w:cs="Arial"/>
                <w:b/>
                <w:bCs/>
                <w:color w:val="000000"/>
                <w:sz w:val="20"/>
                <w:szCs w:val="22"/>
                <w:lang w:val="en-US" w:eastAsia="en-US"/>
              </w:rPr>
            </w:pPr>
            <w:r w:rsidRPr="006076E8">
              <w:rPr>
                <w:rFonts w:cs="Arial"/>
                <w:b/>
                <w:bCs/>
                <w:color w:val="000000"/>
                <w:sz w:val="20"/>
                <w:szCs w:val="22"/>
                <w:lang w:val="en-US" w:eastAsia="en-US"/>
              </w:rPr>
              <w:t>Number of contracts</w:t>
            </w:r>
          </w:p>
        </w:tc>
        <w:tc>
          <w:tcPr>
            <w:tcW w:w="3118" w:type="dxa"/>
            <w:shd w:val="clear" w:color="auto" w:fill="F2F2F2" w:themeFill="background1" w:themeFillShade="F2"/>
            <w:noWrap/>
            <w:hideMark/>
          </w:tcPr>
          <w:p w14:paraId="2D0CBD70" w14:textId="1F1299AF" w:rsidR="0095036F" w:rsidRPr="006076E8" w:rsidRDefault="0095036F" w:rsidP="0095036F">
            <w:pPr>
              <w:jc w:val="center"/>
              <w:rPr>
                <w:rFonts w:cs="Arial"/>
                <w:b/>
                <w:bCs/>
                <w:color w:val="000000"/>
                <w:sz w:val="20"/>
                <w:szCs w:val="22"/>
                <w:lang w:val="en-US" w:eastAsia="en-US"/>
              </w:rPr>
            </w:pPr>
            <w:r w:rsidRPr="006076E8">
              <w:rPr>
                <w:rFonts w:cs="Arial"/>
                <w:b/>
                <w:bCs/>
                <w:color w:val="000000"/>
                <w:sz w:val="20"/>
                <w:szCs w:val="22"/>
                <w:lang w:val="en-US" w:eastAsia="en-US"/>
              </w:rPr>
              <w:t xml:space="preserve">Average length of </w:t>
            </w:r>
            <w:r>
              <w:rPr>
                <w:rFonts w:cs="Arial"/>
                <w:b/>
                <w:bCs/>
                <w:color w:val="000000"/>
                <w:sz w:val="20"/>
                <w:szCs w:val="22"/>
                <w:lang w:val="en-US" w:eastAsia="en-US"/>
              </w:rPr>
              <w:t xml:space="preserve">maximum </w:t>
            </w:r>
            <w:r w:rsidRPr="006076E8">
              <w:rPr>
                <w:rFonts w:cs="Arial"/>
                <w:b/>
                <w:bCs/>
                <w:color w:val="000000"/>
                <w:sz w:val="20"/>
                <w:szCs w:val="22"/>
                <w:lang w:val="en-US" w:eastAsia="en-US"/>
              </w:rPr>
              <w:t>extension requested (from March 2020)</w:t>
            </w:r>
          </w:p>
        </w:tc>
      </w:tr>
      <w:tr w:rsidR="0095036F" w:rsidRPr="006076E8" w14:paraId="6EBB2DDD" w14:textId="77777777" w:rsidTr="006076E8">
        <w:trPr>
          <w:trHeight w:val="300"/>
        </w:trPr>
        <w:tc>
          <w:tcPr>
            <w:tcW w:w="2405" w:type="dxa"/>
            <w:noWrap/>
            <w:hideMark/>
          </w:tcPr>
          <w:p w14:paraId="24240F99" w14:textId="279E880C" w:rsidR="0095036F" w:rsidRPr="006076E8" w:rsidRDefault="0095036F" w:rsidP="0095036F">
            <w:pPr>
              <w:rPr>
                <w:rFonts w:cs="Arial"/>
                <w:i/>
                <w:color w:val="000000"/>
                <w:sz w:val="20"/>
                <w:szCs w:val="22"/>
                <w:lang w:val="en-US" w:eastAsia="en-US"/>
              </w:rPr>
            </w:pPr>
            <w:r w:rsidRPr="006076E8">
              <w:rPr>
                <w:rFonts w:cs="Arial"/>
                <w:i/>
                <w:color w:val="000000"/>
                <w:sz w:val="20"/>
                <w:szCs w:val="22"/>
                <w:lang w:val="en-US" w:eastAsia="en-US"/>
              </w:rPr>
              <w:t>Care and Public Health</w:t>
            </w:r>
          </w:p>
        </w:tc>
        <w:tc>
          <w:tcPr>
            <w:tcW w:w="2268" w:type="dxa"/>
            <w:noWrap/>
            <w:hideMark/>
          </w:tcPr>
          <w:p w14:paraId="16771C27" w14:textId="07D5F40D" w:rsidR="0095036F" w:rsidRPr="006076E8" w:rsidRDefault="0095036F" w:rsidP="0095036F">
            <w:pPr>
              <w:jc w:val="right"/>
              <w:rPr>
                <w:rFonts w:cs="Arial"/>
                <w:color w:val="000000"/>
                <w:sz w:val="20"/>
                <w:szCs w:val="22"/>
                <w:lang w:val="en-US" w:eastAsia="en-US"/>
              </w:rPr>
            </w:pPr>
            <w:r w:rsidRPr="006076E8">
              <w:rPr>
                <w:rFonts w:cs="Arial"/>
                <w:color w:val="000000"/>
                <w:sz w:val="20"/>
                <w:szCs w:val="22"/>
                <w:lang w:val="en-US" w:eastAsia="en-US"/>
              </w:rPr>
              <w:t>£6,769,</w:t>
            </w:r>
            <w:r>
              <w:rPr>
                <w:rFonts w:cs="Arial"/>
                <w:color w:val="000000"/>
                <w:sz w:val="20"/>
                <w:szCs w:val="22"/>
                <w:lang w:val="en-US" w:eastAsia="en-US"/>
              </w:rPr>
              <w:t>180</w:t>
            </w:r>
          </w:p>
        </w:tc>
        <w:tc>
          <w:tcPr>
            <w:tcW w:w="1276" w:type="dxa"/>
            <w:noWrap/>
            <w:hideMark/>
          </w:tcPr>
          <w:p w14:paraId="727FC727" w14:textId="36005956" w:rsidR="0095036F" w:rsidRPr="006076E8" w:rsidRDefault="0095036F" w:rsidP="0095036F">
            <w:pPr>
              <w:jc w:val="right"/>
              <w:rPr>
                <w:rFonts w:cs="Arial"/>
                <w:color w:val="000000"/>
                <w:sz w:val="20"/>
                <w:szCs w:val="22"/>
                <w:lang w:val="en-US" w:eastAsia="en-US"/>
              </w:rPr>
            </w:pPr>
            <w:r w:rsidRPr="006076E8">
              <w:rPr>
                <w:rFonts w:cs="Arial"/>
                <w:color w:val="000000"/>
                <w:sz w:val="20"/>
                <w:szCs w:val="22"/>
                <w:lang w:val="en-US" w:eastAsia="en-US"/>
              </w:rPr>
              <w:t>7</w:t>
            </w:r>
          </w:p>
        </w:tc>
        <w:tc>
          <w:tcPr>
            <w:tcW w:w="3118" w:type="dxa"/>
            <w:noWrap/>
            <w:hideMark/>
          </w:tcPr>
          <w:p w14:paraId="2B080BD8" w14:textId="466FFE13" w:rsidR="0095036F" w:rsidRPr="006076E8" w:rsidRDefault="0095036F" w:rsidP="0095036F">
            <w:pPr>
              <w:jc w:val="right"/>
              <w:rPr>
                <w:rFonts w:cs="Arial"/>
                <w:color w:val="000000"/>
                <w:sz w:val="20"/>
                <w:szCs w:val="22"/>
                <w:lang w:val="en-US" w:eastAsia="en-US"/>
              </w:rPr>
            </w:pPr>
            <w:r w:rsidRPr="006076E8">
              <w:rPr>
                <w:rFonts w:cs="Arial"/>
                <w:color w:val="000000"/>
                <w:sz w:val="20"/>
                <w:szCs w:val="22"/>
                <w:lang w:val="en-US" w:eastAsia="en-US"/>
              </w:rPr>
              <w:t>Up to 12 months</w:t>
            </w:r>
          </w:p>
        </w:tc>
      </w:tr>
      <w:tr w:rsidR="0095036F" w:rsidRPr="006076E8" w14:paraId="61A93F01" w14:textId="77777777" w:rsidTr="006076E8">
        <w:trPr>
          <w:trHeight w:val="300"/>
        </w:trPr>
        <w:tc>
          <w:tcPr>
            <w:tcW w:w="2405" w:type="dxa"/>
            <w:noWrap/>
            <w:hideMark/>
          </w:tcPr>
          <w:p w14:paraId="1DDB73AB" w14:textId="517303D4" w:rsidR="0095036F" w:rsidRPr="006076E8" w:rsidRDefault="0095036F" w:rsidP="0095036F">
            <w:pPr>
              <w:rPr>
                <w:rFonts w:cs="Arial"/>
                <w:i/>
                <w:color w:val="000000"/>
                <w:sz w:val="20"/>
                <w:szCs w:val="22"/>
                <w:lang w:val="en-US" w:eastAsia="en-US"/>
              </w:rPr>
            </w:pPr>
            <w:r w:rsidRPr="006076E8">
              <w:rPr>
                <w:rFonts w:cs="Arial"/>
                <w:i/>
                <w:color w:val="000000"/>
                <w:sz w:val="20"/>
                <w:szCs w:val="22"/>
                <w:lang w:val="en-US" w:eastAsia="en-US"/>
              </w:rPr>
              <w:t>Construction &amp; Assets</w:t>
            </w:r>
          </w:p>
        </w:tc>
        <w:tc>
          <w:tcPr>
            <w:tcW w:w="2268" w:type="dxa"/>
            <w:noWrap/>
            <w:hideMark/>
          </w:tcPr>
          <w:p w14:paraId="06F12EAE" w14:textId="4466CF8E" w:rsidR="0095036F" w:rsidRPr="006076E8" w:rsidRDefault="0095036F" w:rsidP="0095036F">
            <w:pPr>
              <w:jc w:val="right"/>
              <w:rPr>
                <w:rFonts w:cs="Arial"/>
                <w:color w:val="000000"/>
                <w:sz w:val="20"/>
                <w:szCs w:val="22"/>
                <w:lang w:val="en-US" w:eastAsia="en-US"/>
              </w:rPr>
            </w:pPr>
            <w:r>
              <w:rPr>
                <w:rFonts w:cs="Arial"/>
                <w:color w:val="000000"/>
                <w:sz w:val="20"/>
                <w:szCs w:val="22"/>
                <w:lang w:val="en-US" w:eastAsia="en-US"/>
              </w:rPr>
              <w:t>£13,032,100</w:t>
            </w:r>
          </w:p>
        </w:tc>
        <w:tc>
          <w:tcPr>
            <w:tcW w:w="1276" w:type="dxa"/>
            <w:noWrap/>
            <w:hideMark/>
          </w:tcPr>
          <w:p w14:paraId="6D988E98" w14:textId="373557DF" w:rsidR="0095036F" w:rsidRPr="006076E8" w:rsidRDefault="0095036F" w:rsidP="0095036F">
            <w:pPr>
              <w:jc w:val="right"/>
              <w:rPr>
                <w:rFonts w:cs="Arial"/>
                <w:color w:val="000000"/>
                <w:sz w:val="20"/>
                <w:szCs w:val="22"/>
                <w:lang w:val="en-US" w:eastAsia="en-US"/>
              </w:rPr>
            </w:pPr>
            <w:r w:rsidRPr="006076E8">
              <w:rPr>
                <w:rFonts w:cs="Arial"/>
                <w:color w:val="000000"/>
                <w:sz w:val="20"/>
                <w:szCs w:val="22"/>
                <w:lang w:val="en-US" w:eastAsia="en-US"/>
              </w:rPr>
              <w:t>1</w:t>
            </w:r>
            <w:r>
              <w:rPr>
                <w:rFonts w:cs="Arial"/>
                <w:color w:val="000000"/>
                <w:sz w:val="20"/>
                <w:szCs w:val="22"/>
                <w:lang w:val="en-US" w:eastAsia="en-US"/>
              </w:rPr>
              <w:t>1</w:t>
            </w:r>
          </w:p>
        </w:tc>
        <w:tc>
          <w:tcPr>
            <w:tcW w:w="3118" w:type="dxa"/>
            <w:noWrap/>
            <w:hideMark/>
          </w:tcPr>
          <w:p w14:paraId="10A33EB4" w14:textId="1478E553" w:rsidR="0095036F" w:rsidRPr="006076E8" w:rsidRDefault="0095036F" w:rsidP="0095036F">
            <w:pPr>
              <w:jc w:val="right"/>
              <w:rPr>
                <w:rFonts w:cs="Arial"/>
                <w:color w:val="000000"/>
                <w:sz w:val="20"/>
                <w:szCs w:val="22"/>
                <w:lang w:val="en-US" w:eastAsia="en-US"/>
              </w:rPr>
            </w:pPr>
            <w:r w:rsidRPr="006076E8">
              <w:rPr>
                <w:rFonts w:cs="Arial"/>
                <w:color w:val="000000"/>
                <w:sz w:val="20"/>
                <w:szCs w:val="22"/>
                <w:lang w:val="en-US" w:eastAsia="en-US"/>
              </w:rPr>
              <w:t>Up to 13 months</w:t>
            </w:r>
          </w:p>
        </w:tc>
      </w:tr>
      <w:tr w:rsidR="0095036F" w:rsidRPr="006076E8" w14:paraId="49F576D6" w14:textId="77777777" w:rsidTr="006076E8">
        <w:trPr>
          <w:trHeight w:val="300"/>
        </w:trPr>
        <w:tc>
          <w:tcPr>
            <w:tcW w:w="2405" w:type="dxa"/>
            <w:noWrap/>
            <w:hideMark/>
          </w:tcPr>
          <w:p w14:paraId="34E2EB5F" w14:textId="7D02566C" w:rsidR="0095036F" w:rsidRPr="006076E8" w:rsidRDefault="0095036F" w:rsidP="0095036F">
            <w:pPr>
              <w:rPr>
                <w:rFonts w:cs="Arial"/>
                <w:i/>
                <w:color w:val="000000"/>
                <w:sz w:val="20"/>
                <w:szCs w:val="22"/>
                <w:lang w:val="en-US" w:eastAsia="en-US"/>
              </w:rPr>
            </w:pPr>
            <w:r w:rsidRPr="006076E8">
              <w:rPr>
                <w:rFonts w:cs="Arial"/>
                <w:i/>
                <w:color w:val="000000"/>
                <w:sz w:val="20"/>
                <w:szCs w:val="22"/>
                <w:lang w:val="en-US" w:eastAsia="en-US"/>
              </w:rPr>
              <w:t>Corporate</w:t>
            </w:r>
          </w:p>
        </w:tc>
        <w:tc>
          <w:tcPr>
            <w:tcW w:w="2268" w:type="dxa"/>
            <w:noWrap/>
            <w:hideMark/>
          </w:tcPr>
          <w:p w14:paraId="006C6578" w14:textId="5DBA730E" w:rsidR="0095036F" w:rsidRPr="006076E8" w:rsidRDefault="0095036F" w:rsidP="0095036F">
            <w:pPr>
              <w:jc w:val="right"/>
              <w:rPr>
                <w:rFonts w:cs="Arial"/>
                <w:color w:val="000000"/>
                <w:sz w:val="20"/>
                <w:szCs w:val="22"/>
                <w:lang w:val="en-US" w:eastAsia="en-US"/>
              </w:rPr>
            </w:pPr>
            <w:r w:rsidRPr="006076E8">
              <w:rPr>
                <w:rFonts w:cs="Arial"/>
                <w:color w:val="000000"/>
                <w:sz w:val="20"/>
                <w:szCs w:val="22"/>
                <w:lang w:val="en-US" w:eastAsia="en-US"/>
              </w:rPr>
              <w:t>£1,</w:t>
            </w:r>
            <w:r>
              <w:rPr>
                <w:rFonts w:cs="Arial"/>
                <w:color w:val="000000"/>
                <w:sz w:val="20"/>
                <w:szCs w:val="22"/>
                <w:lang w:val="en-US" w:eastAsia="en-US"/>
              </w:rPr>
              <w:t>296,500</w:t>
            </w:r>
          </w:p>
        </w:tc>
        <w:tc>
          <w:tcPr>
            <w:tcW w:w="1276" w:type="dxa"/>
            <w:noWrap/>
            <w:hideMark/>
          </w:tcPr>
          <w:p w14:paraId="597D6AC8" w14:textId="54DCC9CF" w:rsidR="0095036F" w:rsidRPr="006076E8" w:rsidRDefault="0095036F" w:rsidP="0095036F">
            <w:pPr>
              <w:jc w:val="right"/>
              <w:rPr>
                <w:rFonts w:cs="Arial"/>
                <w:color w:val="000000"/>
                <w:sz w:val="20"/>
                <w:szCs w:val="22"/>
                <w:lang w:val="en-US" w:eastAsia="en-US"/>
              </w:rPr>
            </w:pPr>
            <w:r w:rsidRPr="006076E8">
              <w:rPr>
                <w:rFonts w:cs="Arial"/>
                <w:color w:val="000000"/>
                <w:sz w:val="20"/>
                <w:szCs w:val="22"/>
                <w:lang w:val="en-US" w:eastAsia="en-US"/>
              </w:rPr>
              <w:t>8</w:t>
            </w:r>
          </w:p>
        </w:tc>
        <w:tc>
          <w:tcPr>
            <w:tcW w:w="3118" w:type="dxa"/>
            <w:noWrap/>
            <w:hideMark/>
          </w:tcPr>
          <w:p w14:paraId="3B7671B8" w14:textId="3536EF5A" w:rsidR="0095036F" w:rsidRPr="006076E8" w:rsidRDefault="0095036F" w:rsidP="0095036F">
            <w:pPr>
              <w:jc w:val="right"/>
              <w:rPr>
                <w:rFonts w:cs="Arial"/>
                <w:color w:val="000000"/>
                <w:sz w:val="20"/>
                <w:szCs w:val="22"/>
                <w:lang w:val="en-US" w:eastAsia="en-US"/>
              </w:rPr>
            </w:pPr>
            <w:r w:rsidRPr="006076E8">
              <w:rPr>
                <w:rFonts w:cs="Arial"/>
                <w:color w:val="000000"/>
                <w:sz w:val="20"/>
                <w:szCs w:val="22"/>
                <w:lang w:val="en-US" w:eastAsia="en-US"/>
              </w:rPr>
              <w:t>Up to 8 months</w:t>
            </w:r>
          </w:p>
        </w:tc>
      </w:tr>
      <w:tr w:rsidR="0095036F" w:rsidRPr="006076E8" w14:paraId="7FC3F14F" w14:textId="77777777" w:rsidTr="006076E8">
        <w:trPr>
          <w:trHeight w:val="300"/>
        </w:trPr>
        <w:tc>
          <w:tcPr>
            <w:tcW w:w="2405" w:type="dxa"/>
            <w:noWrap/>
            <w:hideMark/>
          </w:tcPr>
          <w:p w14:paraId="68DCC529" w14:textId="77777777" w:rsidR="0095036F" w:rsidRPr="006076E8" w:rsidRDefault="0095036F" w:rsidP="0095036F">
            <w:pPr>
              <w:rPr>
                <w:rFonts w:cs="Arial"/>
                <w:b/>
                <w:bCs/>
                <w:color w:val="000000"/>
                <w:sz w:val="20"/>
                <w:szCs w:val="22"/>
                <w:lang w:val="en-US" w:eastAsia="en-US"/>
              </w:rPr>
            </w:pPr>
          </w:p>
        </w:tc>
        <w:tc>
          <w:tcPr>
            <w:tcW w:w="2268" w:type="dxa"/>
            <w:noWrap/>
            <w:hideMark/>
          </w:tcPr>
          <w:p w14:paraId="7884926E" w14:textId="5DA9B7CC" w:rsidR="0095036F" w:rsidRPr="006076E8" w:rsidRDefault="0095036F" w:rsidP="005C0432">
            <w:pPr>
              <w:jc w:val="right"/>
              <w:rPr>
                <w:rFonts w:cs="Arial"/>
                <w:b/>
                <w:bCs/>
                <w:color w:val="000000"/>
                <w:sz w:val="20"/>
                <w:szCs w:val="22"/>
                <w:lang w:val="en-US" w:eastAsia="en-US"/>
              </w:rPr>
            </w:pPr>
            <w:r w:rsidRPr="006076E8">
              <w:rPr>
                <w:rFonts w:cs="Arial"/>
                <w:b/>
                <w:bCs/>
                <w:color w:val="000000"/>
                <w:sz w:val="20"/>
                <w:szCs w:val="22"/>
                <w:lang w:val="en-US" w:eastAsia="en-US"/>
              </w:rPr>
              <w:t>£</w:t>
            </w:r>
            <w:r w:rsidR="00541BDF">
              <w:rPr>
                <w:rFonts w:cs="Arial"/>
                <w:b/>
                <w:bCs/>
                <w:color w:val="000000"/>
                <w:sz w:val="20"/>
                <w:szCs w:val="22"/>
                <w:lang w:val="en-US" w:eastAsia="en-US"/>
              </w:rPr>
              <w:t>20,</w:t>
            </w:r>
            <w:r w:rsidR="005C0432">
              <w:rPr>
                <w:rFonts w:cs="Arial"/>
                <w:b/>
                <w:bCs/>
                <w:color w:val="000000"/>
                <w:sz w:val="20"/>
                <w:szCs w:val="22"/>
                <w:lang w:val="en-US" w:eastAsia="en-US"/>
              </w:rPr>
              <w:t>629</w:t>
            </w:r>
            <w:r w:rsidR="00541BDF">
              <w:rPr>
                <w:rFonts w:cs="Arial"/>
                <w:b/>
                <w:bCs/>
                <w:color w:val="000000"/>
                <w:sz w:val="20"/>
                <w:szCs w:val="22"/>
                <w:lang w:val="en-US" w:eastAsia="en-US"/>
              </w:rPr>
              <w:t>,030</w:t>
            </w:r>
          </w:p>
        </w:tc>
        <w:tc>
          <w:tcPr>
            <w:tcW w:w="1276" w:type="dxa"/>
            <w:noWrap/>
            <w:hideMark/>
          </w:tcPr>
          <w:p w14:paraId="10F26C51" w14:textId="05477038" w:rsidR="0095036F" w:rsidRPr="006076E8" w:rsidRDefault="0095036F" w:rsidP="0095036F">
            <w:pPr>
              <w:jc w:val="right"/>
              <w:rPr>
                <w:rFonts w:cs="Arial"/>
                <w:b/>
                <w:bCs/>
                <w:color w:val="000000"/>
                <w:sz w:val="20"/>
                <w:szCs w:val="22"/>
                <w:lang w:val="en-US" w:eastAsia="en-US"/>
              </w:rPr>
            </w:pPr>
            <w:r w:rsidRPr="006076E8">
              <w:rPr>
                <w:rFonts w:cs="Arial"/>
                <w:b/>
                <w:bCs/>
                <w:color w:val="000000"/>
                <w:sz w:val="20"/>
                <w:szCs w:val="22"/>
                <w:lang w:val="en-US" w:eastAsia="en-US"/>
              </w:rPr>
              <w:t>2</w:t>
            </w:r>
            <w:r>
              <w:rPr>
                <w:rFonts w:cs="Arial"/>
                <w:b/>
                <w:bCs/>
                <w:color w:val="000000"/>
                <w:sz w:val="20"/>
                <w:szCs w:val="22"/>
                <w:lang w:val="en-US" w:eastAsia="en-US"/>
              </w:rPr>
              <w:t>6</w:t>
            </w:r>
          </w:p>
        </w:tc>
        <w:tc>
          <w:tcPr>
            <w:tcW w:w="3118" w:type="dxa"/>
            <w:noWrap/>
            <w:hideMark/>
          </w:tcPr>
          <w:p w14:paraId="3F3217B3" w14:textId="07038996" w:rsidR="0095036F" w:rsidRPr="006076E8" w:rsidRDefault="0095036F" w:rsidP="0095036F">
            <w:pPr>
              <w:jc w:val="right"/>
              <w:rPr>
                <w:rFonts w:cs="Arial"/>
                <w:b/>
                <w:bCs/>
                <w:color w:val="000000"/>
                <w:sz w:val="20"/>
                <w:szCs w:val="22"/>
                <w:lang w:val="en-US" w:eastAsia="en-US"/>
              </w:rPr>
            </w:pPr>
            <w:r w:rsidRPr="006076E8">
              <w:rPr>
                <w:rFonts w:cs="Arial"/>
                <w:b/>
                <w:bCs/>
                <w:color w:val="000000"/>
                <w:sz w:val="20"/>
                <w:szCs w:val="22"/>
                <w:lang w:val="en-US" w:eastAsia="en-US"/>
              </w:rPr>
              <w:t xml:space="preserve"> </w:t>
            </w:r>
          </w:p>
        </w:tc>
      </w:tr>
    </w:tbl>
    <w:p w14:paraId="1B0D6840" w14:textId="77777777" w:rsidR="009F7D60" w:rsidRPr="00657D0F" w:rsidRDefault="009F7D60" w:rsidP="00657D0F">
      <w:pPr>
        <w:jc w:val="both"/>
        <w:rPr>
          <w:rFonts w:cs="Arial"/>
          <w:szCs w:val="24"/>
        </w:rPr>
      </w:pPr>
    </w:p>
    <w:p w14:paraId="6C651F29" w14:textId="77777777" w:rsidR="009F7D60" w:rsidRPr="00657D0F" w:rsidRDefault="009F7D60" w:rsidP="00657D0F">
      <w:pPr>
        <w:jc w:val="both"/>
        <w:rPr>
          <w:rFonts w:cs="Arial"/>
          <w:szCs w:val="24"/>
        </w:rPr>
      </w:pPr>
      <w:r w:rsidRPr="00657D0F">
        <w:rPr>
          <w:rFonts w:cs="Arial"/>
          <w:szCs w:val="24"/>
        </w:rPr>
        <w:t>Approval will enable the Council to extend contracts and permit the Procurement Service to:</w:t>
      </w:r>
    </w:p>
    <w:p w14:paraId="7E6965C5" w14:textId="77777777" w:rsidR="009F7D60" w:rsidRPr="00657D0F" w:rsidRDefault="009F7D60" w:rsidP="00657D0F">
      <w:pPr>
        <w:jc w:val="both"/>
        <w:rPr>
          <w:rFonts w:cs="Arial"/>
          <w:szCs w:val="24"/>
        </w:rPr>
      </w:pPr>
    </w:p>
    <w:p w14:paraId="2C723CC4" w14:textId="77777777" w:rsidR="009F7D60" w:rsidRPr="00657D0F" w:rsidRDefault="009F7D60" w:rsidP="00657D0F">
      <w:pPr>
        <w:numPr>
          <w:ilvl w:val="0"/>
          <w:numId w:val="3"/>
        </w:numPr>
        <w:ind w:left="709" w:hanging="289"/>
        <w:jc w:val="both"/>
        <w:rPr>
          <w:rFonts w:cs="Arial"/>
          <w:szCs w:val="24"/>
        </w:rPr>
      </w:pPr>
      <w:r w:rsidRPr="00657D0F">
        <w:rPr>
          <w:rFonts w:cs="Arial"/>
          <w:szCs w:val="24"/>
        </w:rPr>
        <w:t xml:space="preserve">Ensure its </w:t>
      </w:r>
      <w:r w:rsidR="00D30B8D" w:rsidRPr="00657D0F">
        <w:rPr>
          <w:rFonts w:cs="Arial"/>
          <w:szCs w:val="24"/>
        </w:rPr>
        <w:t>effort</w:t>
      </w:r>
      <w:r w:rsidRPr="00657D0F">
        <w:rPr>
          <w:rFonts w:cs="Arial"/>
          <w:szCs w:val="24"/>
        </w:rPr>
        <w:t xml:space="preserve"> is maintained on essential category management activities, namely the supply of PPE</w:t>
      </w:r>
      <w:r w:rsidR="00D30B8D">
        <w:rPr>
          <w:rFonts w:cs="Arial"/>
          <w:szCs w:val="24"/>
        </w:rPr>
        <w:t>, which has diverted a significant number of staff away from their usual areas of focus</w:t>
      </w:r>
      <w:r w:rsidRPr="00657D0F">
        <w:rPr>
          <w:rFonts w:cs="Arial"/>
          <w:szCs w:val="24"/>
        </w:rPr>
        <w:t>.</w:t>
      </w:r>
    </w:p>
    <w:p w14:paraId="3591EAF8" w14:textId="77777777" w:rsidR="009F7D60" w:rsidRPr="00657D0F" w:rsidRDefault="009F7D60" w:rsidP="00657D0F">
      <w:pPr>
        <w:numPr>
          <w:ilvl w:val="0"/>
          <w:numId w:val="3"/>
        </w:numPr>
        <w:ind w:left="709" w:hanging="289"/>
        <w:jc w:val="both"/>
        <w:rPr>
          <w:rFonts w:cs="Arial"/>
          <w:szCs w:val="24"/>
        </w:rPr>
      </w:pPr>
      <w:r w:rsidRPr="00657D0F">
        <w:rPr>
          <w:rFonts w:cs="Arial"/>
          <w:szCs w:val="24"/>
        </w:rPr>
        <w:t xml:space="preserve">Where resource permits redeploy </w:t>
      </w:r>
      <w:r w:rsidR="00B97C4D">
        <w:rPr>
          <w:rFonts w:cs="Arial"/>
          <w:szCs w:val="24"/>
        </w:rPr>
        <w:t xml:space="preserve">Procurement </w:t>
      </w:r>
      <w:r w:rsidRPr="00657D0F">
        <w:rPr>
          <w:rFonts w:cs="Arial"/>
          <w:szCs w:val="24"/>
        </w:rPr>
        <w:t>staff to support essential services outside of the Procurement Service.</w:t>
      </w:r>
    </w:p>
    <w:p w14:paraId="39EFF5AD" w14:textId="77777777" w:rsidR="009F7D60" w:rsidRDefault="009F7D60" w:rsidP="00657D0F">
      <w:pPr>
        <w:numPr>
          <w:ilvl w:val="0"/>
          <w:numId w:val="3"/>
        </w:numPr>
        <w:ind w:left="709" w:hanging="289"/>
        <w:jc w:val="both"/>
        <w:rPr>
          <w:rFonts w:cs="Arial"/>
          <w:szCs w:val="24"/>
        </w:rPr>
      </w:pPr>
      <w:r w:rsidRPr="00657D0F">
        <w:rPr>
          <w:rFonts w:cs="Arial"/>
          <w:szCs w:val="24"/>
        </w:rPr>
        <w:t xml:space="preserve">Undertake full tendering processes </w:t>
      </w:r>
      <w:r w:rsidR="00D30B8D" w:rsidRPr="00657D0F">
        <w:rPr>
          <w:rFonts w:cs="Arial"/>
          <w:szCs w:val="24"/>
        </w:rPr>
        <w:t xml:space="preserve">at a later date </w:t>
      </w:r>
      <w:r w:rsidRPr="00657D0F">
        <w:rPr>
          <w:rFonts w:cs="Arial"/>
          <w:szCs w:val="24"/>
        </w:rPr>
        <w:t>to put new contractual arrangements in place.</w:t>
      </w:r>
    </w:p>
    <w:p w14:paraId="264BE641" w14:textId="25C3DD1D" w:rsidR="006F349B" w:rsidRPr="00657D0F" w:rsidRDefault="006F349B" w:rsidP="00657D0F">
      <w:pPr>
        <w:jc w:val="both"/>
        <w:rPr>
          <w:rFonts w:cs="Arial"/>
          <w:b/>
          <w:szCs w:val="24"/>
        </w:rPr>
      </w:pPr>
    </w:p>
    <w:p w14:paraId="48CD1545" w14:textId="77777777" w:rsidR="006F349B" w:rsidRPr="00657D0F" w:rsidRDefault="006F349B" w:rsidP="00657D0F">
      <w:pPr>
        <w:jc w:val="both"/>
        <w:rPr>
          <w:rFonts w:cs="Arial"/>
          <w:b/>
          <w:szCs w:val="24"/>
        </w:rPr>
      </w:pPr>
      <w:r w:rsidRPr="00657D0F">
        <w:rPr>
          <w:rFonts w:cs="Arial"/>
          <w:b/>
          <w:szCs w:val="24"/>
        </w:rPr>
        <w:t>Consultations</w:t>
      </w:r>
    </w:p>
    <w:p w14:paraId="7EB5C0BE" w14:textId="77777777" w:rsidR="006F349B" w:rsidRPr="00657D0F" w:rsidRDefault="006F349B" w:rsidP="00657D0F">
      <w:pPr>
        <w:jc w:val="both"/>
        <w:rPr>
          <w:rFonts w:cs="Arial"/>
          <w:b/>
          <w:szCs w:val="24"/>
        </w:rPr>
      </w:pPr>
    </w:p>
    <w:p w14:paraId="1DB04092" w14:textId="77777777" w:rsidR="006F349B" w:rsidRPr="00657D0F" w:rsidRDefault="006F349B" w:rsidP="00657D0F">
      <w:pPr>
        <w:jc w:val="both"/>
        <w:rPr>
          <w:rFonts w:cs="Arial"/>
          <w:szCs w:val="24"/>
        </w:rPr>
      </w:pPr>
      <w:r w:rsidRPr="00657D0F">
        <w:rPr>
          <w:rFonts w:cs="Arial"/>
          <w:szCs w:val="24"/>
        </w:rPr>
        <w:t>Relevant heads of service and key operational staff have been consulted</w:t>
      </w:r>
      <w:r w:rsidR="009F7D60" w:rsidRPr="00657D0F">
        <w:rPr>
          <w:rFonts w:cs="Arial"/>
          <w:szCs w:val="24"/>
        </w:rPr>
        <w:t xml:space="preserve"> in drawing up the proposals </w:t>
      </w:r>
      <w:r w:rsidRPr="00657D0F">
        <w:rPr>
          <w:rFonts w:cs="Arial"/>
          <w:szCs w:val="24"/>
        </w:rPr>
        <w:t xml:space="preserve">included within this report. </w:t>
      </w:r>
    </w:p>
    <w:p w14:paraId="0DA9EB26" w14:textId="77777777" w:rsidR="006F349B" w:rsidRPr="00657D0F" w:rsidRDefault="006F349B" w:rsidP="00657D0F">
      <w:pPr>
        <w:pStyle w:val="Header"/>
        <w:jc w:val="both"/>
        <w:rPr>
          <w:rFonts w:ascii="Arial" w:hAnsi="Arial" w:cs="Arial"/>
          <w:szCs w:val="24"/>
        </w:rPr>
      </w:pPr>
    </w:p>
    <w:p w14:paraId="4AAEB691" w14:textId="77777777" w:rsidR="006F349B" w:rsidRPr="00657D0F" w:rsidRDefault="006F349B" w:rsidP="00657D0F">
      <w:pPr>
        <w:jc w:val="both"/>
        <w:rPr>
          <w:rFonts w:cs="Arial"/>
          <w:szCs w:val="24"/>
        </w:rPr>
      </w:pPr>
      <w:r w:rsidRPr="00657D0F">
        <w:rPr>
          <w:rFonts w:cs="Arial"/>
          <w:b/>
          <w:szCs w:val="24"/>
        </w:rPr>
        <w:t>Implications</w:t>
      </w:r>
      <w:r w:rsidRPr="00657D0F">
        <w:rPr>
          <w:rFonts w:cs="Arial"/>
          <w:szCs w:val="24"/>
        </w:rPr>
        <w:t xml:space="preserve">: </w:t>
      </w:r>
    </w:p>
    <w:p w14:paraId="2B9EC77F" w14:textId="77777777" w:rsidR="006F349B" w:rsidRPr="00657D0F" w:rsidRDefault="006F349B" w:rsidP="00657D0F">
      <w:pPr>
        <w:jc w:val="both"/>
        <w:rPr>
          <w:rFonts w:cs="Arial"/>
          <w:szCs w:val="24"/>
        </w:rPr>
      </w:pPr>
    </w:p>
    <w:p w14:paraId="05581F6B" w14:textId="77777777" w:rsidR="006F349B" w:rsidRPr="00657D0F" w:rsidRDefault="006F349B" w:rsidP="00657D0F">
      <w:pPr>
        <w:jc w:val="both"/>
        <w:rPr>
          <w:rFonts w:cs="Arial"/>
          <w:szCs w:val="24"/>
        </w:rPr>
      </w:pPr>
      <w:r w:rsidRPr="00657D0F">
        <w:rPr>
          <w:rFonts w:cs="Arial"/>
          <w:szCs w:val="24"/>
        </w:rPr>
        <w:t>This item has the following implications, as indicated:</w:t>
      </w:r>
    </w:p>
    <w:p w14:paraId="20B9FBE7" w14:textId="77777777" w:rsidR="006F349B" w:rsidRPr="00657D0F" w:rsidRDefault="006F349B" w:rsidP="00657D0F">
      <w:pPr>
        <w:jc w:val="both"/>
        <w:rPr>
          <w:rFonts w:cs="Arial"/>
          <w:szCs w:val="24"/>
        </w:rPr>
      </w:pPr>
    </w:p>
    <w:p w14:paraId="1225C186" w14:textId="77777777" w:rsidR="00203B80" w:rsidRDefault="00203B80" w:rsidP="00657D0F">
      <w:pPr>
        <w:jc w:val="both"/>
        <w:rPr>
          <w:rFonts w:cs="Arial"/>
          <w:b/>
          <w:szCs w:val="24"/>
        </w:rPr>
      </w:pPr>
    </w:p>
    <w:p w14:paraId="74BB3F72" w14:textId="77777777" w:rsidR="00203B80" w:rsidRDefault="00203B80" w:rsidP="00657D0F">
      <w:pPr>
        <w:jc w:val="both"/>
        <w:rPr>
          <w:rFonts w:cs="Arial"/>
          <w:b/>
          <w:szCs w:val="24"/>
        </w:rPr>
      </w:pPr>
    </w:p>
    <w:p w14:paraId="516FBA74" w14:textId="77777777" w:rsidR="00203B80" w:rsidRDefault="00203B80" w:rsidP="00657D0F">
      <w:pPr>
        <w:jc w:val="both"/>
        <w:rPr>
          <w:rFonts w:cs="Arial"/>
          <w:b/>
          <w:szCs w:val="24"/>
        </w:rPr>
      </w:pPr>
    </w:p>
    <w:p w14:paraId="25318566" w14:textId="77777777" w:rsidR="00203B80" w:rsidRDefault="00203B80" w:rsidP="00657D0F">
      <w:pPr>
        <w:jc w:val="both"/>
        <w:rPr>
          <w:rFonts w:cs="Arial"/>
          <w:b/>
          <w:szCs w:val="24"/>
        </w:rPr>
      </w:pPr>
    </w:p>
    <w:p w14:paraId="1A0190F5" w14:textId="5557C83B" w:rsidR="009F7D60" w:rsidRDefault="009F7D60" w:rsidP="00657D0F">
      <w:pPr>
        <w:jc w:val="both"/>
        <w:rPr>
          <w:rFonts w:cs="Arial"/>
          <w:b/>
          <w:szCs w:val="24"/>
        </w:rPr>
      </w:pPr>
      <w:r w:rsidRPr="00657D0F">
        <w:rPr>
          <w:rFonts w:cs="Arial"/>
          <w:b/>
          <w:szCs w:val="24"/>
        </w:rPr>
        <w:t>Legal</w:t>
      </w:r>
    </w:p>
    <w:p w14:paraId="23A96A5C" w14:textId="77777777" w:rsidR="00756949" w:rsidRPr="00657D0F" w:rsidRDefault="00756949" w:rsidP="00657D0F">
      <w:pPr>
        <w:jc w:val="both"/>
        <w:rPr>
          <w:rFonts w:cs="Arial"/>
          <w:b/>
          <w:szCs w:val="24"/>
        </w:rPr>
      </w:pPr>
    </w:p>
    <w:p w14:paraId="4922B7C8" w14:textId="2DC1E123" w:rsidR="002A1D94" w:rsidRPr="00203B80" w:rsidRDefault="00302349" w:rsidP="00657D0F">
      <w:pPr>
        <w:jc w:val="both"/>
        <w:rPr>
          <w:rFonts w:cs="Arial"/>
          <w:szCs w:val="24"/>
        </w:rPr>
      </w:pPr>
      <w:r w:rsidRPr="00203B80">
        <w:rPr>
          <w:rFonts w:cs="Arial"/>
          <w:szCs w:val="24"/>
        </w:rPr>
        <w:t xml:space="preserve">The </w:t>
      </w:r>
      <w:r w:rsidR="00F756F6" w:rsidRPr="00203B80">
        <w:rPr>
          <w:rFonts w:cs="Arial"/>
          <w:szCs w:val="24"/>
        </w:rPr>
        <w:t xml:space="preserve">relevant provisions of the Public Contract Regulations are set out in the body of this report.  Subject to the Council complying with the </w:t>
      </w:r>
      <w:r w:rsidR="002A1D94" w:rsidRPr="00203B80">
        <w:rPr>
          <w:rFonts w:cs="Arial"/>
          <w:szCs w:val="24"/>
        </w:rPr>
        <w:t>prescribed limits for the proposed contract extensions/modifications and the requirements of Regulation 72(1</w:t>
      </w:r>
      <w:proofErr w:type="gramStart"/>
      <w:r w:rsidR="002A1D94" w:rsidRPr="00203B80">
        <w:rPr>
          <w:rFonts w:cs="Arial"/>
          <w:szCs w:val="24"/>
        </w:rPr>
        <w:t>)(</w:t>
      </w:r>
      <w:proofErr w:type="gramEnd"/>
      <w:r w:rsidR="002A1D94" w:rsidRPr="00203B80">
        <w:rPr>
          <w:rFonts w:cs="Arial"/>
          <w:szCs w:val="24"/>
        </w:rPr>
        <w:t>c) generally, the extension of contracts recommended in this report will be undertaken in a lawful manner</w:t>
      </w:r>
      <w:r w:rsidR="007753FF" w:rsidRPr="00203B80">
        <w:rPr>
          <w:rFonts w:cs="Arial"/>
          <w:szCs w:val="24"/>
        </w:rPr>
        <w:t xml:space="preserve"> and in compliance with recent Cabinet Office guidance</w:t>
      </w:r>
      <w:r w:rsidR="002A1D94" w:rsidRPr="00203B80">
        <w:rPr>
          <w:rFonts w:cs="Arial"/>
          <w:szCs w:val="24"/>
        </w:rPr>
        <w:t>.</w:t>
      </w:r>
    </w:p>
    <w:p w14:paraId="53F15703" w14:textId="77777777" w:rsidR="002A1D94" w:rsidRPr="00203B80" w:rsidRDefault="002A1D94" w:rsidP="00657D0F">
      <w:pPr>
        <w:jc w:val="both"/>
        <w:rPr>
          <w:rFonts w:cs="Arial"/>
          <w:szCs w:val="24"/>
        </w:rPr>
      </w:pPr>
    </w:p>
    <w:p w14:paraId="6CA3E262" w14:textId="5A08BDD7" w:rsidR="002A1D94" w:rsidRPr="002A1D94" w:rsidRDefault="00756949" w:rsidP="002A1D94">
      <w:pPr>
        <w:pStyle w:val="Header"/>
        <w:jc w:val="both"/>
        <w:rPr>
          <w:rFonts w:ascii="Arial" w:hAnsi="Arial" w:cs="Arial"/>
          <w:szCs w:val="24"/>
        </w:rPr>
      </w:pPr>
      <w:r>
        <w:rPr>
          <w:rFonts w:ascii="Arial" w:hAnsi="Arial" w:cs="Arial"/>
          <w:szCs w:val="24"/>
        </w:rPr>
        <w:t>In respect of the county c</w:t>
      </w:r>
      <w:r w:rsidR="002A1D94" w:rsidRPr="002A1D94">
        <w:rPr>
          <w:rFonts w:ascii="Arial" w:hAnsi="Arial" w:cs="Arial"/>
          <w:szCs w:val="24"/>
        </w:rPr>
        <w:t xml:space="preserve">ouncil's Procurement Rules ("the Procurement Rules") the </w:t>
      </w:r>
      <w:r w:rsidR="002A1D94" w:rsidRPr="007753FF">
        <w:rPr>
          <w:rFonts w:ascii="Arial" w:hAnsi="Arial" w:cs="Arial"/>
          <w:szCs w:val="24"/>
        </w:rPr>
        <w:t xml:space="preserve">recommended extensions are </w:t>
      </w:r>
      <w:proofErr w:type="spellStart"/>
      <w:r w:rsidR="002A1D94" w:rsidRPr="007753FF">
        <w:rPr>
          <w:rFonts w:ascii="Arial" w:hAnsi="Arial" w:cs="Arial"/>
          <w:szCs w:val="24"/>
        </w:rPr>
        <w:t>outwith</w:t>
      </w:r>
      <w:proofErr w:type="spellEnd"/>
      <w:r w:rsidR="002A1D94" w:rsidRPr="007753FF">
        <w:rPr>
          <w:rFonts w:ascii="Arial" w:hAnsi="Arial" w:cs="Arial"/>
          <w:szCs w:val="24"/>
        </w:rPr>
        <w:t xml:space="preserve"> </w:t>
      </w:r>
      <w:r>
        <w:rPr>
          <w:rFonts w:ascii="Arial" w:hAnsi="Arial" w:cs="Arial"/>
          <w:szCs w:val="24"/>
        </w:rPr>
        <w:t xml:space="preserve">the provisions of those rules. </w:t>
      </w:r>
      <w:r w:rsidR="002A1D94" w:rsidRPr="007753FF">
        <w:rPr>
          <w:rFonts w:ascii="Arial" w:hAnsi="Arial" w:cs="Arial"/>
          <w:szCs w:val="24"/>
        </w:rPr>
        <w:t>Pursuant to paragraph 14.2 of the Procurem</w:t>
      </w:r>
      <w:r w:rsidR="002A1D94" w:rsidRPr="002A1D94">
        <w:rPr>
          <w:rFonts w:ascii="Arial" w:hAnsi="Arial" w:cs="Arial"/>
          <w:szCs w:val="24"/>
        </w:rPr>
        <w:t>ent Rules, decisions taken contrary to the Procurement Rules must be taken by Cabinet.</w:t>
      </w:r>
    </w:p>
    <w:p w14:paraId="6630B0B3" w14:textId="77777777" w:rsidR="009F7D60" w:rsidRDefault="002A1D94" w:rsidP="00657D0F">
      <w:pPr>
        <w:jc w:val="both"/>
        <w:rPr>
          <w:rFonts w:cs="Arial"/>
          <w:color w:val="FF0000"/>
          <w:szCs w:val="24"/>
        </w:rPr>
      </w:pPr>
      <w:r>
        <w:rPr>
          <w:rFonts w:cs="Arial"/>
          <w:color w:val="FF0000"/>
          <w:szCs w:val="24"/>
        </w:rPr>
        <w:t xml:space="preserve">  </w:t>
      </w:r>
    </w:p>
    <w:p w14:paraId="74F7C0D4" w14:textId="7514983F" w:rsidR="00380B22" w:rsidRDefault="00380B22" w:rsidP="00380B22">
      <w:pPr>
        <w:jc w:val="both"/>
        <w:rPr>
          <w:rFonts w:cs="Arial"/>
          <w:szCs w:val="24"/>
        </w:rPr>
      </w:pPr>
      <w:r>
        <w:rPr>
          <w:rFonts w:cs="Arial"/>
          <w:szCs w:val="24"/>
        </w:rPr>
        <w:t xml:space="preserve">The report identifies </w:t>
      </w:r>
      <w:r w:rsidR="00907A52">
        <w:rPr>
          <w:rFonts w:cs="Arial"/>
          <w:szCs w:val="24"/>
        </w:rPr>
        <w:t xml:space="preserve">two </w:t>
      </w:r>
      <w:r>
        <w:rPr>
          <w:rFonts w:cs="Arial"/>
          <w:szCs w:val="24"/>
        </w:rPr>
        <w:t>contract</w:t>
      </w:r>
      <w:r w:rsidR="00907A52">
        <w:rPr>
          <w:rFonts w:cs="Arial"/>
          <w:szCs w:val="24"/>
        </w:rPr>
        <w:t>s</w:t>
      </w:r>
      <w:r>
        <w:rPr>
          <w:rFonts w:cs="Arial"/>
          <w:szCs w:val="24"/>
        </w:rPr>
        <w:t xml:space="preserve"> (row 2</w:t>
      </w:r>
      <w:r w:rsidR="00907A52">
        <w:rPr>
          <w:rFonts w:cs="Arial"/>
          <w:szCs w:val="24"/>
        </w:rPr>
        <w:t xml:space="preserve"> and row 16</w:t>
      </w:r>
      <w:r>
        <w:rPr>
          <w:rFonts w:cs="Arial"/>
          <w:szCs w:val="24"/>
        </w:rPr>
        <w:t xml:space="preserve"> of Appendix </w:t>
      </w:r>
      <w:r w:rsidR="00756949">
        <w:rPr>
          <w:rFonts w:cs="Arial"/>
          <w:szCs w:val="24"/>
        </w:rPr>
        <w:t>'</w:t>
      </w:r>
      <w:r>
        <w:rPr>
          <w:rFonts w:cs="Arial"/>
          <w:szCs w:val="24"/>
        </w:rPr>
        <w:t>A</w:t>
      </w:r>
      <w:r w:rsidR="00756949">
        <w:rPr>
          <w:rFonts w:cs="Arial"/>
          <w:szCs w:val="24"/>
        </w:rPr>
        <w:t>'</w:t>
      </w:r>
      <w:r>
        <w:rPr>
          <w:rFonts w:cs="Arial"/>
          <w:szCs w:val="24"/>
        </w:rPr>
        <w:t>) which, due to the value of the proposed extension, exceeds the 50% cap on increase in value as set out in Regulation 72(1</w:t>
      </w:r>
      <w:proofErr w:type="gramStart"/>
      <w:r>
        <w:rPr>
          <w:rFonts w:cs="Arial"/>
          <w:szCs w:val="24"/>
        </w:rPr>
        <w:t>)(</w:t>
      </w:r>
      <w:proofErr w:type="gramEnd"/>
      <w:r w:rsidR="00CE4353">
        <w:rPr>
          <w:rFonts w:cs="Arial"/>
          <w:szCs w:val="24"/>
        </w:rPr>
        <w:t>c</w:t>
      </w:r>
      <w:r>
        <w:rPr>
          <w:rFonts w:cs="Arial"/>
          <w:szCs w:val="24"/>
        </w:rPr>
        <w:t xml:space="preserve">).  However, due to the </w:t>
      </w:r>
      <w:r w:rsidR="00F410E2">
        <w:rPr>
          <w:rFonts w:cs="Arial"/>
          <w:szCs w:val="24"/>
        </w:rPr>
        <w:t xml:space="preserve">initial </w:t>
      </w:r>
      <w:r>
        <w:rPr>
          <w:rFonts w:cs="Arial"/>
          <w:szCs w:val="24"/>
        </w:rPr>
        <w:t>value of the contract</w:t>
      </w:r>
      <w:r w:rsidR="00F410E2">
        <w:rPr>
          <w:rFonts w:cs="Arial"/>
          <w:szCs w:val="24"/>
        </w:rPr>
        <w:t>s</w:t>
      </w:r>
      <w:r>
        <w:rPr>
          <w:rFonts w:cs="Arial"/>
          <w:szCs w:val="24"/>
        </w:rPr>
        <w:t xml:space="preserve"> falling below the financial threshold to which the full PCR provisions apply, the </w:t>
      </w:r>
      <w:r w:rsidR="00756949">
        <w:rPr>
          <w:rFonts w:cs="Arial"/>
          <w:szCs w:val="24"/>
        </w:rPr>
        <w:t>c</w:t>
      </w:r>
      <w:r>
        <w:rPr>
          <w:rFonts w:cs="Arial"/>
          <w:szCs w:val="24"/>
        </w:rPr>
        <w:t>ouncil must instead consider the general EU Treaty principles (</w:t>
      </w:r>
      <w:r w:rsidRPr="00BE00E7">
        <w:rPr>
          <w:rFonts w:cs="Arial"/>
          <w:szCs w:val="24"/>
        </w:rPr>
        <w:t>equality of treatment</w:t>
      </w:r>
      <w:r>
        <w:rPr>
          <w:rFonts w:cs="Arial"/>
          <w:szCs w:val="24"/>
        </w:rPr>
        <w:t xml:space="preserve">, </w:t>
      </w:r>
      <w:r w:rsidRPr="00BE00E7">
        <w:rPr>
          <w:rFonts w:cs="Arial"/>
          <w:szCs w:val="24"/>
        </w:rPr>
        <w:t>transparency</w:t>
      </w:r>
      <w:r>
        <w:rPr>
          <w:rFonts w:cs="Arial"/>
          <w:szCs w:val="24"/>
        </w:rPr>
        <w:t xml:space="preserve">, </w:t>
      </w:r>
      <w:r w:rsidRPr="00BE00E7">
        <w:rPr>
          <w:rFonts w:cs="Arial"/>
          <w:szCs w:val="24"/>
        </w:rPr>
        <w:t>mutual recognition</w:t>
      </w:r>
      <w:r>
        <w:rPr>
          <w:rFonts w:cs="Arial"/>
          <w:szCs w:val="24"/>
        </w:rPr>
        <w:t xml:space="preserve"> and </w:t>
      </w:r>
      <w:r w:rsidRPr="00BE00E7">
        <w:rPr>
          <w:rFonts w:cs="Arial"/>
          <w:szCs w:val="24"/>
        </w:rPr>
        <w:t>proportionality</w:t>
      </w:r>
      <w:r w:rsidR="00756949">
        <w:rPr>
          <w:rFonts w:cs="Arial"/>
          <w:szCs w:val="24"/>
        </w:rPr>
        <w:t>).  The c</w:t>
      </w:r>
      <w:r>
        <w:rPr>
          <w:rFonts w:cs="Arial"/>
          <w:szCs w:val="24"/>
        </w:rPr>
        <w:t>ouncil considers that the extension of th</w:t>
      </w:r>
      <w:r w:rsidR="00F410E2">
        <w:rPr>
          <w:rFonts w:cs="Arial"/>
          <w:szCs w:val="24"/>
        </w:rPr>
        <w:t>e</w:t>
      </w:r>
      <w:r>
        <w:rPr>
          <w:rFonts w:cs="Arial"/>
          <w:szCs w:val="24"/>
        </w:rPr>
        <w:t>s</w:t>
      </w:r>
      <w:r w:rsidR="00F410E2">
        <w:rPr>
          <w:rFonts w:cs="Arial"/>
          <w:szCs w:val="24"/>
        </w:rPr>
        <w:t>e</w:t>
      </w:r>
      <w:r>
        <w:rPr>
          <w:rFonts w:cs="Arial"/>
          <w:szCs w:val="24"/>
        </w:rPr>
        <w:t xml:space="preserve"> contract</w:t>
      </w:r>
      <w:r w:rsidR="00F410E2">
        <w:rPr>
          <w:rFonts w:cs="Arial"/>
          <w:szCs w:val="24"/>
        </w:rPr>
        <w:t>s</w:t>
      </w:r>
      <w:r>
        <w:rPr>
          <w:rFonts w:cs="Arial"/>
          <w:szCs w:val="24"/>
        </w:rPr>
        <w:t xml:space="preserve"> </w:t>
      </w:r>
      <w:r w:rsidR="00F410E2">
        <w:rPr>
          <w:rFonts w:cs="Arial"/>
          <w:szCs w:val="24"/>
        </w:rPr>
        <w:t>are</w:t>
      </w:r>
      <w:r>
        <w:rPr>
          <w:rFonts w:cs="Arial"/>
          <w:szCs w:val="24"/>
        </w:rPr>
        <w:t xml:space="preserve">, given the unforeseen circumstances, a </w:t>
      </w:r>
      <w:r w:rsidR="00907A52">
        <w:rPr>
          <w:rFonts w:cs="Arial"/>
          <w:szCs w:val="24"/>
        </w:rPr>
        <w:t xml:space="preserve">necessary and </w:t>
      </w:r>
      <w:r>
        <w:rPr>
          <w:rFonts w:cs="Arial"/>
          <w:szCs w:val="24"/>
        </w:rPr>
        <w:t xml:space="preserve">proportionate response to ensuring continued service delivery. </w:t>
      </w:r>
    </w:p>
    <w:p w14:paraId="5FAD843E" w14:textId="77777777" w:rsidR="00380B22" w:rsidRDefault="00380B22" w:rsidP="00380B22">
      <w:pPr>
        <w:jc w:val="both"/>
        <w:rPr>
          <w:rFonts w:cs="Arial"/>
          <w:szCs w:val="24"/>
        </w:rPr>
      </w:pPr>
    </w:p>
    <w:p w14:paraId="1EB728D9" w14:textId="1814FEA9" w:rsidR="00380B22" w:rsidRDefault="00380B22" w:rsidP="00380B22">
      <w:pPr>
        <w:jc w:val="both"/>
        <w:rPr>
          <w:rFonts w:cs="Arial"/>
          <w:szCs w:val="24"/>
        </w:rPr>
      </w:pPr>
      <w:r>
        <w:rPr>
          <w:rFonts w:cs="Arial"/>
          <w:szCs w:val="24"/>
        </w:rPr>
        <w:t>The report also identifies certain contracts that have already expired.</w:t>
      </w:r>
      <w:r w:rsidRPr="00CB29B0">
        <w:rPr>
          <w:rFonts w:cs="Arial"/>
          <w:szCs w:val="24"/>
        </w:rPr>
        <w:t xml:space="preserve"> </w:t>
      </w:r>
      <w:r>
        <w:rPr>
          <w:rFonts w:cs="Arial"/>
          <w:szCs w:val="24"/>
        </w:rPr>
        <w:t xml:space="preserve"> In each of those cases, the supplier </w:t>
      </w:r>
      <w:r w:rsidRPr="00CB29B0">
        <w:rPr>
          <w:rFonts w:cs="Arial"/>
          <w:szCs w:val="24"/>
        </w:rPr>
        <w:t xml:space="preserve">has continued </w:t>
      </w:r>
      <w:r w:rsidR="00756949">
        <w:rPr>
          <w:rFonts w:cs="Arial"/>
          <w:szCs w:val="24"/>
        </w:rPr>
        <w:t>to provide the services to the c</w:t>
      </w:r>
      <w:r w:rsidRPr="00CB29B0">
        <w:rPr>
          <w:rFonts w:cs="Arial"/>
          <w:szCs w:val="24"/>
        </w:rPr>
        <w:t xml:space="preserve">ouncil and the </w:t>
      </w:r>
      <w:r w:rsidR="00756949">
        <w:rPr>
          <w:rFonts w:cs="Arial"/>
          <w:szCs w:val="24"/>
        </w:rPr>
        <w:t>c</w:t>
      </w:r>
      <w:r w:rsidRPr="00CB29B0">
        <w:rPr>
          <w:rFonts w:cs="Arial"/>
          <w:szCs w:val="24"/>
        </w:rPr>
        <w:t xml:space="preserve">ouncil has continued to pay </w:t>
      </w:r>
      <w:r>
        <w:rPr>
          <w:rFonts w:cs="Arial"/>
          <w:szCs w:val="24"/>
        </w:rPr>
        <w:t>th</w:t>
      </w:r>
      <w:r w:rsidR="00756949">
        <w:rPr>
          <w:rFonts w:cs="Arial"/>
          <w:szCs w:val="24"/>
        </w:rPr>
        <w:t>e supplier.  In each case, the c</w:t>
      </w:r>
      <w:r>
        <w:rPr>
          <w:rFonts w:cs="Arial"/>
          <w:szCs w:val="24"/>
        </w:rPr>
        <w:t xml:space="preserve">ouncil and the supplier </w:t>
      </w:r>
      <w:r w:rsidRPr="00CB29B0">
        <w:rPr>
          <w:rFonts w:cs="Arial"/>
          <w:szCs w:val="24"/>
        </w:rPr>
        <w:t>have conducted themselves in accordance with t</w:t>
      </w:r>
      <w:r w:rsidR="00756949">
        <w:rPr>
          <w:rFonts w:cs="Arial"/>
          <w:szCs w:val="24"/>
        </w:rPr>
        <w:t>he terms and conditions of the c</w:t>
      </w:r>
      <w:r w:rsidRPr="00CB29B0">
        <w:rPr>
          <w:rFonts w:cs="Arial"/>
          <w:szCs w:val="24"/>
        </w:rPr>
        <w:t xml:space="preserve">ontract and have intended that the </w:t>
      </w:r>
      <w:r>
        <w:rPr>
          <w:rFonts w:cs="Arial"/>
          <w:szCs w:val="24"/>
        </w:rPr>
        <w:t xml:space="preserve">contractual </w:t>
      </w:r>
      <w:r w:rsidRPr="00CB29B0">
        <w:rPr>
          <w:rFonts w:cs="Arial"/>
          <w:szCs w:val="24"/>
        </w:rPr>
        <w:t>arrangement should continue</w:t>
      </w:r>
      <w:r>
        <w:rPr>
          <w:rFonts w:cs="Arial"/>
          <w:szCs w:val="24"/>
        </w:rPr>
        <w:t xml:space="preserve"> through a course of dealings</w:t>
      </w:r>
      <w:r w:rsidRPr="00CB29B0">
        <w:rPr>
          <w:rFonts w:cs="Arial"/>
          <w:szCs w:val="24"/>
        </w:rPr>
        <w:t>.</w:t>
      </w:r>
      <w:r>
        <w:rPr>
          <w:rFonts w:cs="Arial"/>
          <w:szCs w:val="24"/>
        </w:rPr>
        <w:t xml:space="preserve">  For the avoidance, any contract extension will therefore be made on the terms of the existing contract.</w:t>
      </w:r>
    </w:p>
    <w:p w14:paraId="41054A1A" w14:textId="09E07649" w:rsidR="009F7D60" w:rsidRPr="00657D0F" w:rsidRDefault="009F7D60" w:rsidP="00657D0F">
      <w:pPr>
        <w:jc w:val="both"/>
        <w:rPr>
          <w:rFonts w:cs="Arial"/>
          <w:szCs w:val="24"/>
        </w:rPr>
      </w:pPr>
    </w:p>
    <w:p w14:paraId="02F892AD" w14:textId="77777777" w:rsidR="006F349B" w:rsidRPr="00657D0F" w:rsidRDefault="006F349B" w:rsidP="00657D0F">
      <w:pPr>
        <w:jc w:val="both"/>
        <w:rPr>
          <w:rFonts w:cs="Arial"/>
          <w:b/>
          <w:szCs w:val="24"/>
        </w:rPr>
      </w:pPr>
      <w:r w:rsidRPr="00657D0F">
        <w:rPr>
          <w:rFonts w:cs="Arial"/>
          <w:b/>
          <w:szCs w:val="24"/>
        </w:rPr>
        <w:t>Financial</w:t>
      </w:r>
    </w:p>
    <w:p w14:paraId="151FB86A" w14:textId="77777777" w:rsidR="006F349B" w:rsidRPr="00657D0F" w:rsidRDefault="006F349B" w:rsidP="00657D0F">
      <w:pPr>
        <w:jc w:val="both"/>
        <w:rPr>
          <w:rFonts w:cs="Arial"/>
          <w:szCs w:val="24"/>
        </w:rPr>
      </w:pPr>
    </w:p>
    <w:p w14:paraId="7CF26B83" w14:textId="77777777" w:rsidR="006F349B" w:rsidRPr="00657D0F" w:rsidRDefault="006F349B" w:rsidP="00657D0F">
      <w:pPr>
        <w:jc w:val="both"/>
        <w:rPr>
          <w:rFonts w:cs="Arial"/>
          <w:szCs w:val="24"/>
        </w:rPr>
      </w:pPr>
      <w:r w:rsidRPr="00657D0F">
        <w:rPr>
          <w:rFonts w:cs="Arial"/>
          <w:szCs w:val="24"/>
        </w:rPr>
        <w:t xml:space="preserve">The estimated value of the contracts </w:t>
      </w:r>
      <w:r w:rsidR="009F7D60" w:rsidRPr="00657D0F">
        <w:rPr>
          <w:rFonts w:cs="Arial"/>
          <w:szCs w:val="24"/>
        </w:rPr>
        <w:t xml:space="preserve">are </w:t>
      </w:r>
      <w:r w:rsidRPr="00657D0F">
        <w:rPr>
          <w:rFonts w:cs="Arial"/>
          <w:szCs w:val="24"/>
        </w:rPr>
        <w:t xml:space="preserve">set </w:t>
      </w:r>
      <w:r w:rsidR="009F7D60" w:rsidRPr="00657D0F">
        <w:rPr>
          <w:rFonts w:cs="Arial"/>
          <w:szCs w:val="24"/>
        </w:rPr>
        <w:t>above</w:t>
      </w:r>
      <w:r w:rsidR="00B97C4D">
        <w:rPr>
          <w:rFonts w:cs="Arial"/>
          <w:szCs w:val="24"/>
        </w:rPr>
        <w:t xml:space="preserve"> and individually at Appendix 'A'</w:t>
      </w:r>
      <w:r w:rsidR="009F7D60" w:rsidRPr="00657D0F">
        <w:rPr>
          <w:rFonts w:cs="Arial"/>
          <w:szCs w:val="24"/>
        </w:rPr>
        <w:t>.</w:t>
      </w:r>
    </w:p>
    <w:p w14:paraId="7B13697C" w14:textId="77777777" w:rsidR="006F349B" w:rsidRPr="00657D0F" w:rsidRDefault="006F349B" w:rsidP="00657D0F">
      <w:pPr>
        <w:jc w:val="both"/>
        <w:rPr>
          <w:rFonts w:cs="Arial"/>
          <w:szCs w:val="24"/>
        </w:rPr>
      </w:pPr>
    </w:p>
    <w:p w14:paraId="32C2C5A4" w14:textId="77777777" w:rsidR="006F349B" w:rsidRPr="00657D0F" w:rsidRDefault="006F349B" w:rsidP="00657D0F">
      <w:pPr>
        <w:pStyle w:val="Heading5"/>
        <w:jc w:val="both"/>
        <w:rPr>
          <w:rFonts w:ascii="Arial" w:hAnsi="Arial" w:cs="Arial"/>
          <w:szCs w:val="24"/>
          <w:u w:val="none"/>
        </w:rPr>
      </w:pPr>
      <w:r w:rsidRPr="00657D0F">
        <w:rPr>
          <w:rFonts w:ascii="Arial" w:hAnsi="Arial" w:cs="Arial"/>
          <w:szCs w:val="24"/>
          <w:u w:val="none"/>
        </w:rPr>
        <w:t>List of Background Papers</w:t>
      </w:r>
    </w:p>
    <w:p w14:paraId="7524E756" w14:textId="77777777" w:rsidR="006F349B" w:rsidRPr="00657D0F" w:rsidRDefault="006F349B" w:rsidP="00657D0F">
      <w:pPr>
        <w:jc w:val="both"/>
        <w:rPr>
          <w:rFonts w:cs="Arial"/>
          <w:szCs w:val="24"/>
        </w:rPr>
      </w:pPr>
    </w:p>
    <w:tbl>
      <w:tblPr>
        <w:tblW w:w="9180" w:type="dxa"/>
        <w:tblInd w:w="-108" w:type="dxa"/>
        <w:tblLayout w:type="fixed"/>
        <w:tblLook w:val="0000" w:firstRow="0" w:lastRow="0" w:firstColumn="0" w:lastColumn="0" w:noHBand="0" w:noVBand="0"/>
      </w:tblPr>
      <w:tblGrid>
        <w:gridCol w:w="3227"/>
        <w:gridCol w:w="2775"/>
        <w:gridCol w:w="3178"/>
      </w:tblGrid>
      <w:tr w:rsidR="006F349B" w:rsidRPr="00657D0F" w14:paraId="13CEC730" w14:textId="77777777" w:rsidTr="00756949">
        <w:trPr>
          <w:trHeight w:val="113"/>
        </w:trPr>
        <w:tc>
          <w:tcPr>
            <w:tcW w:w="3227" w:type="dxa"/>
          </w:tcPr>
          <w:p w14:paraId="23CBC861" w14:textId="77777777" w:rsidR="006F349B" w:rsidRPr="00657D0F" w:rsidRDefault="006F349B" w:rsidP="00657D0F">
            <w:pPr>
              <w:pStyle w:val="Heading7"/>
              <w:jc w:val="both"/>
              <w:rPr>
                <w:rFonts w:ascii="Arial" w:hAnsi="Arial" w:cs="Arial"/>
                <w:szCs w:val="24"/>
                <w:u w:val="none"/>
              </w:rPr>
            </w:pPr>
            <w:r w:rsidRPr="00657D0F">
              <w:rPr>
                <w:rFonts w:ascii="Arial" w:hAnsi="Arial" w:cs="Arial"/>
                <w:szCs w:val="24"/>
                <w:u w:val="none"/>
              </w:rPr>
              <w:t>Paper</w:t>
            </w:r>
          </w:p>
        </w:tc>
        <w:tc>
          <w:tcPr>
            <w:tcW w:w="2775" w:type="dxa"/>
          </w:tcPr>
          <w:p w14:paraId="5BD2E7B6" w14:textId="77777777" w:rsidR="006F349B" w:rsidRPr="00657D0F" w:rsidRDefault="006F349B" w:rsidP="00657D0F">
            <w:pPr>
              <w:pStyle w:val="Heading7"/>
              <w:jc w:val="both"/>
              <w:rPr>
                <w:rFonts w:ascii="Arial" w:hAnsi="Arial" w:cs="Arial"/>
                <w:szCs w:val="24"/>
                <w:u w:val="none"/>
              </w:rPr>
            </w:pPr>
            <w:r w:rsidRPr="00657D0F">
              <w:rPr>
                <w:rFonts w:ascii="Arial" w:hAnsi="Arial" w:cs="Arial"/>
                <w:szCs w:val="24"/>
                <w:u w:val="none"/>
              </w:rPr>
              <w:t>Date</w:t>
            </w:r>
          </w:p>
        </w:tc>
        <w:tc>
          <w:tcPr>
            <w:tcW w:w="3178" w:type="dxa"/>
          </w:tcPr>
          <w:p w14:paraId="45100CFB" w14:textId="77777777" w:rsidR="006F349B" w:rsidRPr="00657D0F" w:rsidRDefault="006F349B" w:rsidP="00657D0F">
            <w:pPr>
              <w:pStyle w:val="Heading7"/>
              <w:jc w:val="both"/>
              <w:rPr>
                <w:rFonts w:ascii="Arial" w:hAnsi="Arial" w:cs="Arial"/>
                <w:szCs w:val="24"/>
                <w:u w:val="none"/>
              </w:rPr>
            </w:pPr>
            <w:r w:rsidRPr="00657D0F">
              <w:rPr>
                <w:rFonts w:ascii="Arial" w:hAnsi="Arial" w:cs="Arial"/>
                <w:szCs w:val="24"/>
                <w:u w:val="none"/>
              </w:rPr>
              <w:t>Contact/Tel</w:t>
            </w:r>
          </w:p>
        </w:tc>
      </w:tr>
      <w:tr w:rsidR="006F349B" w:rsidRPr="00657D0F" w14:paraId="55874832" w14:textId="77777777" w:rsidTr="00756949">
        <w:tc>
          <w:tcPr>
            <w:tcW w:w="3227" w:type="dxa"/>
          </w:tcPr>
          <w:p w14:paraId="7EBC3348" w14:textId="77777777" w:rsidR="006F349B" w:rsidRPr="00657D0F" w:rsidRDefault="006F349B" w:rsidP="00657D0F">
            <w:pPr>
              <w:pStyle w:val="Heading7"/>
              <w:jc w:val="both"/>
              <w:rPr>
                <w:rFonts w:ascii="Arial" w:hAnsi="Arial" w:cs="Arial"/>
                <w:szCs w:val="24"/>
              </w:rPr>
            </w:pPr>
          </w:p>
          <w:p w14:paraId="15084FDD" w14:textId="77777777" w:rsidR="006F349B" w:rsidRPr="00657D0F" w:rsidRDefault="00095D60" w:rsidP="00657D0F">
            <w:pPr>
              <w:jc w:val="both"/>
              <w:rPr>
                <w:rFonts w:cs="Arial"/>
                <w:szCs w:val="24"/>
              </w:rPr>
            </w:pPr>
            <w:r w:rsidRPr="00657D0F">
              <w:rPr>
                <w:rFonts w:cs="Arial"/>
                <w:szCs w:val="24"/>
              </w:rPr>
              <w:t>None</w:t>
            </w:r>
          </w:p>
        </w:tc>
        <w:tc>
          <w:tcPr>
            <w:tcW w:w="2775" w:type="dxa"/>
          </w:tcPr>
          <w:p w14:paraId="7AEC8AC0" w14:textId="77777777" w:rsidR="006F349B" w:rsidRPr="00657D0F" w:rsidRDefault="006F349B" w:rsidP="00657D0F">
            <w:pPr>
              <w:pStyle w:val="Heading7"/>
              <w:jc w:val="both"/>
              <w:rPr>
                <w:rFonts w:ascii="Arial" w:hAnsi="Arial" w:cs="Arial"/>
                <w:szCs w:val="24"/>
              </w:rPr>
            </w:pPr>
          </w:p>
          <w:p w14:paraId="5F93F42A" w14:textId="77777777" w:rsidR="006F349B" w:rsidRPr="00657D0F" w:rsidRDefault="006F349B" w:rsidP="00657D0F">
            <w:pPr>
              <w:jc w:val="both"/>
              <w:rPr>
                <w:rFonts w:cs="Arial"/>
                <w:szCs w:val="24"/>
              </w:rPr>
            </w:pPr>
          </w:p>
        </w:tc>
        <w:tc>
          <w:tcPr>
            <w:tcW w:w="3178" w:type="dxa"/>
          </w:tcPr>
          <w:p w14:paraId="4A0AD862" w14:textId="77777777" w:rsidR="006F349B" w:rsidRPr="00657D0F" w:rsidRDefault="006F349B" w:rsidP="00657D0F">
            <w:pPr>
              <w:jc w:val="both"/>
              <w:rPr>
                <w:rFonts w:cs="Arial"/>
                <w:szCs w:val="24"/>
                <w:u w:val="single"/>
              </w:rPr>
            </w:pPr>
          </w:p>
          <w:p w14:paraId="1D1BFB60" w14:textId="77777777" w:rsidR="006F349B" w:rsidRPr="00657D0F" w:rsidRDefault="006F349B" w:rsidP="00657D0F">
            <w:pPr>
              <w:jc w:val="both"/>
              <w:rPr>
                <w:rFonts w:cs="Arial"/>
                <w:szCs w:val="24"/>
              </w:rPr>
            </w:pPr>
            <w:r w:rsidRPr="00657D0F">
              <w:rPr>
                <w:rFonts w:cs="Arial"/>
                <w:szCs w:val="24"/>
              </w:rPr>
              <w:t xml:space="preserve"> </w:t>
            </w:r>
          </w:p>
        </w:tc>
      </w:tr>
      <w:tr w:rsidR="006F349B" w:rsidRPr="00657D0F" w14:paraId="733873E7" w14:textId="77777777" w:rsidTr="00756949">
        <w:tc>
          <w:tcPr>
            <w:tcW w:w="9180" w:type="dxa"/>
            <w:gridSpan w:val="3"/>
          </w:tcPr>
          <w:p w14:paraId="41E99A74" w14:textId="77777777" w:rsidR="006F349B" w:rsidRPr="00657D0F" w:rsidRDefault="006F349B" w:rsidP="00657D0F">
            <w:pPr>
              <w:pStyle w:val="Heading7"/>
              <w:jc w:val="both"/>
              <w:rPr>
                <w:rFonts w:ascii="Arial" w:hAnsi="Arial" w:cs="Arial"/>
                <w:szCs w:val="24"/>
                <w:u w:val="none"/>
              </w:rPr>
            </w:pPr>
          </w:p>
          <w:p w14:paraId="39D72A62" w14:textId="77777777" w:rsidR="006F349B" w:rsidRPr="00657D0F" w:rsidRDefault="006F349B" w:rsidP="00657D0F">
            <w:pPr>
              <w:pStyle w:val="Heading7"/>
              <w:jc w:val="both"/>
              <w:rPr>
                <w:rFonts w:ascii="Arial" w:hAnsi="Arial" w:cs="Arial"/>
                <w:szCs w:val="24"/>
                <w:u w:val="none"/>
              </w:rPr>
            </w:pPr>
            <w:r w:rsidRPr="00657D0F">
              <w:rPr>
                <w:rFonts w:ascii="Arial" w:hAnsi="Arial" w:cs="Arial"/>
                <w:szCs w:val="24"/>
                <w:u w:val="none"/>
              </w:rPr>
              <w:t>Reason for inclusion in Part II, if appropriate</w:t>
            </w:r>
          </w:p>
          <w:p w14:paraId="0E81CE11" w14:textId="77777777" w:rsidR="006F349B" w:rsidRPr="00657D0F" w:rsidRDefault="006F349B" w:rsidP="00657D0F">
            <w:pPr>
              <w:jc w:val="both"/>
              <w:rPr>
                <w:rFonts w:cs="Arial"/>
                <w:szCs w:val="24"/>
              </w:rPr>
            </w:pPr>
          </w:p>
          <w:p w14:paraId="24CB1B33" w14:textId="77777777" w:rsidR="006F349B" w:rsidRPr="00657D0F" w:rsidRDefault="006F349B" w:rsidP="00657D0F">
            <w:pPr>
              <w:jc w:val="both"/>
              <w:rPr>
                <w:rFonts w:cs="Arial"/>
                <w:szCs w:val="24"/>
              </w:rPr>
            </w:pPr>
            <w:r w:rsidRPr="00657D0F">
              <w:rPr>
                <w:rFonts w:cs="Arial"/>
                <w:szCs w:val="24"/>
              </w:rPr>
              <w:t>N/A</w:t>
            </w:r>
          </w:p>
          <w:p w14:paraId="1EDF2FC6" w14:textId="77777777" w:rsidR="006F349B" w:rsidRPr="00657D0F" w:rsidRDefault="006F349B" w:rsidP="00657D0F">
            <w:pPr>
              <w:jc w:val="both"/>
              <w:rPr>
                <w:rFonts w:cs="Arial"/>
                <w:szCs w:val="24"/>
              </w:rPr>
            </w:pPr>
          </w:p>
        </w:tc>
      </w:tr>
    </w:tbl>
    <w:p w14:paraId="57C34EDE" w14:textId="77777777" w:rsidR="006F349B" w:rsidRPr="00657D0F" w:rsidRDefault="006F349B" w:rsidP="00657D0F">
      <w:pPr>
        <w:jc w:val="both"/>
        <w:rPr>
          <w:rFonts w:cs="Arial"/>
          <w:szCs w:val="24"/>
        </w:rPr>
      </w:pPr>
      <w:bookmarkStart w:id="0" w:name="_GoBack"/>
      <w:bookmarkEnd w:id="0"/>
    </w:p>
    <w:sectPr w:rsidR="006F349B" w:rsidRPr="00657D0F">
      <w:footerReference w:type="default" r:id="rId8"/>
      <w:footerReference w:type="first" r:id="rId9"/>
      <w:type w:val="continuous"/>
      <w:pgSz w:w="11907" w:h="16840" w:code="9"/>
      <w:pgMar w:top="1440" w:right="1440" w:bottom="1440" w:left="1440" w:header="720" w:footer="306"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88B435" w14:textId="77777777" w:rsidR="000D1EB1" w:rsidRDefault="000D1EB1">
      <w:r>
        <w:separator/>
      </w:r>
    </w:p>
  </w:endnote>
  <w:endnote w:type="continuationSeparator" w:id="0">
    <w:p w14:paraId="34EA447D" w14:textId="77777777" w:rsidR="000D1EB1" w:rsidRDefault="000D1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Univers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6F349B" w14:paraId="58C2676E" w14:textId="77777777">
      <w:tc>
        <w:tcPr>
          <w:tcW w:w="9243" w:type="dxa"/>
          <w:tcBorders>
            <w:top w:val="nil"/>
            <w:left w:val="nil"/>
            <w:bottom w:val="nil"/>
            <w:right w:val="nil"/>
          </w:tcBorders>
        </w:tcPr>
        <w:p w14:paraId="603E8007" w14:textId="77777777" w:rsidR="006F349B" w:rsidRDefault="006F349B">
          <w:pPr>
            <w:pStyle w:val="Footer"/>
            <w:tabs>
              <w:tab w:val="clear" w:pos="4153"/>
            </w:tabs>
            <w:ind w:right="-45"/>
            <w:jc w:val="right"/>
          </w:pPr>
        </w:p>
      </w:tc>
    </w:tr>
  </w:tbl>
  <w:p w14:paraId="3506CD77" w14:textId="77777777" w:rsidR="006F349B" w:rsidRDefault="006F349B">
    <w:pPr>
      <w:pStyle w:val="Footer"/>
      <w:tabs>
        <w:tab w:val="clear" w:pos="4153"/>
      </w:tabs>
      <w:ind w:right="-45"/>
      <w:jc w:val="righ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6F349B" w14:paraId="584719DF" w14:textId="77777777">
      <w:tc>
        <w:tcPr>
          <w:tcW w:w="9243" w:type="dxa"/>
          <w:tcBorders>
            <w:top w:val="nil"/>
            <w:left w:val="nil"/>
            <w:bottom w:val="nil"/>
            <w:right w:val="nil"/>
          </w:tcBorders>
        </w:tcPr>
        <w:p w14:paraId="1AE82E5B" w14:textId="77777777" w:rsidR="006F349B" w:rsidRDefault="00D30B8D" w:rsidP="006F349B">
          <w:pPr>
            <w:pStyle w:val="Footer"/>
            <w:tabs>
              <w:tab w:val="clear" w:pos="4153"/>
            </w:tabs>
            <w:ind w:right="-45"/>
            <w:jc w:val="right"/>
          </w:pPr>
          <w:r>
            <w:rPr>
              <w:noProof/>
            </w:rPr>
            <w:drawing>
              <wp:inline distT="0" distB="0" distL="0" distR="0" wp14:anchorId="11D6693B" wp14:editId="698FB12E">
                <wp:extent cx="1257300" cy="628650"/>
                <wp:effectExtent l="0" t="0" r="0" b="0"/>
                <wp:docPr id="1" name="Picture 2"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28650"/>
                        </a:xfrm>
                        <a:prstGeom prst="rect">
                          <a:avLst/>
                        </a:prstGeom>
                        <a:noFill/>
                        <a:ln>
                          <a:noFill/>
                        </a:ln>
                      </pic:spPr>
                    </pic:pic>
                  </a:graphicData>
                </a:graphic>
              </wp:inline>
            </w:drawing>
          </w:r>
        </w:p>
      </w:tc>
    </w:tr>
  </w:tbl>
  <w:p w14:paraId="3AB85E6C" w14:textId="77777777" w:rsidR="006F349B" w:rsidRPr="0036487C" w:rsidRDefault="006F349B" w:rsidP="006F34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E79AD5" w14:textId="77777777" w:rsidR="000D1EB1" w:rsidRDefault="000D1EB1">
      <w:r>
        <w:separator/>
      </w:r>
    </w:p>
  </w:footnote>
  <w:footnote w:type="continuationSeparator" w:id="0">
    <w:p w14:paraId="30092F86" w14:textId="77777777" w:rsidR="000D1EB1" w:rsidRDefault="000D1E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21D0A"/>
    <w:multiLevelType w:val="hybridMultilevel"/>
    <w:tmpl w:val="62B66F5A"/>
    <w:lvl w:ilvl="0" w:tplc="B124469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047FAC"/>
    <w:multiLevelType w:val="multilevel"/>
    <w:tmpl w:val="1A58E41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79B0077"/>
    <w:multiLevelType w:val="hybridMultilevel"/>
    <w:tmpl w:val="F9A4D5A8"/>
    <w:lvl w:ilvl="0" w:tplc="5C30186A">
      <w:start w:val="1"/>
      <w:numFmt w:val="bullet"/>
      <w:lvlText w:val=""/>
      <w:lvlJc w:val="left"/>
      <w:pPr>
        <w:ind w:left="720" w:hanging="360"/>
      </w:pPr>
      <w:rPr>
        <w:rFonts w:ascii="Symbol" w:hAnsi="Symbol" w:hint="default"/>
      </w:rPr>
    </w:lvl>
    <w:lvl w:ilvl="1" w:tplc="02E2198E" w:tentative="1">
      <w:start w:val="1"/>
      <w:numFmt w:val="bullet"/>
      <w:lvlText w:val="o"/>
      <w:lvlJc w:val="left"/>
      <w:pPr>
        <w:ind w:left="1440" w:hanging="360"/>
      </w:pPr>
      <w:rPr>
        <w:rFonts w:ascii="Courier New" w:hAnsi="Courier New" w:cs="Courier New" w:hint="default"/>
      </w:rPr>
    </w:lvl>
    <w:lvl w:ilvl="2" w:tplc="9D44AB42" w:tentative="1">
      <w:start w:val="1"/>
      <w:numFmt w:val="bullet"/>
      <w:lvlText w:val=""/>
      <w:lvlJc w:val="left"/>
      <w:pPr>
        <w:ind w:left="2160" w:hanging="360"/>
      </w:pPr>
      <w:rPr>
        <w:rFonts w:ascii="Wingdings" w:hAnsi="Wingdings" w:hint="default"/>
      </w:rPr>
    </w:lvl>
    <w:lvl w:ilvl="3" w:tplc="8B5EFB2A" w:tentative="1">
      <w:start w:val="1"/>
      <w:numFmt w:val="bullet"/>
      <w:lvlText w:val=""/>
      <w:lvlJc w:val="left"/>
      <w:pPr>
        <w:ind w:left="2880" w:hanging="360"/>
      </w:pPr>
      <w:rPr>
        <w:rFonts w:ascii="Symbol" w:hAnsi="Symbol" w:hint="default"/>
      </w:rPr>
    </w:lvl>
    <w:lvl w:ilvl="4" w:tplc="36B63218" w:tentative="1">
      <w:start w:val="1"/>
      <w:numFmt w:val="bullet"/>
      <w:lvlText w:val="o"/>
      <w:lvlJc w:val="left"/>
      <w:pPr>
        <w:ind w:left="3600" w:hanging="360"/>
      </w:pPr>
      <w:rPr>
        <w:rFonts w:ascii="Courier New" w:hAnsi="Courier New" w:cs="Courier New" w:hint="default"/>
      </w:rPr>
    </w:lvl>
    <w:lvl w:ilvl="5" w:tplc="463E4CF2" w:tentative="1">
      <w:start w:val="1"/>
      <w:numFmt w:val="bullet"/>
      <w:lvlText w:val=""/>
      <w:lvlJc w:val="left"/>
      <w:pPr>
        <w:ind w:left="4320" w:hanging="360"/>
      </w:pPr>
      <w:rPr>
        <w:rFonts w:ascii="Wingdings" w:hAnsi="Wingdings" w:hint="default"/>
      </w:rPr>
    </w:lvl>
    <w:lvl w:ilvl="6" w:tplc="3C90C0EE" w:tentative="1">
      <w:start w:val="1"/>
      <w:numFmt w:val="bullet"/>
      <w:lvlText w:val=""/>
      <w:lvlJc w:val="left"/>
      <w:pPr>
        <w:ind w:left="5040" w:hanging="360"/>
      </w:pPr>
      <w:rPr>
        <w:rFonts w:ascii="Symbol" w:hAnsi="Symbol" w:hint="default"/>
      </w:rPr>
    </w:lvl>
    <w:lvl w:ilvl="7" w:tplc="EB025A64" w:tentative="1">
      <w:start w:val="1"/>
      <w:numFmt w:val="bullet"/>
      <w:lvlText w:val="o"/>
      <w:lvlJc w:val="left"/>
      <w:pPr>
        <w:ind w:left="5760" w:hanging="360"/>
      </w:pPr>
      <w:rPr>
        <w:rFonts w:ascii="Courier New" w:hAnsi="Courier New" w:cs="Courier New" w:hint="default"/>
      </w:rPr>
    </w:lvl>
    <w:lvl w:ilvl="8" w:tplc="3266D34E" w:tentative="1">
      <w:start w:val="1"/>
      <w:numFmt w:val="bullet"/>
      <w:lvlText w:val=""/>
      <w:lvlJc w:val="left"/>
      <w:pPr>
        <w:ind w:left="6480" w:hanging="360"/>
      </w:pPr>
      <w:rPr>
        <w:rFonts w:ascii="Wingdings" w:hAnsi="Wingdings" w:hint="default"/>
      </w:rPr>
    </w:lvl>
  </w:abstractNum>
  <w:abstractNum w:abstractNumId="3" w15:restartNumberingAfterBreak="0">
    <w:nsid w:val="1EDD48C4"/>
    <w:multiLevelType w:val="hybridMultilevel"/>
    <w:tmpl w:val="E020B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E109E6"/>
    <w:multiLevelType w:val="hybridMultilevel"/>
    <w:tmpl w:val="5A0AB7FE"/>
    <w:lvl w:ilvl="0" w:tplc="17D6E8EA">
      <w:start w:val="1"/>
      <w:numFmt w:val="lowerRoman"/>
      <w:lvlText w:val="(%1)"/>
      <w:lvlJc w:val="left"/>
      <w:pPr>
        <w:ind w:left="1080" w:hanging="720"/>
      </w:pPr>
      <w:rPr>
        <w:rFonts w:hint="default"/>
      </w:rPr>
    </w:lvl>
    <w:lvl w:ilvl="1" w:tplc="EC7AB220" w:tentative="1">
      <w:start w:val="1"/>
      <w:numFmt w:val="lowerLetter"/>
      <w:lvlText w:val="%2."/>
      <w:lvlJc w:val="left"/>
      <w:pPr>
        <w:ind w:left="1440" w:hanging="360"/>
      </w:pPr>
    </w:lvl>
    <w:lvl w:ilvl="2" w:tplc="2C44B126" w:tentative="1">
      <w:start w:val="1"/>
      <w:numFmt w:val="lowerRoman"/>
      <w:lvlText w:val="%3."/>
      <w:lvlJc w:val="right"/>
      <w:pPr>
        <w:ind w:left="2160" w:hanging="180"/>
      </w:pPr>
    </w:lvl>
    <w:lvl w:ilvl="3" w:tplc="ABC63D16" w:tentative="1">
      <w:start w:val="1"/>
      <w:numFmt w:val="decimal"/>
      <w:lvlText w:val="%4."/>
      <w:lvlJc w:val="left"/>
      <w:pPr>
        <w:ind w:left="2880" w:hanging="360"/>
      </w:pPr>
    </w:lvl>
    <w:lvl w:ilvl="4" w:tplc="D0EC69B6" w:tentative="1">
      <w:start w:val="1"/>
      <w:numFmt w:val="lowerLetter"/>
      <w:lvlText w:val="%5."/>
      <w:lvlJc w:val="left"/>
      <w:pPr>
        <w:ind w:left="3600" w:hanging="360"/>
      </w:pPr>
    </w:lvl>
    <w:lvl w:ilvl="5" w:tplc="DC6832F4" w:tentative="1">
      <w:start w:val="1"/>
      <w:numFmt w:val="lowerRoman"/>
      <w:lvlText w:val="%6."/>
      <w:lvlJc w:val="right"/>
      <w:pPr>
        <w:ind w:left="4320" w:hanging="180"/>
      </w:pPr>
    </w:lvl>
    <w:lvl w:ilvl="6" w:tplc="138E92C0" w:tentative="1">
      <w:start w:val="1"/>
      <w:numFmt w:val="decimal"/>
      <w:lvlText w:val="%7."/>
      <w:lvlJc w:val="left"/>
      <w:pPr>
        <w:ind w:left="5040" w:hanging="360"/>
      </w:pPr>
    </w:lvl>
    <w:lvl w:ilvl="7" w:tplc="55C00112" w:tentative="1">
      <w:start w:val="1"/>
      <w:numFmt w:val="lowerLetter"/>
      <w:lvlText w:val="%8."/>
      <w:lvlJc w:val="left"/>
      <w:pPr>
        <w:ind w:left="5760" w:hanging="360"/>
      </w:pPr>
    </w:lvl>
    <w:lvl w:ilvl="8" w:tplc="5C3034AE" w:tentative="1">
      <w:start w:val="1"/>
      <w:numFmt w:val="lowerRoman"/>
      <w:lvlText w:val="%9."/>
      <w:lvlJc w:val="right"/>
      <w:pPr>
        <w:ind w:left="6480" w:hanging="180"/>
      </w:pPr>
    </w:lvl>
  </w:abstractNum>
  <w:abstractNum w:abstractNumId="5" w15:restartNumberingAfterBreak="0">
    <w:nsid w:val="2AAE13C0"/>
    <w:multiLevelType w:val="hybridMultilevel"/>
    <w:tmpl w:val="A302073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485C2F35"/>
    <w:multiLevelType w:val="hybridMultilevel"/>
    <w:tmpl w:val="6FF80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CB4A4D"/>
    <w:multiLevelType w:val="hybridMultilevel"/>
    <w:tmpl w:val="64CC8092"/>
    <w:lvl w:ilvl="0" w:tplc="FFFFFFFF">
      <w:start w:val="1"/>
      <w:numFmt w:val="lowerRoman"/>
      <w:lvlText w:val="(%1)"/>
      <w:lvlJc w:val="left"/>
      <w:pPr>
        <w:ind w:left="360" w:hanging="360"/>
      </w:pPr>
      <w:rPr>
        <w:rFonts w:ascii="Arial" w:eastAsia="Times New Roman"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E4762BB"/>
    <w:multiLevelType w:val="hybridMultilevel"/>
    <w:tmpl w:val="B2B6A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8"/>
  </w:num>
  <w:num w:numId="5">
    <w:abstractNumId w:val="6"/>
  </w:num>
  <w:num w:numId="6">
    <w:abstractNumId w:val="1"/>
  </w:num>
  <w:num w:numId="7">
    <w:abstractNumId w:val="3"/>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14B"/>
    <w:rsid w:val="00013936"/>
    <w:rsid w:val="00095D60"/>
    <w:rsid w:val="000D1EB1"/>
    <w:rsid w:val="001147BC"/>
    <w:rsid w:val="00134BED"/>
    <w:rsid w:val="00203B80"/>
    <w:rsid w:val="0022088B"/>
    <w:rsid w:val="002A1D94"/>
    <w:rsid w:val="00302349"/>
    <w:rsid w:val="00380B22"/>
    <w:rsid w:val="004E1492"/>
    <w:rsid w:val="00514D78"/>
    <w:rsid w:val="00532CE6"/>
    <w:rsid w:val="00541BDF"/>
    <w:rsid w:val="005C0432"/>
    <w:rsid w:val="005E7E87"/>
    <w:rsid w:val="006076E8"/>
    <w:rsid w:val="00657D0F"/>
    <w:rsid w:val="006D40FF"/>
    <w:rsid w:val="006F349B"/>
    <w:rsid w:val="00756949"/>
    <w:rsid w:val="007753FF"/>
    <w:rsid w:val="00805C20"/>
    <w:rsid w:val="00907A52"/>
    <w:rsid w:val="0095036F"/>
    <w:rsid w:val="009F7D60"/>
    <w:rsid w:val="00A250B6"/>
    <w:rsid w:val="00AA2519"/>
    <w:rsid w:val="00AD6A66"/>
    <w:rsid w:val="00B81F6E"/>
    <w:rsid w:val="00B97C4D"/>
    <w:rsid w:val="00BE00E7"/>
    <w:rsid w:val="00C6745D"/>
    <w:rsid w:val="00CB29B0"/>
    <w:rsid w:val="00CE4353"/>
    <w:rsid w:val="00D30B8D"/>
    <w:rsid w:val="00DB7594"/>
    <w:rsid w:val="00E5514B"/>
    <w:rsid w:val="00EC0A0B"/>
    <w:rsid w:val="00F410E2"/>
    <w:rsid w:val="00F756F6"/>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08B7F4"/>
  <w15:chartTrackingRefBased/>
  <w15:docId w15:val="{D5F77FD1-C907-4A44-8CBA-52E7144D1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val="en-GB" w:eastAsia="en-GB"/>
    </w:rPr>
  </w:style>
  <w:style w:type="paragraph" w:styleId="Heading4">
    <w:name w:val="heading 4"/>
    <w:basedOn w:val="Normal"/>
    <w:next w:val="Normal"/>
    <w:qFormat/>
    <w:pPr>
      <w:keepNext/>
      <w:jc w:val="right"/>
      <w:outlineLvl w:val="3"/>
    </w:pPr>
    <w:rPr>
      <w:b/>
    </w:rPr>
  </w:style>
  <w:style w:type="paragraph" w:styleId="Heading5">
    <w:name w:val="heading 5"/>
    <w:basedOn w:val="Normal"/>
    <w:next w:val="Normal"/>
    <w:qFormat/>
    <w:pPr>
      <w:keepNext/>
      <w:outlineLvl w:val="4"/>
    </w:pPr>
    <w:rPr>
      <w:rFonts w:ascii="Univers" w:hAnsi="Univers"/>
      <w:b/>
      <w:u w:val="single"/>
    </w:rPr>
  </w:style>
  <w:style w:type="paragraph" w:styleId="Heading6">
    <w:name w:val="heading 6"/>
    <w:basedOn w:val="Normal"/>
    <w:next w:val="Normal"/>
    <w:qFormat/>
    <w:pPr>
      <w:keepNext/>
      <w:outlineLvl w:val="5"/>
    </w:pPr>
    <w:rPr>
      <w:rFonts w:ascii="Univers" w:hAnsi="Univers"/>
      <w:b/>
    </w:rPr>
  </w:style>
  <w:style w:type="paragraph" w:styleId="Heading7">
    <w:name w:val="heading 7"/>
    <w:basedOn w:val="Normal"/>
    <w:next w:val="Normal"/>
    <w:qFormat/>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Pr>
      <w:rFonts w:ascii="Universal" w:hAnsi="Universal"/>
    </w:rPr>
  </w:style>
  <w:style w:type="paragraph" w:styleId="BodyText2">
    <w:name w:val="Body Text 2"/>
    <w:basedOn w:val="Normal"/>
    <w:rPr>
      <w:rFonts w:ascii="Univers" w:hAnsi="Univers"/>
      <w:b/>
      <w:u w:val="single"/>
    </w:rPr>
  </w:style>
  <w:style w:type="paragraph" w:styleId="BodyText">
    <w:name w:val="Body Text"/>
    <w:basedOn w:val="Normal"/>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8E3BC3"/>
    <w:rPr>
      <w:rFonts w:ascii="Tahoma" w:hAnsi="Tahoma" w:cs="Tahoma"/>
      <w:sz w:val="16"/>
      <w:szCs w:val="16"/>
    </w:rPr>
  </w:style>
  <w:style w:type="paragraph" w:customStyle="1" w:styleId="Default">
    <w:name w:val="Default"/>
    <w:rsid w:val="00DB7594"/>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607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2349"/>
    <w:pPr>
      <w:ind w:left="720"/>
      <w:contextualSpacing/>
    </w:pPr>
  </w:style>
  <w:style w:type="character" w:styleId="CommentReference">
    <w:name w:val="annotation reference"/>
    <w:basedOn w:val="DefaultParagraphFont"/>
    <w:uiPriority w:val="99"/>
    <w:semiHidden/>
    <w:unhideWhenUsed/>
    <w:rsid w:val="007753FF"/>
    <w:rPr>
      <w:sz w:val="16"/>
      <w:szCs w:val="16"/>
    </w:rPr>
  </w:style>
  <w:style w:type="paragraph" w:styleId="CommentText">
    <w:name w:val="annotation text"/>
    <w:basedOn w:val="Normal"/>
    <w:link w:val="CommentTextChar"/>
    <w:uiPriority w:val="99"/>
    <w:semiHidden/>
    <w:unhideWhenUsed/>
    <w:rsid w:val="007753FF"/>
    <w:rPr>
      <w:sz w:val="20"/>
    </w:rPr>
  </w:style>
  <w:style w:type="character" w:customStyle="1" w:styleId="CommentTextChar">
    <w:name w:val="Comment Text Char"/>
    <w:basedOn w:val="DefaultParagraphFont"/>
    <w:link w:val="CommentText"/>
    <w:uiPriority w:val="99"/>
    <w:semiHidden/>
    <w:rsid w:val="007753FF"/>
    <w:rPr>
      <w:rFonts w:ascii="Arial" w:hAnsi="Arial"/>
      <w:lang w:val="en-GB" w:eastAsia="en-GB"/>
    </w:rPr>
  </w:style>
  <w:style w:type="paragraph" w:styleId="CommentSubject">
    <w:name w:val="annotation subject"/>
    <w:basedOn w:val="CommentText"/>
    <w:next w:val="CommentText"/>
    <w:link w:val="CommentSubjectChar"/>
    <w:uiPriority w:val="99"/>
    <w:semiHidden/>
    <w:unhideWhenUsed/>
    <w:rsid w:val="007753FF"/>
    <w:rPr>
      <w:b/>
      <w:bCs/>
    </w:rPr>
  </w:style>
  <w:style w:type="character" w:customStyle="1" w:styleId="CommentSubjectChar">
    <w:name w:val="Comment Subject Char"/>
    <w:basedOn w:val="CommentTextChar"/>
    <w:link w:val="CommentSubject"/>
    <w:uiPriority w:val="99"/>
    <w:semiHidden/>
    <w:rsid w:val="007753FF"/>
    <w:rPr>
      <w:rFonts w:ascii="Arial" w:hAnsi="Arial"/>
      <w:b/>
      <w:bCs/>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902384">
      <w:bodyDiv w:val="1"/>
      <w:marLeft w:val="0"/>
      <w:marRight w:val="0"/>
      <w:marTop w:val="0"/>
      <w:marBottom w:val="0"/>
      <w:divBdr>
        <w:top w:val="none" w:sz="0" w:space="0" w:color="auto"/>
        <w:left w:val="none" w:sz="0" w:space="0" w:color="auto"/>
        <w:bottom w:val="none" w:sz="0" w:space="0" w:color="auto"/>
        <w:right w:val="none" w:sz="0" w:space="0" w:color="auto"/>
      </w:divBdr>
    </w:div>
    <w:div w:id="720638030">
      <w:bodyDiv w:val="1"/>
      <w:marLeft w:val="0"/>
      <w:marRight w:val="0"/>
      <w:marTop w:val="0"/>
      <w:marBottom w:val="0"/>
      <w:divBdr>
        <w:top w:val="none" w:sz="0" w:space="0" w:color="auto"/>
        <w:left w:val="none" w:sz="0" w:space="0" w:color="auto"/>
        <w:bottom w:val="none" w:sz="0" w:space="0" w:color="auto"/>
        <w:right w:val="none" w:sz="0" w:space="0" w:color="auto"/>
      </w:divBdr>
    </w:div>
    <w:div w:id="874469695">
      <w:bodyDiv w:val="1"/>
      <w:marLeft w:val="0"/>
      <w:marRight w:val="0"/>
      <w:marTop w:val="0"/>
      <w:marBottom w:val="0"/>
      <w:divBdr>
        <w:top w:val="none" w:sz="0" w:space="0" w:color="auto"/>
        <w:left w:val="none" w:sz="0" w:space="0" w:color="auto"/>
        <w:bottom w:val="none" w:sz="0" w:space="0" w:color="auto"/>
        <w:right w:val="none" w:sz="0" w:space="0" w:color="auto"/>
      </w:divBdr>
    </w:div>
    <w:div w:id="1050421461">
      <w:bodyDiv w:val="1"/>
      <w:marLeft w:val="0"/>
      <w:marRight w:val="0"/>
      <w:marTop w:val="0"/>
      <w:marBottom w:val="0"/>
      <w:divBdr>
        <w:top w:val="none" w:sz="0" w:space="0" w:color="auto"/>
        <w:left w:val="none" w:sz="0" w:space="0" w:color="auto"/>
        <w:bottom w:val="none" w:sz="0" w:space="0" w:color="auto"/>
        <w:right w:val="none" w:sz="0" w:space="0" w:color="auto"/>
      </w:divBdr>
    </w:div>
    <w:div w:id="11168306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Chris\Toolkit%20templates\Annex%203b%20-%20Report%20to%20Cabinet%20from%20Chief%20Officers%20-%20for%20Decision%20or%20Inform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7B268-12E6-484B-9210-34ACD5E52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 3b - Report to Cabinet from Chief Officers - for Decision or Information.dot</Template>
  <TotalTime>14</TotalTime>
  <Pages>4</Pages>
  <Words>1224</Words>
  <Characters>7166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Report to Cabinet or Cabinet Committee</vt:lpstr>
    </vt:vector>
  </TitlesOfParts>
  <Company/>
  <LinksUpToDate>false</LinksUpToDate>
  <CharactersWithSpaces>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Cabinet or Cabinet Committee</dc:title>
  <dc:subject/>
  <dc:creator>C Mather</dc:creator>
  <cp:keywords/>
  <dc:description>22.1.13</dc:description>
  <cp:lastModifiedBy>Gorman, Dave</cp:lastModifiedBy>
  <cp:revision>5</cp:revision>
  <cp:lastPrinted>2002-06-26T11:27:00Z</cp:lastPrinted>
  <dcterms:created xsi:type="dcterms:W3CDTF">2020-05-07T08:08:00Z</dcterms:created>
  <dcterms:modified xsi:type="dcterms:W3CDTF">2020-05-07T08:29:00Z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Cabinet</vt:lpwstr>
  </property>
  <property fmtid="{D5CDD505-2E9C-101B-9397-08002B2CF9AE}" pid="3" name="IssueExemptionClassTitle">
    <vt:lpwstr>Part I</vt:lpwstr>
  </property>
  <property fmtid="{D5CDD505-2E9C-101B-9397-08002B2CF9AE}" pid="4" name="IssueTitle">
    <vt:lpwstr>Request Approval to Commence Procurement Exercises</vt:lpwstr>
  </property>
  <property fmtid="{D5CDD505-2E9C-101B-9397-08002B2CF9AE}" pid="5" name="LeadOfficer">
    <vt:lpwstr>Rachel Tanner</vt:lpwstr>
  </property>
  <property fmtid="{D5CDD505-2E9C-101B-9397-08002B2CF9AE}" pid="6" name="LeadOfficerEmail">
    <vt:lpwstr>rachel.tanner@lancashire.gov.uk</vt:lpwstr>
  </property>
  <property fmtid="{D5CDD505-2E9C-101B-9397-08002B2CF9AE}" pid="7" name="LeadOfficerTel">
    <vt:lpwstr>Tel: 01772 534904</vt:lpwstr>
  </property>
  <property fmtid="{D5CDD505-2E9C-101B-9397-08002B2CF9AE}" pid="8" name="MeetingDate">
    <vt:lpwstr>Thursday, 3 October 2019</vt:lpwstr>
  </property>
  <property fmtid="{D5CDD505-2E9C-101B-9397-08002B2CF9AE}" pid="9" name="Wards">
    <vt:lpwstr>(All Divisions);</vt:lpwstr>
  </property>
</Properties>
</file>