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7C4B" w:rsidRDefault="008451B8" w:rsidP="00054E0A">
      <w:pPr>
        <w:pStyle w:val="NoSpacing"/>
        <w:jc w:val="both"/>
        <w:rPr>
          <w:rFonts w:eastAsia="Times New Roman" w:cs="Arial"/>
          <w:b/>
          <w:bCs/>
          <w:szCs w:val="24"/>
        </w:rPr>
      </w:pPr>
      <w:r>
        <w:rPr>
          <w:rFonts w:eastAsia="Times New Roman" w:cs="Arial"/>
          <w:b/>
          <w:bCs/>
          <w:szCs w:val="24"/>
        </w:rPr>
        <w:t xml:space="preserve"> </w:t>
      </w:r>
    </w:p>
    <w:p w:rsidR="009471D3" w:rsidRDefault="00311BA3" w:rsidP="00054E0A">
      <w:pPr>
        <w:pStyle w:val="NoSpacing"/>
        <w:jc w:val="both"/>
        <w:rPr>
          <w:rFonts w:eastAsia="Times New Roman" w:cs="Arial"/>
          <w:b/>
          <w:bCs/>
          <w:szCs w:val="24"/>
        </w:rPr>
      </w:pPr>
    </w:p>
    <w:p w:rsidR="009471D3" w:rsidRDefault="00563DA4" w:rsidP="009471D3">
      <w:pPr>
        <w:autoSpaceDE w:val="0"/>
        <w:autoSpaceDN w:val="0"/>
        <w:adjustRightInd w:val="0"/>
        <w:spacing w:after="0" w:line="240" w:lineRule="auto"/>
        <w:jc w:val="both"/>
        <w:rPr>
          <w:rFonts w:ascii="Arial" w:hAnsi="Arial" w:cs="Arial"/>
          <w:b/>
          <w:bCs/>
          <w:sz w:val="24"/>
          <w:szCs w:val="24"/>
        </w:rPr>
      </w:pPr>
      <w:r w:rsidRPr="00843252">
        <w:rPr>
          <w:rFonts w:ascii="Arial" w:hAnsi="Arial" w:cs="Arial"/>
          <w:b/>
          <w:bCs/>
          <w:sz w:val="24"/>
          <w:szCs w:val="24"/>
        </w:rPr>
        <w:t>CITY DEAL EXECUTIVE AND STEWARDSHIP BOARD</w:t>
      </w:r>
    </w:p>
    <w:p w:rsidR="009471D3" w:rsidRDefault="00311BA3" w:rsidP="009471D3">
      <w:pPr>
        <w:autoSpaceDE w:val="0"/>
        <w:autoSpaceDN w:val="0"/>
        <w:adjustRightInd w:val="0"/>
        <w:spacing w:after="0" w:line="240" w:lineRule="auto"/>
        <w:jc w:val="both"/>
        <w:rPr>
          <w:rFonts w:ascii="Arial" w:hAnsi="Arial" w:cs="Arial"/>
          <w:sz w:val="24"/>
          <w:szCs w:val="24"/>
        </w:rPr>
      </w:pPr>
    </w:p>
    <w:p w:rsidR="009471D3" w:rsidRPr="001E65D2" w:rsidRDefault="004E23B9" w:rsidP="009471D3">
      <w:pPr>
        <w:autoSpaceDE w:val="0"/>
        <w:autoSpaceDN w:val="0"/>
        <w:adjustRightInd w:val="0"/>
        <w:spacing w:after="0" w:line="240" w:lineRule="auto"/>
        <w:jc w:val="both"/>
        <w:rPr>
          <w:rFonts w:ascii="Arial" w:hAnsi="Arial" w:cs="Arial"/>
          <w:bCs/>
          <w:sz w:val="24"/>
          <w:szCs w:val="24"/>
        </w:rPr>
      </w:pPr>
      <w:r>
        <w:rPr>
          <w:rFonts w:ascii="Arial" w:hAnsi="Arial" w:cs="Arial"/>
          <w:b/>
          <w:bCs/>
          <w:sz w:val="24"/>
          <w:szCs w:val="24"/>
        </w:rPr>
        <w:t>P</w:t>
      </w:r>
      <w:r w:rsidR="00563DA4" w:rsidRPr="00843252">
        <w:rPr>
          <w:rFonts w:ascii="Arial" w:hAnsi="Arial" w:cs="Arial"/>
          <w:b/>
          <w:bCs/>
          <w:sz w:val="24"/>
          <w:szCs w:val="24"/>
        </w:rPr>
        <w:t xml:space="preserve">rivate and Confidential: </w:t>
      </w:r>
      <w:r w:rsidR="001E65D2" w:rsidRPr="001E65D2">
        <w:rPr>
          <w:rFonts w:ascii="Arial" w:hAnsi="Arial" w:cs="Arial"/>
          <w:bCs/>
          <w:sz w:val="24"/>
          <w:szCs w:val="24"/>
        </w:rPr>
        <w:t>NO</w:t>
      </w:r>
      <w:bookmarkStart w:id="0" w:name="_GoBack"/>
      <w:bookmarkEnd w:id="0"/>
    </w:p>
    <w:p w:rsidR="009471D3" w:rsidRDefault="00311BA3" w:rsidP="009471D3">
      <w:pPr>
        <w:autoSpaceDE w:val="0"/>
        <w:autoSpaceDN w:val="0"/>
        <w:adjustRightInd w:val="0"/>
        <w:spacing w:after="0" w:line="240" w:lineRule="auto"/>
        <w:jc w:val="both"/>
        <w:rPr>
          <w:rFonts w:ascii="Arial" w:hAnsi="Arial" w:cs="Arial"/>
          <w:b/>
          <w:bCs/>
          <w:sz w:val="24"/>
          <w:szCs w:val="24"/>
        </w:rPr>
      </w:pPr>
    </w:p>
    <w:p w:rsidR="009471D3" w:rsidRPr="001E65D2" w:rsidRDefault="00563DA4" w:rsidP="009471D3">
      <w:pPr>
        <w:autoSpaceDE w:val="0"/>
        <w:autoSpaceDN w:val="0"/>
        <w:adjustRightInd w:val="0"/>
        <w:spacing w:after="0" w:line="240" w:lineRule="auto"/>
        <w:jc w:val="both"/>
        <w:rPr>
          <w:rFonts w:ascii="Arial" w:hAnsi="Arial" w:cs="Arial"/>
          <w:sz w:val="24"/>
          <w:szCs w:val="24"/>
        </w:rPr>
      </w:pPr>
      <w:r>
        <w:rPr>
          <w:rFonts w:ascii="Arial" w:hAnsi="Arial" w:cs="Arial"/>
          <w:b/>
          <w:bCs/>
          <w:sz w:val="24"/>
          <w:szCs w:val="24"/>
        </w:rPr>
        <w:t xml:space="preserve">Date: </w:t>
      </w:r>
      <w:r w:rsidR="00085DAF">
        <w:rPr>
          <w:rFonts w:ascii="Arial" w:hAnsi="Arial" w:cs="Arial"/>
          <w:bCs/>
          <w:sz w:val="24"/>
          <w:szCs w:val="24"/>
        </w:rPr>
        <w:t>3</w:t>
      </w:r>
      <w:r w:rsidR="00085DAF" w:rsidRPr="002F0BB7">
        <w:rPr>
          <w:rFonts w:ascii="Arial" w:hAnsi="Arial" w:cs="Arial"/>
          <w:bCs/>
          <w:sz w:val="24"/>
          <w:szCs w:val="24"/>
          <w:vertAlign w:val="superscript"/>
        </w:rPr>
        <w:t>rd</w:t>
      </w:r>
      <w:r w:rsidR="00085DAF">
        <w:rPr>
          <w:rFonts w:ascii="Arial" w:hAnsi="Arial" w:cs="Arial"/>
          <w:bCs/>
          <w:sz w:val="24"/>
          <w:szCs w:val="24"/>
        </w:rPr>
        <w:t xml:space="preserve"> February</w:t>
      </w:r>
      <w:r w:rsidR="0096114E">
        <w:rPr>
          <w:rFonts w:ascii="Arial" w:hAnsi="Arial" w:cs="Arial"/>
          <w:bCs/>
          <w:sz w:val="24"/>
          <w:szCs w:val="24"/>
        </w:rPr>
        <w:t xml:space="preserve"> 2021</w:t>
      </w:r>
    </w:p>
    <w:p w:rsidR="001E65D2" w:rsidRDefault="001E65D2" w:rsidP="009471D3">
      <w:pPr>
        <w:autoSpaceDE w:val="0"/>
        <w:autoSpaceDN w:val="0"/>
        <w:adjustRightInd w:val="0"/>
        <w:spacing w:after="0" w:line="240" w:lineRule="auto"/>
        <w:jc w:val="both"/>
        <w:rPr>
          <w:rFonts w:ascii="Arial" w:hAnsi="Arial" w:cs="Arial"/>
          <w:b/>
          <w:bCs/>
          <w:sz w:val="24"/>
          <w:szCs w:val="24"/>
        </w:rPr>
      </w:pPr>
    </w:p>
    <w:p w:rsidR="009471D3" w:rsidRPr="007A387A" w:rsidRDefault="0096114E" w:rsidP="009471D3">
      <w:pPr>
        <w:autoSpaceDE w:val="0"/>
        <w:autoSpaceDN w:val="0"/>
        <w:adjustRightInd w:val="0"/>
        <w:spacing w:after="0" w:line="240" w:lineRule="auto"/>
        <w:jc w:val="both"/>
        <w:rPr>
          <w:rFonts w:ascii="Arial" w:hAnsi="Arial" w:cs="Arial"/>
          <w:bCs/>
          <w:sz w:val="24"/>
          <w:szCs w:val="24"/>
        </w:rPr>
      </w:pPr>
      <w:r>
        <w:rPr>
          <w:rFonts w:ascii="Arial" w:hAnsi="Arial" w:cs="Arial"/>
          <w:b/>
          <w:bCs/>
          <w:sz w:val="24"/>
          <w:szCs w:val="24"/>
        </w:rPr>
        <w:t>Title of report</w:t>
      </w:r>
      <w:r w:rsidR="00D33AA3">
        <w:rPr>
          <w:rFonts w:ascii="Arial" w:hAnsi="Arial" w:cs="Arial"/>
          <w:b/>
          <w:bCs/>
          <w:sz w:val="24"/>
          <w:szCs w:val="24"/>
        </w:rPr>
        <w:t>:</w:t>
      </w:r>
      <w:r>
        <w:rPr>
          <w:rFonts w:ascii="Arial" w:hAnsi="Arial" w:cs="Arial"/>
          <w:b/>
          <w:bCs/>
          <w:sz w:val="24"/>
          <w:szCs w:val="24"/>
        </w:rPr>
        <w:t xml:space="preserve"> </w:t>
      </w:r>
      <w:r w:rsidRPr="0096114E">
        <w:rPr>
          <w:rFonts w:ascii="Arial" w:hAnsi="Arial" w:cs="Arial"/>
          <w:bCs/>
          <w:sz w:val="24"/>
          <w:szCs w:val="24"/>
        </w:rPr>
        <w:t>Affordable Housing Provision Update</w:t>
      </w:r>
    </w:p>
    <w:p w:rsidR="009471D3" w:rsidRPr="00843252" w:rsidRDefault="00311BA3" w:rsidP="009471D3">
      <w:pPr>
        <w:autoSpaceDE w:val="0"/>
        <w:autoSpaceDN w:val="0"/>
        <w:adjustRightInd w:val="0"/>
        <w:spacing w:after="0" w:line="240" w:lineRule="auto"/>
        <w:jc w:val="both"/>
        <w:rPr>
          <w:rFonts w:ascii="Arial" w:hAnsi="Arial" w:cs="Arial"/>
          <w:b/>
          <w:bCs/>
          <w:sz w:val="24"/>
          <w:szCs w:val="24"/>
        </w:rPr>
      </w:pPr>
    </w:p>
    <w:p w:rsidR="009471D3" w:rsidRDefault="00563DA4" w:rsidP="009471D3">
      <w:pPr>
        <w:spacing w:after="0"/>
        <w:jc w:val="both"/>
        <w:rPr>
          <w:rFonts w:ascii="Arial" w:hAnsi="Arial" w:cs="Arial"/>
          <w:bCs/>
          <w:sz w:val="24"/>
          <w:szCs w:val="24"/>
        </w:rPr>
      </w:pPr>
      <w:r w:rsidRPr="00887891">
        <w:rPr>
          <w:rFonts w:ascii="Arial" w:hAnsi="Arial" w:cs="Arial"/>
          <w:b/>
          <w:bCs/>
          <w:sz w:val="24"/>
          <w:szCs w:val="24"/>
        </w:rPr>
        <w:t xml:space="preserve">Report Author: </w:t>
      </w:r>
      <w:r w:rsidR="00D33AA3">
        <w:rPr>
          <w:rFonts w:ascii="Arial" w:hAnsi="Arial" w:cs="Arial"/>
          <w:bCs/>
          <w:sz w:val="24"/>
          <w:szCs w:val="24"/>
        </w:rPr>
        <w:t xml:space="preserve">Chris Hayward, </w:t>
      </w:r>
      <w:r w:rsidR="007A7B07">
        <w:rPr>
          <w:rFonts w:ascii="Arial" w:hAnsi="Arial" w:cs="Arial"/>
          <w:bCs/>
          <w:sz w:val="24"/>
          <w:szCs w:val="24"/>
        </w:rPr>
        <w:t>Preston City Council</w:t>
      </w:r>
      <w:r w:rsidR="00D33AA3">
        <w:rPr>
          <w:rFonts w:ascii="Arial" w:hAnsi="Arial" w:cs="Arial"/>
          <w:bCs/>
          <w:sz w:val="24"/>
          <w:szCs w:val="24"/>
        </w:rPr>
        <w:t>, 017</w:t>
      </w:r>
      <w:r w:rsidR="0096114E">
        <w:rPr>
          <w:rFonts w:ascii="Arial" w:hAnsi="Arial" w:cs="Arial"/>
          <w:bCs/>
          <w:sz w:val="24"/>
          <w:szCs w:val="24"/>
        </w:rPr>
        <w:t>72 906719</w:t>
      </w:r>
      <w:r w:rsidR="007435FF">
        <w:rPr>
          <w:rFonts w:ascii="Arial" w:hAnsi="Arial" w:cs="Arial"/>
          <w:bCs/>
          <w:sz w:val="24"/>
          <w:szCs w:val="24"/>
        </w:rPr>
        <w:t xml:space="preserve"> and Jonathan Noad, </w:t>
      </w:r>
      <w:r w:rsidR="007A7B07">
        <w:rPr>
          <w:rFonts w:ascii="Arial" w:hAnsi="Arial" w:cs="Arial"/>
          <w:bCs/>
          <w:sz w:val="24"/>
          <w:szCs w:val="24"/>
        </w:rPr>
        <w:t>South Ribble Borough Council</w:t>
      </w:r>
      <w:r w:rsidR="007435FF">
        <w:rPr>
          <w:rFonts w:ascii="Arial" w:hAnsi="Arial" w:cs="Arial"/>
          <w:bCs/>
          <w:sz w:val="24"/>
          <w:szCs w:val="24"/>
        </w:rPr>
        <w:t>, 01772 625206</w:t>
      </w:r>
    </w:p>
    <w:p w:rsidR="001E65D2" w:rsidRPr="001E65D2" w:rsidRDefault="001E65D2" w:rsidP="009471D3">
      <w:pPr>
        <w:spacing w:after="0"/>
        <w:jc w:val="both"/>
        <w:rPr>
          <w:rFonts w:ascii="Arial" w:hAnsi="Arial" w:cs="Arial"/>
          <w:bCs/>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E26C0E" w:rsidTr="00D33AA3">
        <w:tc>
          <w:tcPr>
            <w:tcW w:w="9180" w:type="dxa"/>
          </w:tcPr>
          <w:p w:rsidR="00563DA4" w:rsidRDefault="00563DA4" w:rsidP="00CD0F93">
            <w:pPr>
              <w:pStyle w:val="Header"/>
              <w:rPr>
                <w:rFonts w:ascii="Arial" w:hAnsi="Arial" w:cs="Arial"/>
                <w:b/>
                <w:sz w:val="24"/>
                <w:szCs w:val="24"/>
              </w:rPr>
            </w:pPr>
          </w:p>
          <w:p w:rsidR="009471D3" w:rsidRDefault="00563DA4" w:rsidP="00CD0F93">
            <w:pPr>
              <w:pStyle w:val="Header"/>
              <w:rPr>
                <w:rFonts w:ascii="Arial" w:hAnsi="Arial" w:cs="Arial"/>
                <w:b/>
                <w:sz w:val="24"/>
                <w:szCs w:val="24"/>
              </w:rPr>
            </w:pPr>
            <w:r>
              <w:rPr>
                <w:rFonts w:ascii="Arial" w:hAnsi="Arial" w:cs="Arial"/>
                <w:b/>
                <w:sz w:val="24"/>
                <w:szCs w:val="24"/>
              </w:rPr>
              <w:t>Executive Summary</w:t>
            </w:r>
          </w:p>
          <w:p w:rsidR="000035F6" w:rsidRDefault="000035F6" w:rsidP="00D33AA3">
            <w:pPr>
              <w:pStyle w:val="Header"/>
              <w:jc w:val="both"/>
              <w:rPr>
                <w:rFonts w:ascii="Arial" w:hAnsi="Arial" w:cs="Arial"/>
                <w:sz w:val="24"/>
                <w:szCs w:val="24"/>
              </w:rPr>
            </w:pPr>
          </w:p>
          <w:p w:rsidR="00D33AA3" w:rsidRDefault="00D33AA3" w:rsidP="00D33AA3">
            <w:pPr>
              <w:pStyle w:val="Header"/>
              <w:jc w:val="both"/>
              <w:rPr>
                <w:rFonts w:ascii="Arial" w:hAnsi="Arial" w:cs="Arial"/>
                <w:sz w:val="24"/>
                <w:szCs w:val="24"/>
              </w:rPr>
            </w:pPr>
            <w:r>
              <w:rPr>
                <w:rFonts w:ascii="Arial" w:hAnsi="Arial" w:cs="Arial"/>
                <w:sz w:val="24"/>
                <w:szCs w:val="24"/>
              </w:rPr>
              <w:t xml:space="preserve">The City Deal Executive </w:t>
            </w:r>
            <w:r w:rsidR="00311BA3">
              <w:rPr>
                <w:rFonts w:ascii="Arial" w:hAnsi="Arial" w:cs="Arial"/>
                <w:sz w:val="24"/>
                <w:szCs w:val="24"/>
              </w:rPr>
              <w:t xml:space="preserve">and Stewardship Board </w:t>
            </w:r>
            <w:r>
              <w:rPr>
                <w:rFonts w:ascii="Arial" w:hAnsi="Arial" w:cs="Arial"/>
                <w:sz w:val="24"/>
                <w:szCs w:val="24"/>
              </w:rPr>
              <w:t>has requested that they be provided with further information on the delivery and role of affordable housing provision wi</w:t>
            </w:r>
            <w:r w:rsidR="002E7A65">
              <w:rPr>
                <w:rFonts w:ascii="Arial" w:hAnsi="Arial" w:cs="Arial"/>
                <w:sz w:val="24"/>
                <w:szCs w:val="24"/>
              </w:rPr>
              <w:t>th the City Deal programme area, including an explanation as to why targets are not achieved on all sites granted planning permission.</w:t>
            </w:r>
            <w:r>
              <w:rPr>
                <w:rFonts w:ascii="Arial" w:hAnsi="Arial" w:cs="Arial"/>
                <w:sz w:val="24"/>
                <w:szCs w:val="24"/>
              </w:rPr>
              <w:t xml:space="preserve"> The report provides a summary position to date.</w:t>
            </w:r>
          </w:p>
          <w:p w:rsidR="009471D3" w:rsidRPr="00D33AA3" w:rsidRDefault="00563DA4" w:rsidP="00D33AA3">
            <w:pPr>
              <w:pStyle w:val="Header"/>
              <w:jc w:val="both"/>
              <w:rPr>
                <w:rFonts w:ascii="Arial" w:hAnsi="Arial" w:cs="Arial"/>
                <w:b/>
                <w:sz w:val="24"/>
                <w:szCs w:val="24"/>
              </w:rPr>
            </w:pPr>
            <w:r>
              <w:rPr>
                <w:rFonts w:ascii="Arial" w:hAnsi="Arial" w:cs="Arial"/>
                <w:sz w:val="24"/>
                <w:szCs w:val="24"/>
              </w:rPr>
              <w:t xml:space="preserve"> </w:t>
            </w:r>
          </w:p>
          <w:p w:rsidR="009471D3" w:rsidRDefault="00563DA4" w:rsidP="00CD0F93">
            <w:pPr>
              <w:spacing w:line="240" w:lineRule="auto"/>
              <w:jc w:val="both"/>
              <w:rPr>
                <w:rFonts w:ascii="Arial" w:hAnsi="Arial" w:cs="Arial"/>
                <w:sz w:val="24"/>
                <w:szCs w:val="24"/>
              </w:rPr>
            </w:pPr>
            <w:r w:rsidRPr="00A14DB6">
              <w:rPr>
                <w:rFonts w:ascii="Arial" w:hAnsi="Arial" w:cs="Arial"/>
                <w:b/>
                <w:sz w:val="24"/>
                <w:szCs w:val="24"/>
              </w:rPr>
              <w:t>Recommendation</w:t>
            </w:r>
          </w:p>
          <w:p w:rsidR="009471D3" w:rsidRPr="000035F6" w:rsidRDefault="00D33AA3" w:rsidP="00AC4A4D">
            <w:pPr>
              <w:spacing w:line="240" w:lineRule="auto"/>
              <w:jc w:val="both"/>
              <w:rPr>
                <w:rFonts w:ascii="Arial" w:hAnsi="Arial" w:cs="Arial"/>
                <w:bCs/>
                <w:sz w:val="24"/>
                <w:szCs w:val="24"/>
              </w:rPr>
            </w:pPr>
            <w:r w:rsidRPr="000035F6">
              <w:rPr>
                <w:rFonts w:ascii="Arial" w:hAnsi="Arial" w:cs="Arial"/>
                <w:bCs/>
                <w:sz w:val="24"/>
                <w:szCs w:val="24"/>
              </w:rPr>
              <w:t xml:space="preserve">That </w:t>
            </w:r>
            <w:r w:rsidR="00AC4A4D">
              <w:rPr>
                <w:rFonts w:ascii="Arial" w:hAnsi="Arial" w:cs="Arial"/>
                <w:bCs/>
                <w:sz w:val="24"/>
                <w:szCs w:val="24"/>
              </w:rPr>
              <w:t xml:space="preserve">the </w:t>
            </w:r>
            <w:r w:rsidRPr="000035F6">
              <w:rPr>
                <w:rFonts w:ascii="Arial" w:hAnsi="Arial" w:cs="Arial"/>
                <w:bCs/>
                <w:sz w:val="24"/>
                <w:szCs w:val="24"/>
              </w:rPr>
              <w:t>City Deal Executive</w:t>
            </w:r>
            <w:r w:rsidR="00311BA3">
              <w:rPr>
                <w:rFonts w:ascii="Arial" w:hAnsi="Arial" w:cs="Arial"/>
                <w:bCs/>
                <w:sz w:val="24"/>
                <w:szCs w:val="24"/>
              </w:rPr>
              <w:t xml:space="preserve"> and Stewardship Board</w:t>
            </w:r>
            <w:r w:rsidR="00AC4A4D">
              <w:rPr>
                <w:rFonts w:ascii="Arial" w:hAnsi="Arial" w:cs="Arial"/>
                <w:bCs/>
                <w:sz w:val="24"/>
                <w:szCs w:val="24"/>
              </w:rPr>
              <w:t xml:space="preserve"> is asked to note</w:t>
            </w:r>
            <w:r w:rsidRPr="000035F6">
              <w:rPr>
                <w:rFonts w:ascii="Arial" w:hAnsi="Arial" w:cs="Arial"/>
                <w:bCs/>
                <w:sz w:val="24"/>
                <w:szCs w:val="24"/>
              </w:rPr>
              <w:t xml:space="preserve"> the report</w:t>
            </w:r>
            <w:r w:rsidR="001C092E" w:rsidRPr="000035F6">
              <w:rPr>
                <w:rFonts w:ascii="Arial" w:hAnsi="Arial" w:cs="Arial"/>
                <w:bCs/>
                <w:sz w:val="24"/>
                <w:szCs w:val="24"/>
              </w:rPr>
              <w:t>.</w:t>
            </w:r>
          </w:p>
        </w:tc>
      </w:tr>
    </w:tbl>
    <w:p w:rsidR="009471D3" w:rsidRPr="00D3134F" w:rsidRDefault="00311BA3" w:rsidP="009471D3">
      <w:pPr>
        <w:pStyle w:val="Header"/>
        <w:rPr>
          <w:rFonts w:ascii="Arial" w:hAnsi="Arial" w:cs="Arial"/>
          <w:sz w:val="24"/>
          <w:szCs w:val="24"/>
        </w:rPr>
      </w:pPr>
    </w:p>
    <w:p w:rsidR="009471D3" w:rsidRPr="00D3134F" w:rsidRDefault="00563DA4" w:rsidP="009471D3">
      <w:pPr>
        <w:spacing w:after="0" w:line="240" w:lineRule="auto"/>
        <w:rPr>
          <w:rFonts w:ascii="Arial" w:hAnsi="Arial" w:cs="Arial"/>
          <w:b/>
          <w:sz w:val="24"/>
          <w:szCs w:val="24"/>
        </w:rPr>
      </w:pPr>
      <w:r w:rsidRPr="00D3134F">
        <w:rPr>
          <w:rFonts w:ascii="Arial" w:hAnsi="Arial" w:cs="Arial"/>
          <w:b/>
          <w:sz w:val="24"/>
          <w:szCs w:val="24"/>
        </w:rPr>
        <w:t xml:space="preserve">Background and Advice </w:t>
      </w:r>
    </w:p>
    <w:p w:rsidR="009471D3" w:rsidRPr="002E7A65" w:rsidRDefault="00311BA3" w:rsidP="009471D3">
      <w:pPr>
        <w:spacing w:after="0" w:line="240" w:lineRule="auto"/>
        <w:rPr>
          <w:rFonts w:ascii="Arial" w:hAnsi="Arial" w:cs="Arial"/>
          <w:sz w:val="24"/>
          <w:szCs w:val="24"/>
        </w:rPr>
      </w:pPr>
    </w:p>
    <w:p w:rsidR="009471D3" w:rsidRDefault="002E7A65" w:rsidP="002E7A65">
      <w:pPr>
        <w:pStyle w:val="NoSpacing"/>
        <w:ind w:left="542" w:hanging="542"/>
        <w:jc w:val="both"/>
        <w:rPr>
          <w:rFonts w:eastAsia="Times New Roman" w:cs="Arial"/>
          <w:bCs/>
          <w:szCs w:val="24"/>
        </w:rPr>
      </w:pPr>
      <w:r w:rsidRPr="002E7A65">
        <w:rPr>
          <w:rFonts w:eastAsia="Times New Roman" w:cs="Arial"/>
          <w:bCs/>
          <w:szCs w:val="24"/>
        </w:rPr>
        <w:t>1.</w:t>
      </w:r>
      <w:r w:rsidRPr="002E7A65">
        <w:rPr>
          <w:rFonts w:eastAsia="Times New Roman" w:cs="Arial"/>
          <w:bCs/>
          <w:szCs w:val="24"/>
        </w:rPr>
        <w:tab/>
      </w:r>
      <w:r>
        <w:rPr>
          <w:rFonts w:eastAsia="Times New Roman" w:cs="Arial"/>
          <w:bCs/>
          <w:szCs w:val="24"/>
        </w:rPr>
        <w:t>The provision of affordable housing is a requirement of the National Planning Policy Framework (the Framework), and on eligible sites through the Central Lancashire Core Strategy</w:t>
      </w:r>
      <w:r w:rsidR="007A21D7">
        <w:rPr>
          <w:rFonts w:eastAsia="Times New Roman" w:cs="Arial"/>
          <w:bCs/>
          <w:szCs w:val="24"/>
        </w:rPr>
        <w:t>.</w:t>
      </w:r>
    </w:p>
    <w:p w:rsidR="007A21D7" w:rsidRDefault="007A21D7" w:rsidP="002E7A65">
      <w:pPr>
        <w:pStyle w:val="NoSpacing"/>
        <w:ind w:left="542" w:hanging="542"/>
        <w:jc w:val="both"/>
        <w:rPr>
          <w:rFonts w:eastAsia="Times New Roman" w:cs="Arial"/>
          <w:bCs/>
          <w:szCs w:val="24"/>
        </w:rPr>
      </w:pPr>
    </w:p>
    <w:p w:rsidR="007A21D7" w:rsidRPr="007A21D7" w:rsidRDefault="007A21D7" w:rsidP="002E7A65">
      <w:pPr>
        <w:pStyle w:val="NoSpacing"/>
        <w:ind w:left="542" w:hanging="542"/>
        <w:jc w:val="both"/>
        <w:rPr>
          <w:rFonts w:eastAsia="Times New Roman" w:cs="Arial"/>
          <w:bCs/>
          <w:szCs w:val="24"/>
          <w:u w:val="single"/>
        </w:rPr>
      </w:pPr>
      <w:r w:rsidRPr="007A21D7">
        <w:rPr>
          <w:rFonts w:eastAsia="Times New Roman" w:cs="Arial"/>
          <w:bCs/>
          <w:szCs w:val="24"/>
          <w:u w:val="single"/>
        </w:rPr>
        <w:t>National Policy</w:t>
      </w:r>
    </w:p>
    <w:p w:rsidR="002E7A65" w:rsidRDefault="002E7A65" w:rsidP="002E7A65">
      <w:pPr>
        <w:pStyle w:val="NoSpacing"/>
        <w:ind w:left="542" w:hanging="542"/>
        <w:jc w:val="both"/>
        <w:rPr>
          <w:rFonts w:eastAsia="Times New Roman" w:cs="Arial"/>
          <w:bCs/>
          <w:szCs w:val="24"/>
        </w:rPr>
      </w:pPr>
    </w:p>
    <w:p w:rsidR="002E7A65" w:rsidRDefault="002E7A65" w:rsidP="002E7A65">
      <w:pPr>
        <w:pStyle w:val="NoSpacing"/>
        <w:ind w:left="542" w:hanging="542"/>
        <w:jc w:val="both"/>
        <w:rPr>
          <w:rFonts w:eastAsia="Times New Roman" w:cs="Arial"/>
          <w:bCs/>
          <w:szCs w:val="24"/>
        </w:rPr>
      </w:pPr>
      <w:r>
        <w:rPr>
          <w:rFonts w:eastAsia="Times New Roman" w:cs="Arial"/>
          <w:bCs/>
          <w:szCs w:val="24"/>
        </w:rPr>
        <w:t>2.</w:t>
      </w:r>
      <w:r>
        <w:rPr>
          <w:rFonts w:eastAsia="Times New Roman" w:cs="Arial"/>
          <w:bCs/>
          <w:szCs w:val="24"/>
        </w:rPr>
        <w:tab/>
      </w:r>
      <w:r w:rsidR="007A21D7">
        <w:rPr>
          <w:rFonts w:eastAsia="Times New Roman" w:cs="Arial"/>
          <w:bCs/>
          <w:szCs w:val="24"/>
        </w:rPr>
        <w:t xml:space="preserve">The most recent revisions to the Framework were published in February 2019. </w:t>
      </w:r>
      <w:r>
        <w:rPr>
          <w:rFonts w:eastAsia="Times New Roman" w:cs="Arial"/>
          <w:bCs/>
          <w:szCs w:val="24"/>
        </w:rPr>
        <w:t>Affordable housing is defined in Annex 2 of the Framework as inclusive of:</w:t>
      </w:r>
    </w:p>
    <w:p w:rsidR="002E7A65" w:rsidRDefault="002E7A65" w:rsidP="002E7A65">
      <w:pPr>
        <w:pStyle w:val="NoSpacing"/>
        <w:ind w:left="542" w:hanging="542"/>
        <w:jc w:val="both"/>
        <w:rPr>
          <w:rFonts w:eastAsia="Times New Roman" w:cs="Arial"/>
          <w:bCs/>
          <w:szCs w:val="24"/>
        </w:rPr>
      </w:pPr>
    </w:p>
    <w:p w:rsidR="002E7A65" w:rsidRDefault="002E7A65" w:rsidP="002E7A65">
      <w:pPr>
        <w:pStyle w:val="NoSpacing"/>
        <w:numPr>
          <w:ilvl w:val="0"/>
          <w:numId w:val="6"/>
        </w:numPr>
        <w:jc w:val="both"/>
        <w:rPr>
          <w:rFonts w:eastAsia="Times New Roman" w:cs="Arial"/>
          <w:bCs/>
          <w:szCs w:val="24"/>
        </w:rPr>
      </w:pPr>
      <w:r>
        <w:rPr>
          <w:rFonts w:eastAsia="Times New Roman" w:cs="Arial"/>
          <w:bCs/>
          <w:szCs w:val="24"/>
        </w:rPr>
        <w:t>Affordable and Social Rented.</w:t>
      </w:r>
    </w:p>
    <w:p w:rsidR="002E7A65" w:rsidRDefault="002E7A65" w:rsidP="002E7A65">
      <w:pPr>
        <w:pStyle w:val="NoSpacing"/>
        <w:numPr>
          <w:ilvl w:val="0"/>
          <w:numId w:val="6"/>
        </w:numPr>
        <w:jc w:val="both"/>
        <w:rPr>
          <w:rFonts w:eastAsia="Times New Roman" w:cs="Arial"/>
          <w:bCs/>
          <w:szCs w:val="24"/>
        </w:rPr>
      </w:pPr>
      <w:r>
        <w:rPr>
          <w:rFonts w:eastAsia="Times New Roman" w:cs="Arial"/>
          <w:bCs/>
          <w:szCs w:val="24"/>
        </w:rPr>
        <w:t>Discount market value housing.</w:t>
      </w:r>
    </w:p>
    <w:p w:rsidR="002E7A65" w:rsidRDefault="002E7A65" w:rsidP="002E7A65">
      <w:pPr>
        <w:pStyle w:val="NoSpacing"/>
        <w:numPr>
          <w:ilvl w:val="0"/>
          <w:numId w:val="6"/>
        </w:numPr>
        <w:jc w:val="both"/>
        <w:rPr>
          <w:rFonts w:eastAsia="Times New Roman" w:cs="Arial"/>
          <w:bCs/>
          <w:szCs w:val="24"/>
        </w:rPr>
      </w:pPr>
      <w:r>
        <w:rPr>
          <w:rFonts w:eastAsia="Times New Roman" w:cs="Arial"/>
          <w:bCs/>
          <w:szCs w:val="24"/>
        </w:rPr>
        <w:t>Starter Homes.</w:t>
      </w:r>
    </w:p>
    <w:p w:rsidR="002E7A65" w:rsidRDefault="002E7A65" w:rsidP="002E7A65">
      <w:pPr>
        <w:pStyle w:val="NoSpacing"/>
        <w:numPr>
          <w:ilvl w:val="0"/>
          <w:numId w:val="6"/>
        </w:numPr>
        <w:jc w:val="both"/>
        <w:rPr>
          <w:rFonts w:eastAsia="Times New Roman" w:cs="Arial"/>
          <w:bCs/>
          <w:szCs w:val="24"/>
        </w:rPr>
      </w:pPr>
      <w:r>
        <w:rPr>
          <w:rFonts w:eastAsia="Times New Roman" w:cs="Arial"/>
          <w:bCs/>
          <w:szCs w:val="24"/>
        </w:rPr>
        <w:t>Other affordable routes to home ownership.</w:t>
      </w:r>
    </w:p>
    <w:p w:rsidR="002E7A65" w:rsidRDefault="002E7A65" w:rsidP="002E7A65">
      <w:pPr>
        <w:pStyle w:val="NoSpacing"/>
        <w:jc w:val="both"/>
        <w:rPr>
          <w:rFonts w:eastAsia="Times New Roman" w:cs="Arial"/>
          <w:bCs/>
          <w:szCs w:val="24"/>
        </w:rPr>
      </w:pPr>
    </w:p>
    <w:p w:rsidR="00077A2D" w:rsidRDefault="002E7A65" w:rsidP="002E7A65">
      <w:pPr>
        <w:pStyle w:val="NoSpacing"/>
        <w:ind w:left="544" w:hanging="544"/>
        <w:jc w:val="both"/>
        <w:rPr>
          <w:rFonts w:eastAsia="Times New Roman" w:cs="Arial"/>
          <w:bCs/>
          <w:szCs w:val="24"/>
        </w:rPr>
      </w:pPr>
      <w:r>
        <w:rPr>
          <w:rFonts w:eastAsia="Times New Roman" w:cs="Arial"/>
          <w:bCs/>
          <w:szCs w:val="24"/>
        </w:rPr>
        <w:t>3.</w:t>
      </w:r>
      <w:r>
        <w:rPr>
          <w:rFonts w:eastAsia="Times New Roman" w:cs="Arial"/>
          <w:bCs/>
          <w:szCs w:val="24"/>
        </w:rPr>
        <w:tab/>
      </w:r>
      <w:r w:rsidR="007A21D7">
        <w:rPr>
          <w:rFonts w:eastAsia="Times New Roman" w:cs="Arial"/>
          <w:bCs/>
          <w:szCs w:val="24"/>
        </w:rPr>
        <w:t xml:space="preserve">Paragraph 62 of the Framework states that where a need for affordable housing is identified planning policies should specify the type required and expect it to be met on-site unless off-site provision or a financial contribution can be robustly </w:t>
      </w:r>
      <w:r w:rsidR="007A21D7">
        <w:rPr>
          <w:rFonts w:eastAsia="Times New Roman" w:cs="Arial"/>
          <w:bCs/>
          <w:szCs w:val="24"/>
        </w:rPr>
        <w:lastRenderedPageBreak/>
        <w:t>justified and the approach agreed contributes to the objective of creating mixed and balanced communities.</w:t>
      </w:r>
    </w:p>
    <w:p w:rsidR="007A21D7" w:rsidRDefault="007A21D7" w:rsidP="002E7A65">
      <w:pPr>
        <w:pStyle w:val="NoSpacing"/>
        <w:ind w:left="544" w:hanging="544"/>
        <w:jc w:val="both"/>
        <w:rPr>
          <w:rFonts w:eastAsia="Times New Roman" w:cs="Arial"/>
          <w:bCs/>
          <w:szCs w:val="24"/>
        </w:rPr>
      </w:pPr>
    </w:p>
    <w:p w:rsidR="007A21D7" w:rsidRDefault="007A21D7" w:rsidP="002E7A65">
      <w:pPr>
        <w:pStyle w:val="NoSpacing"/>
        <w:ind w:left="544" w:hanging="544"/>
        <w:jc w:val="both"/>
        <w:rPr>
          <w:rFonts w:eastAsia="Times New Roman" w:cs="Arial"/>
          <w:bCs/>
          <w:szCs w:val="24"/>
        </w:rPr>
      </w:pPr>
      <w:r>
        <w:rPr>
          <w:rFonts w:eastAsia="Times New Roman" w:cs="Arial"/>
          <w:bCs/>
          <w:szCs w:val="24"/>
        </w:rPr>
        <w:t>4.</w:t>
      </w:r>
      <w:r>
        <w:rPr>
          <w:rFonts w:eastAsia="Times New Roman" w:cs="Arial"/>
          <w:bCs/>
          <w:szCs w:val="24"/>
        </w:rPr>
        <w:tab/>
        <w:t>Paragraph 63 of the Framework states that affordable housing should not be sought for residential developments that are not ‘major’ developments. ‘Major’ housing developments are defined in Annex 2 of the Framework as those which involve the provision of 10 or more dwellings or where the site area is 0.5 hectares or more. The exception to this rule is in ‘designated rural areas’ where a lower threshold of 5 or less dwelling can be set. There are no ‘designated rural areas’ within the City Deal area.</w:t>
      </w:r>
    </w:p>
    <w:p w:rsidR="007A21D7" w:rsidRDefault="007A21D7" w:rsidP="002E7A65">
      <w:pPr>
        <w:pStyle w:val="NoSpacing"/>
        <w:ind w:left="544" w:hanging="544"/>
        <w:jc w:val="both"/>
        <w:rPr>
          <w:rFonts w:eastAsia="Times New Roman" w:cs="Arial"/>
          <w:bCs/>
          <w:szCs w:val="24"/>
        </w:rPr>
      </w:pPr>
    </w:p>
    <w:p w:rsidR="007A21D7" w:rsidRDefault="007A21D7" w:rsidP="002E7A65">
      <w:pPr>
        <w:pStyle w:val="NoSpacing"/>
        <w:ind w:left="544" w:hanging="544"/>
        <w:jc w:val="both"/>
        <w:rPr>
          <w:rFonts w:eastAsia="Times New Roman" w:cs="Arial"/>
          <w:bCs/>
          <w:szCs w:val="24"/>
        </w:rPr>
      </w:pPr>
      <w:r>
        <w:rPr>
          <w:rFonts w:eastAsia="Times New Roman" w:cs="Arial"/>
          <w:bCs/>
          <w:szCs w:val="24"/>
        </w:rPr>
        <w:t>5.</w:t>
      </w:r>
      <w:r>
        <w:rPr>
          <w:rFonts w:eastAsia="Times New Roman" w:cs="Arial"/>
          <w:bCs/>
          <w:szCs w:val="24"/>
        </w:rPr>
        <w:tab/>
        <w:t>Finally, paragraph 64 of the Framework states that where major housing development is proposed, planning policies and decision</w:t>
      </w:r>
      <w:r w:rsidR="00085DAF">
        <w:rPr>
          <w:rFonts w:eastAsia="Times New Roman" w:cs="Arial"/>
          <w:bCs/>
          <w:szCs w:val="24"/>
        </w:rPr>
        <w:t>s</w:t>
      </w:r>
      <w:r>
        <w:rPr>
          <w:rFonts w:eastAsia="Times New Roman" w:cs="Arial"/>
          <w:bCs/>
          <w:szCs w:val="24"/>
        </w:rPr>
        <w:t xml:space="preserve"> should expect at least 10% of the dwellings provided on-site to be available for affordable home ownership, as per the definition of affordable housing in paragraph 2 of this report.</w:t>
      </w:r>
    </w:p>
    <w:p w:rsidR="00077A2D" w:rsidRDefault="00077A2D" w:rsidP="002E7A65">
      <w:pPr>
        <w:pStyle w:val="NoSpacing"/>
        <w:ind w:left="544" w:hanging="544"/>
        <w:jc w:val="both"/>
        <w:rPr>
          <w:rFonts w:eastAsia="Times New Roman" w:cs="Arial"/>
          <w:bCs/>
          <w:szCs w:val="24"/>
        </w:rPr>
      </w:pPr>
    </w:p>
    <w:p w:rsidR="00077A2D" w:rsidRDefault="007A21D7" w:rsidP="002E7A65">
      <w:pPr>
        <w:pStyle w:val="NoSpacing"/>
        <w:ind w:left="544" w:hanging="544"/>
        <w:jc w:val="both"/>
        <w:rPr>
          <w:rFonts w:eastAsia="Times New Roman" w:cs="Arial"/>
          <w:bCs/>
          <w:szCs w:val="24"/>
        </w:rPr>
      </w:pPr>
      <w:r>
        <w:rPr>
          <w:rFonts w:eastAsia="Times New Roman" w:cs="Arial"/>
          <w:bCs/>
          <w:szCs w:val="24"/>
        </w:rPr>
        <w:t>6.</w:t>
      </w:r>
      <w:r>
        <w:rPr>
          <w:rFonts w:eastAsia="Times New Roman" w:cs="Arial"/>
          <w:bCs/>
          <w:szCs w:val="24"/>
        </w:rPr>
        <w:tab/>
      </w:r>
      <w:r w:rsidR="001D64D0">
        <w:rPr>
          <w:rFonts w:eastAsia="Times New Roman" w:cs="Arial"/>
          <w:bCs/>
          <w:szCs w:val="24"/>
        </w:rPr>
        <w:t>It is also worthy of note that i</w:t>
      </w:r>
      <w:r w:rsidR="002E7A65">
        <w:rPr>
          <w:rFonts w:eastAsia="Times New Roman" w:cs="Arial"/>
          <w:bCs/>
          <w:szCs w:val="24"/>
        </w:rPr>
        <w:t>n</w:t>
      </w:r>
      <w:r w:rsidR="001D64D0">
        <w:rPr>
          <w:rFonts w:eastAsia="Times New Roman" w:cs="Arial"/>
          <w:bCs/>
          <w:szCs w:val="24"/>
        </w:rPr>
        <w:t xml:space="preserve"> August 2020 the Government launched a consultation on four key changes to the current planning system, two of those proposed changes potentially have a direct impact on the future delivery of affordable housing. The first being the introduction of a new affordable housing model – First Homes – which is, in effect, a variant to the discounted market value tenure in that it is to be pri</w:t>
      </w:r>
      <w:r w:rsidR="00077A2D">
        <w:rPr>
          <w:rFonts w:eastAsia="Times New Roman" w:cs="Arial"/>
          <w:bCs/>
          <w:szCs w:val="24"/>
        </w:rPr>
        <w:t>oritised to first time buyers.</w:t>
      </w:r>
    </w:p>
    <w:p w:rsidR="00077A2D" w:rsidRDefault="00077A2D" w:rsidP="002E7A65">
      <w:pPr>
        <w:pStyle w:val="NoSpacing"/>
        <w:ind w:left="544" w:hanging="544"/>
        <w:jc w:val="both"/>
        <w:rPr>
          <w:rFonts w:eastAsia="Times New Roman" w:cs="Arial"/>
          <w:bCs/>
          <w:szCs w:val="24"/>
        </w:rPr>
      </w:pPr>
    </w:p>
    <w:p w:rsidR="002E7A65" w:rsidRDefault="007A21D7" w:rsidP="002E7A65">
      <w:pPr>
        <w:pStyle w:val="NoSpacing"/>
        <w:ind w:left="544" w:hanging="544"/>
        <w:jc w:val="both"/>
        <w:rPr>
          <w:rFonts w:eastAsia="Times New Roman" w:cs="Arial"/>
          <w:bCs/>
          <w:szCs w:val="24"/>
        </w:rPr>
      </w:pPr>
      <w:r>
        <w:rPr>
          <w:rFonts w:eastAsia="Times New Roman" w:cs="Arial"/>
          <w:bCs/>
          <w:szCs w:val="24"/>
        </w:rPr>
        <w:t>7.</w:t>
      </w:r>
      <w:r w:rsidR="00077A2D">
        <w:rPr>
          <w:rFonts w:eastAsia="Times New Roman" w:cs="Arial"/>
          <w:bCs/>
          <w:szCs w:val="24"/>
        </w:rPr>
        <w:tab/>
      </w:r>
      <w:r w:rsidR="001D64D0">
        <w:rPr>
          <w:rFonts w:eastAsia="Times New Roman" w:cs="Arial"/>
          <w:bCs/>
          <w:szCs w:val="24"/>
        </w:rPr>
        <w:t>The Government consultation proposed that a minimum of 25% of all affordable housing secured on site, or as financial contributions in-lieu of on-site provision</w:t>
      </w:r>
      <w:r w:rsidR="00077A2D">
        <w:rPr>
          <w:rFonts w:eastAsia="Times New Roman" w:cs="Arial"/>
          <w:bCs/>
          <w:szCs w:val="24"/>
        </w:rPr>
        <w:t>, would be ring-fenced to the First Homes product. The implication being that a lower proportion of other affordable housing tenures, including rented products, would be a likely consequence.</w:t>
      </w:r>
    </w:p>
    <w:p w:rsidR="00077A2D" w:rsidRDefault="00077A2D" w:rsidP="002E7A65">
      <w:pPr>
        <w:pStyle w:val="NoSpacing"/>
        <w:ind w:left="544" w:hanging="544"/>
        <w:jc w:val="both"/>
        <w:rPr>
          <w:rFonts w:eastAsia="Times New Roman" w:cs="Arial"/>
          <w:bCs/>
          <w:szCs w:val="24"/>
        </w:rPr>
      </w:pPr>
    </w:p>
    <w:p w:rsidR="00077A2D" w:rsidRDefault="007A21D7" w:rsidP="002E7A65">
      <w:pPr>
        <w:pStyle w:val="NoSpacing"/>
        <w:ind w:left="544" w:hanging="544"/>
        <w:jc w:val="both"/>
        <w:rPr>
          <w:rFonts w:eastAsia="Times New Roman" w:cs="Arial"/>
          <w:bCs/>
          <w:szCs w:val="24"/>
        </w:rPr>
      </w:pPr>
      <w:r>
        <w:rPr>
          <w:rFonts w:eastAsia="Times New Roman" w:cs="Arial"/>
          <w:bCs/>
          <w:szCs w:val="24"/>
        </w:rPr>
        <w:t>8</w:t>
      </w:r>
      <w:r w:rsidR="00077A2D">
        <w:rPr>
          <w:rFonts w:eastAsia="Times New Roman" w:cs="Arial"/>
          <w:bCs/>
          <w:szCs w:val="24"/>
        </w:rPr>
        <w:t>.</w:t>
      </w:r>
      <w:r w:rsidR="00077A2D">
        <w:rPr>
          <w:rFonts w:eastAsia="Times New Roman" w:cs="Arial"/>
          <w:bCs/>
          <w:szCs w:val="24"/>
        </w:rPr>
        <w:tab/>
        <w:t>The second, and perhaps more concerning proposal was to lift the minimum threshold for developments which would be required to provide affordable housing set out in the Framework from 10 dwellings to ’40 or 50 dwellings’. This would be a radical change in approach and would clearly have a detrimental impact on the ability of the Councils within the City Deal area to achieve their affordable housing targets.</w:t>
      </w:r>
    </w:p>
    <w:p w:rsidR="00077A2D" w:rsidRDefault="00077A2D" w:rsidP="002E7A65">
      <w:pPr>
        <w:pStyle w:val="NoSpacing"/>
        <w:ind w:left="544" w:hanging="544"/>
        <w:jc w:val="both"/>
        <w:rPr>
          <w:rFonts w:eastAsia="Times New Roman" w:cs="Arial"/>
          <w:bCs/>
          <w:szCs w:val="24"/>
        </w:rPr>
      </w:pPr>
    </w:p>
    <w:p w:rsidR="00077A2D" w:rsidRDefault="007A21D7" w:rsidP="002E7A65">
      <w:pPr>
        <w:pStyle w:val="NoSpacing"/>
        <w:ind w:left="544" w:hanging="544"/>
        <w:jc w:val="both"/>
        <w:rPr>
          <w:rFonts w:eastAsia="Times New Roman" w:cs="Arial"/>
          <w:bCs/>
          <w:szCs w:val="24"/>
        </w:rPr>
      </w:pPr>
      <w:r>
        <w:rPr>
          <w:rFonts w:eastAsia="Times New Roman" w:cs="Arial"/>
          <w:bCs/>
          <w:szCs w:val="24"/>
        </w:rPr>
        <w:t>9</w:t>
      </w:r>
      <w:r w:rsidR="00077A2D">
        <w:rPr>
          <w:rFonts w:eastAsia="Times New Roman" w:cs="Arial"/>
          <w:bCs/>
          <w:szCs w:val="24"/>
        </w:rPr>
        <w:t>.</w:t>
      </w:r>
      <w:r w:rsidR="00077A2D">
        <w:rPr>
          <w:rFonts w:eastAsia="Times New Roman" w:cs="Arial"/>
          <w:bCs/>
          <w:szCs w:val="24"/>
        </w:rPr>
        <w:tab/>
        <w:t>Preston City Council objected in the strongest terms to Government on these proposed reforms.</w:t>
      </w:r>
    </w:p>
    <w:p w:rsidR="007A21D7" w:rsidRDefault="007A21D7" w:rsidP="002E7A65">
      <w:pPr>
        <w:pStyle w:val="NoSpacing"/>
        <w:ind w:left="544" w:hanging="544"/>
        <w:jc w:val="both"/>
        <w:rPr>
          <w:rFonts w:eastAsia="Times New Roman" w:cs="Arial"/>
          <w:bCs/>
          <w:szCs w:val="24"/>
        </w:rPr>
      </w:pPr>
    </w:p>
    <w:p w:rsidR="00735498" w:rsidRPr="00735498" w:rsidRDefault="00735498" w:rsidP="002E7A65">
      <w:pPr>
        <w:pStyle w:val="NoSpacing"/>
        <w:ind w:left="544" w:hanging="544"/>
        <w:jc w:val="both"/>
        <w:rPr>
          <w:rFonts w:eastAsia="Times New Roman" w:cs="Arial"/>
          <w:bCs/>
          <w:szCs w:val="24"/>
          <w:u w:val="single"/>
        </w:rPr>
      </w:pPr>
      <w:r w:rsidRPr="00735498">
        <w:rPr>
          <w:rFonts w:eastAsia="Times New Roman" w:cs="Arial"/>
          <w:bCs/>
          <w:szCs w:val="24"/>
          <w:u w:val="single"/>
        </w:rPr>
        <w:t>Central Lancashire Core Strategy</w:t>
      </w:r>
    </w:p>
    <w:p w:rsidR="00735498" w:rsidRDefault="00735498" w:rsidP="002E7A65">
      <w:pPr>
        <w:pStyle w:val="NoSpacing"/>
        <w:ind w:left="544" w:hanging="544"/>
        <w:jc w:val="both"/>
        <w:rPr>
          <w:rFonts w:eastAsia="Times New Roman" w:cs="Arial"/>
          <w:bCs/>
          <w:szCs w:val="24"/>
        </w:rPr>
      </w:pPr>
    </w:p>
    <w:p w:rsidR="007A21D7" w:rsidRDefault="007A21D7" w:rsidP="002E7A65">
      <w:pPr>
        <w:pStyle w:val="NoSpacing"/>
        <w:ind w:left="544" w:hanging="544"/>
        <w:jc w:val="both"/>
        <w:rPr>
          <w:rFonts w:eastAsia="Times New Roman" w:cs="Arial"/>
          <w:bCs/>
          <w:szCs w:val="24"/>
        </w:rPr>
      </w:pPr>
      <w:r>
        <w:rPr>
          <w:rFonts w:eastAsia="Times New Roman" w:cs="Arial"/>
          <w:bCs/>
          <w:szCs w:val="24"/>
        </w:rPr>
        <w:t>10.</w:t>
      </w:r>
      <w:r>
        <w:rPr>
          <w:rFonts w:eastAsia="Times New Roman" w:cs="Arial"/>
          <w:bCs/>
          <w:szCs w:val="24"/>
        </w:rPr>
        <w:tab/>
      </w:r>
      <w:r w:rsidR="00735498">
        <w:rPr>
          <w:rFonts w:eastAsia="Times New Roman" w:cs="Arial"/>
          <w:bCs/>
          <w:szCs w:val="24"/>
        </w:rPr>
        <w:t xml:space="preserve">Policy 7 of the Central Lancashire Core Strategy </w:t>
      </w:r>
      <w:r w:rsidR="00DF4529">
        <w:rPr>
          <w:rFonts w:eastAsia="Times New Roman" w:cs="Arial"/>
          <w:bCs/>
          <w:szCs w:val="24"/>
        </w:rPr>
        <w:t xml:space="preserve">sets a target for 30% of the dwellings provided on market housing schemes of 15 or more dwellings (or a site area of 0.5 hectares or more) in the urban parts of Preston and South Ribble to be affordable. 30% provision is a target, not a requirement and only applies where </w:t>
      </w:r>
      <w:r w:rsidR="00DF4529">
        <w:rPr>
          <w:rFonts w:eastAsia="Times New Roman" w:cs="Arial"/>
          <w:bCs/>
          <w:szCs w:val="24"/>
        </w:rPr>
        <w:lastRenderedPageBreak/>
        <w:t>development considerations such as financial viability and the contributions required to other community services have been taken into account.</w:t>
      </w:r>
    </w:p>
    <w:p w:rsidR="00DF4529" w:rsidRDefault="00DF4529" w:rsidP="002E7A65">
      <w:pPr>
        <w:pStyle w:val="NoSpacing"/>
        <w:ind w:left="544" w:hanging="544"/>
        <w:jc w:val="both"/>
        <w:rPr>
          <w:rFonts w:eastAsia="Times New Roman" w:cs="Arial"/>
          <w:bCs/>
          <w:szCs w:val="24"/>
        </w:rPr>
      </w:pPr>
    </w:p>
    <w:p w:rsidR="00DF4529" w:rsidRDefault="00DF4529" w:rsidP="002E7A65">
      <w:pPr>
        <w:pStyle w:val="NoSpacing"/>
        <w:ind w:left="544" w:hanging="544"/>
        <w:jc w:val="both"/>
        <w:rPr>
          <w:rFonts w:eastAsia="Times New Roman" w:cs="Arial"/>
          <w:bCs/>
          <w:szCs w:val="24"/>
        </w:rPr>
      </w:pPr>
      <w:r>
        <w:rPr>
          <w:rFonts w:eastAsia="Times New Roman" w:cs="Arial"/>
          <w:bCs/>
          <w:szCs w:val="24"/>
        </w:rPr>
        <w:t>11.</w:t>
      </w:r>
      <w:r>
        <w:rPr>
          <w:rFonts w:eastAsia="Times New Roman" w:cs="Arial"/>
          <w:bCs/>
          <w:szCs w:val="24"/>
        </w:rPr>
        <w:tab/>
        <w:t>In the rural areas of Preston and South Ribble, a target of 35% is applied to developments proposing 5 or more dwellings (or a site area of 0.15 hectares). So called ‘Rural Exception Sites’, which are sites adjoining village settlement boundaries or sites in the Green Belt are to be required to provide 100% affordable housing.</w:t>
      </w:r>
    </w:p>
    <w:p w:rsidR="00DF4529" w:rsidRDefault="00DF4529" w:rsidP="002E7A65">
      <w:pPr>
        <w:pStyle w:val="NoSpacing"/>
        <w:ind w:left="544" w:hanging="544"/>
        <w:jc w:val="both"/>
        <w:rPr>
          <w:rFonts w:eastAsia="Times New Roman" w:cs="Arial"/>
          <w:bCs/>
          <w:szCs w:val="24"/>
        </w:rPr>
      </w:pPr>
    </w:p>
    <w:p w:rsidR="00DF4529" w:rsidRDefault="00DF4529" w:rsidP="002E7A65">
      <w:pPr>
        <w:pStyle w:val="NoSpacing"/>
        <w:ind w:left="544" w:hanging="544"/>
        <w:jc w:val="both"/>
        <w:rPr>
          <w:rFonts w:eastAsia="Times New Roman" w:cs="Arial"/>
          <w:bCs/>
          <w:szCs w:val="24"/>
        </w:rPr>
      </w:pPr>
      <w:r>
        <w:rPr>
          <w:rFonts w:eastAsia="Times New Roman" w:cs="Arial"/>
          <w:bCs/>
          <w:szCs w:val="24"/>
        </w:rPr>
        <w:t>12.</w:t>
      </w:r>
      <w:r>
        <w:rPr>
          <w:rFonts w:eastAsia="Times New Roman" w:cs="Arial"/>
          <w:bCs/>
          <w:szCs w:val="24"/>
        </w:rPr>
        <w:tab/>
        <w:t>The policy also allows for off-site provision, or financial contributions, to be provided in-lieu of on-site provision, where this is robustly justified.</w:t>
      </w:r>
    </w:p>
    <w:p w:rsidR="00DF4529" w:rsidRDefault="00DF4529" w:rsidP="002E7A65">
      <w:pPr>
        <w:pStyle w:val="NoSpacing"/>
        <w:ind w:left="544" w:hanging="544"/>
        <w:jc w:val="both"/>
        <w:rPr>
          <w:rFonts w:eastAsia="Times New Roman" w:cs="Arial"/>
          <w:bCs/>
          <w:szCs w:val="24"/>
        </w:rPr>
      </w:pPr>
    </w:p>
    <w:p w:rsidR="00DF4529" w:rsidRDefault="00DF4529" w:rsidP="002E7A65">
      <w:pPr>
        <w:pStyle w:val="NoSpacing"/>
        <w:ind w:left="544" w:hanging="544"/>
        <w:jc w:val="both"/>
        <w:rPr>
          <w:rFonts w:eastAsia="Times New Roman" w:cs="Arial"/>
          <w:bCs/>
          <w:szCs w:val="24"/>
        </w:rPr>
      </w:pPr>
      <w:r>
        <w:rPr>
          <w:rFonts w:eastAsia="Times New Roman" w:cs="Arial"/>
          <w:bCs/>
          <w:szCs w:val="24"/>
        </w:rPr>
        <w:t>13.</w:t>
      </w:r>
      <w:r>
        <w:rPr>
          <w:rFonts w:eastAsia="Times New Roman" w:cs="Arial"/>
          <w:bCs/>
          <w:szCs w:val="24"/>
        </w:rPr>
        <w:tab/>
        <w:t>Whilst Policy 7 was adopted in July 2012, after the first iteration of the Framework, it is no longer</w:t>
      </w:r>
      <w:r w:rsidR="008F1F98">
        <w:rPr>
          <w:rFonts w:eastAsia="Times New Roman" w:cs="Arial"/>
          <w:bCs/>
          <w:szCs w:val="24"/>
        </w:rPr>
        <w:t>, on the whole,</w:t>
      </w:r>
      <w:r>
        <w:rPr>
          <w:rFonts w:eastAsia="Times New Roman" w:cs="Arial"/>
          <w:bCs/>
          <w:szCs w:val="24"/>
        </w:rPr>
        <w:t xml:space="preserve"> an up to date policy as the requirements contained within it have, in part, been superseded by subsequent revisions to the Framework. Specifically:</w:t>
      </w:r>
    </w:p>
    <w:p w:rsidR="00DF4529" w:rsidRDefault="00DF4529" w:rsidP="002E7A65">
      <w:pPr>
        <w:pStyle w:val="NoSpacing"/>
        <w:ind w:left="544" w:hanging="544"/>
        <w:jc w:val="both"/>
        <w:rPr>
          <w:rFonts w:eastAsia="Times New Roman" w:cs="Arial"/>
          <w:bCs/>
          <w:szCs w:val="24"/>
        </w:rPr>
      </w:pPr>
    </w:p>
    <w:p w:rsidR="00DF4529" w:rsidRDefault="00DF4529" w:rsidP="00DF4529">
      <w:pPr>
        <w:pStyle w:val="NoSpacing"/>
        <w:numPr>
          <w:ilvl w:val="0"/>
          <w:numId w:val="7"/>
        </w:numPr>
        <w:jc w:val="both"/>
        <w:rPr>
          <w:rFonts w:eastAsia="Times New Roman" w:cs="Arial"/>
          <w:bCs/>
          <w:szCs w:val="24"/>
        </w:rPr>
      </w:pPr>
      <w:r>
        <w:rPr>
          <w:rFonts w:eastAsia="Times New Roman" w:cs="Arial"/>
          <w:bCs/>
          <w:szCs w:val="24"/>
        </w:rPr>
        <w:t xml:space="preserve">The lower 5 dwelling threshold in rural area can no longer be implemented as the minimum threshold set out in the paragraph </w:t>
      </w:r>
      <w:r w:rsidR="008F1F98">
        <w:rPr>
          <w:rFonts w:eastAsia="Times New Roman" w:cs="Arial"/>
          <w:bCs/>
          <w:szCs w:val="24"/>
        </w:rPr>
        <w:t>63 of the Framework (as set out in paragraph 4 of this report) is now 10 dwellings.</w:t>
      </w:r>
    </w:p>
    <w:p w:rsidR="008F1F98" w:rsidRDefault="008F1F98" w:rsidP="00DF4529">
      <w:pPr>
        <w:pStyle w:val="NoSpacing"/>
        <w:numPr>
          <w:ilvl w:val="0"/>
          <w:numId w:val="7"/>
        </w:numPr>
        <w:jc w:val="both"/>
        <w:rPr>
          <w:rFonts w:eastAsia="Times New Roman" w:cs="Arial"/>
          <w:bCs/>
          <w:szCs w:val="24"/>
        </w:rPr>
      </w:pPr>
      <w:r>
        <w:rPr>
          <w:rFonts w:eastAsia="Times New Roman" w:cs="Arial"/>
          <w:bCs/>
          <w:szCs w:val="24"/>
        </w:rPr>
        <w:t>The ‘Rural Exception’ affordable housing requirement of 100% can no longer be implemented as paragraph 71 of the Framework requires Local Planning Authorities to support ‘entry-level exception sites’ on sites which adjoin rural settlements, and paragraph 77 of the Framework asks Local Planning Authorities to consider allowing some market housing on these sites to help facilitate this.</w:t>
      </w:r>
    </w:p>
    <w:p w:rsidR="00DF4529" w:rsidRDefault="00DF4529" w:rsidP="002E7A65">
      <w:pPr>
        <w:pStyle w:val="NoSpacing"/>
        <w:ind w:left="544" w:hanging="544"/>
        <w:jc w:val="both"/>
        <w:rPr>
          <w:rFonts w:eastAsia="Times New Roman" w:cs="Arial"/>
          <w:bCs/>
          <w:szCs w:val="24"/>
        </w:rPr>
      </w:pPr>
    </w:p>
    <w:p w:rsidR="00DF4529" w:rsidRDefault="00DF4529" w:rsidP="002E7A65">
      <w:pPr>
        <w:pStyle w:val="NoSpacing"/>
        <w:ind w:left="544" w:hanging="544"/>
        <w:jc w:val="both"/>
        <w:rPr>
          <w:rFonts w:eastAsia="Times New Roman" w:cs="Arial"/>
          <w:bCs/>
          <w:szCs w:val="24"/>
        </w:rPr>
      </w:pPr>
      <w:r>
        <w:rPr>
          <w:rFonts w:eastAsia="Times New Roman" w:cs="Arial"/>
          <w:bCs/>
          <w:szCs w:val="24"/>
        </w:rPr>
        <w:t>14.</w:t>
      </w:r>
      <w:r>
        <w:rPr>
          <w:rFonts w:eastAsia="Times New Roman" w:cs="Arial"/>
          <w:bCs/>
          <w:szCs w:val="24"/>
        </w:rPr>
        <w:tab/>
      </w:r>
      <w:r w:rsidR="008F1F98">
        <w:rPr>
          <w:rFonts w:eastAsia="Times New Roman" w:cs="Arial"/>
          <w:bCs/>
          <w:szCs w:val="24"/>
        </w:rPr>
        <w:t xml:space="preserve">Overall, since the start of the City Deal period, </w:t>
      </w:r>
      <w:r w:rsidR="00085DAF">
        <w:rPr>
          <w:rFonts w:eastAsia="Times New Roman" w:cs="Arial"/>
          <w:bCs/>
          <w:szCs w:val="24"/>
        </w:rPr>
        <w:t xml:space="preserve">although </w:t>
      </w:r>
      <w:r w:rsidR="008F1F98">
        <w:rPr>
          <w:rFonts w:eastAsia="Times New Roman" w:cs="Arial"/>
          <w:bCs/>
          <w:szCs w:val="24"/>
        </w:rPr>
        <w:t xml:space="preserve">the </w:t>
      </w:r>
      <w:r w:rsidR="002856F1">
        <w:rPr>
          <w:rFonts w:eastAsia="Times New Roman" w:cs="Arial"/>
          <w:bCs/>
          <w:szCs w:val="24"/>
        </w:rPr>
        <w:t>e</w:t>
      </w:r>
      <w:r w:rsidR="008F1F98">
        <w:rPr>
          <w:rFonts w:eastAsia="Times New Roman" w:cs="Arial"/>
          <w:bCs/>
          <w:szCs w:val="24"/>
        </w:rPr>
        <w:t xml:space="preserve">volution of national policy has </w:t>
      </w:r>
      <w:r w:rsidR="002856F1">
        <w:rPr>
          <w:rFonts w:eastAsia="Times New Roman" w:cs="Arial"/>
          <w:bCs/>
          <w:szCs w:val="24"/>
        </w:rPr>
        <w:t xml:space="preserve">provided a </w:t>
      </w:r>
      <w:r w:rsidR="00EF42E5">
        <w:rPr>
          <w:rFonts w:eastAsia="Times New Roman" w:cs="Arial"/>
          <w:bCs/>
          <w:szCs w:val="24"/>
        </w:rPr>
        <w:t>stronger and robust basis upon which Local Planning Authorities can seek affordable housing contributions, it is the case that more recent changes to national policy have reduced both the range of sites from which affordable housing contributions can be sought and the proportion which can be sought. In addition, it is clear that future potential reforms to national policy may continue this trend.</w:t>
      </w:r>
    </w:p>
    <w:p w:rsidR="00DC1863" w:rsidRDefault="00DC1863" w:rsidP="000035F6">
      <w:pPr>
        <w:pStyle w:val="NoSpacing"/>
        <w:jc w:val="both"/>
        <w:rPr>
          <w:rFonts w:eastAsia="Times New Roman" w:cs="Arial"/>
          <w:bCs/>
          <w:szCs w:val="24"/>
          <w:u w:val="single"/>
        </w:rPr>
      </w:pPr>
    </w:p>
    <w:p w:rsidR="00EF42E5" w:rsidRPr="00EF42E5" w:rsidRDefault="00EF42E5" w:rsidP="002E7A65">
      <w:pPr>
        <w:pStyle w:val="NoSpacing"/>
        <w:ind w:left="544" w:hanging="544"/>
        <w:jc w:val="both"/>
        <w:rPr>
          <w:rFonts w:eastAsia="Times New Roman" w:cs="Arial"/>
          <w:bCs/>
          <w:szCs w:val="24"/>
          <w:u w:val="single"/>
        </w:rPr>
      </w:pPr>
      <w:r w:rsidRPr="00EF42E5">
        <w:rPr>
          <w:rFonts w:eastAsia="Times New Roman" w:cs="Arial"/>
          <w:bCs/>
          <w:szCs w:val="24"/>
          <w:u w:val="single"/>
        </w:rPr>
        <w:t>Performance – What has Been Delivered?</w:t>
      </w:r>
    </w:p>
    <w:p w:rsidR="00EF42E5" w:rsidRDefault="00EF42E5" w:rsidP="002E7A65">
      <w:pPr>
        <w:pStyle w:val="NoSpacing"/>
        <w:ind w:left="544" w:hanging="544"/>
        <w:jc w:val="both"/>
        <w:rPr>
          <w:rFonts w:eastAsia="Times New Roman" w:cs="Arial"/>
          <w:bCs/>
          <w:szCs w:val="24"/>
        </w:rPr>
      </w:pPr>
    </w:p>
    <w:p w:rsidR="00EF42E5" w:rsidRDefault="00EF42E5" w:rsidP="002E7A65">
      <w:pPr>
        <w:pStyle w:val="NoSpacing"/>
        <w:ind w:left="544" w:hanging="544"/>
        <w:jc w:val="both"/>
        <w:rPr>
          <w:rFonts w:eastAsia="Times New Roman" w:cs="Arial"/>
          <w:bCs/>
          <w:szCs w:val="24"/>
        </w:rPr>
      </w:pPr>
      <w:r>
        <w:rPr>
          <w:rFonts w:eastAsia="Times New Roman" w:cs="Arial"/>
          <w:bCs/>
          <w:szCs w:val="24"/>
        </w:rPr>
        <w:t>15.</w:t>
      </w:r>
      <w:r>
        <w:rPr>
          <w:rFonts w:eastAsia="Times New Roman" w:cs="Arial"/>
          <w:bCs/>
          <w:szCs w:val="24"/>
        </w:rPr>
        <w:tab/>
      </w:r>
      <w:r w:rsidRPr="004F3012">
        <w:rPr>
          <w:rFonts w:eastAsia="Times New Roman" w:cs="Arial"/>
          <w:b/>
          <w:bCs/>
          <w:szCs w:val="24"/>
        </w:rPr>
        <w:t>Table 1</w:t>
      </w:r>
      <w:r>
        <w:rPr>
          <w:rFonts w:eastAsia="Times New Roman" w:cs="Arial"/>
          <w:bCs/>
          <w:szCs w:val="24"/>
        </w:rPr>
        <w:t xml:space="preserve"> shows the total number of homes delivered across the </w:t>
      </w:r>
      <w:r w:rsidR="00DC1863">
        <w:rPr>
          <w:rFonts w:eastAsia="Times New Roman" w:cs="Arial"/>
          <w:bCs/>
          <w:szCs w:val="24"/>
        </w:rPr>
        <w:t>City Deal area from signing</w:t>
      </w:r>
      <w:r>
        <w:rPr>
          <w:rFonts w:eastAsia="Times New Roman" w:cs="Arial"/>
          <w:bCs/>
          <w:szCs w:val="24"/>
        </w:rPr>
        <w:t xml:space="preserve"> of the City Deal to date.</w:t>
      </w:r>
    </w:p>
    <w:p w:rsidR="00EF42E5" w:rsidRDefault="00EF42E5" w:rsidP="002E7A65">
      <w:pPr>
        <w:pStyle w:val="NoSpacing"/>
        <w:ind w:left="544" w:hanging="544"/>
        <w:jc w:val="both"/>
        <w:rPr>
          <w:rFonts w:eastAsia="Times New Roman" w:cs="Arial"/>
          <w:bCs/>
          <w:szCs w:val="24"/>
        </w:rPr>
      </w:pPr>
    </w:p>
    <w:p w:rsidR="00EF42E5" w:rsidRDefault="00EF42E5" w:rsidP="002E7A65">
      <w:pPr>
        <w:pStyle w:val="NoSpacing"/>
        <w:ind w:left="544" w:hanging="544"/>
        <w:jc w:val="both"/>
        <w:rPr>
          <w:rFonts w:eastAsia="Times New Roman" w:cs="Arial"/>
          <w:bCs/>
          <w:szCs w:val="24"/>
        </w:rPr>
      </w:pPr>
      <w:r>
        <w:rPr>
          <w:rFonts w:eastAsia="Times New Roman" w:cs="Arial"/>
          <w:bCs/>
          <w:szCs w:val="24"/>
        </w:rPr>
        <w:t>16.</w:t>
      </w:r>
      <w:r>
        <w:rPr>
          <w:rFonts w:eastAsia="Times New Roman" w:cs="Arial"/>
          <w:bCs/>
          <w:szCs w:val="24"/>
        </w:rPr>
        <w:tab/>
        <w:t>In the case of Preston these figures cover the period April 2013 to October 2020. In the case of South Ribble these figures cover the period April 2013 to April 2020.</w:t>
      </w:r>
    </w:p>
    <w:p w:rsidR="00EF42E5" w:rsidRDefault="00EF42E5" w:rsidP="002E7A65">
      <w:pPr>
        <w:pStyle w:val="NoSpacing"/>
        <w:ind w:left="544" w:hanging="544"/>
        <w:jc w:val="both"/>
        <w:rPr>
          <w:rFonts w:eastAsia="Times New Roman" w:cs="Arial"/>
          <w:bCs/>
          <w:szCs w:val="24"/>
        </w:rPr>
      </w:pPr>
    </w:p>
    <w:p w:rsidR="00EF42E5" w:rsidRDefault="00EF42E5" w:rsidP="002E7A65">
      <w:pPr>
        <w:pStyle w:val="NoSpacing"/>
        <w:ind w:left="544" w:hanging="544"/>
        <w:jc w:val="both"/>
        <w:rPr>
          <w:rFonts w:eastAsia="Times New Roman" w:cs="Arial"/>
          <w:bCs/>
          <w:szCs w:val="24"/>
        </w:rPr>
      </w:pPr>
    </w:p>
    <w:p w:rsidR="00EF42E5" w:rsidRDefault="00EF42E5" w:rsidP="002E7A65">
      <w:pPr>
        <w:pStyle w:val="NoSpacing"/>
        <w:ind w:left="544" w:hanging="544"/>
        <w:jc w:val="both"/>
        <w:rPr>
          <w:rFonts w:eastAsia="Times New Roman" w:cs="Arial"/>
          <w:bCs/>
          <w:szCs w:val="24"/>
        </w:rPr>
      </w:pPr>
    </w:p>
    <w:p w:rsidR="00EF42E5" w:rsidRDefault="00EF42E5" w:rsidP="002E7A65">
      <w:pPr>
        <w:pStyle w:val="NoSpacing"/>
        <w:ind w:left="544" w:hanging="544"/>
        <w:jc w:val="both"/>
        <w:rPr>
          <w:rFonts w:eastAsia="Times New Roman" w:cs="Arial"/>
          <w:bCs/>
          <w:szCs w:val="24"/>
        </w:rPr>
      </w:pPr>
    </w:p>
    <w:p w:rsidR="00DC1863" w:rsidRDefault="00DC1863" w:rsidP="00311BA3">
      <w:pPr>
        <w:pStyle w:val="NoSpacing"/>
        <w:jc w:val="both"/>
        <w:rPr>
          <w:rFonts w:cs="Arial"/>
          <w:b/>
          <w:sz w:val="20"/>
          <w:szCs w:val="20"/>
        </w:rPr>
      </w:pPr>
    </w:p>
    <w:p w:rsidR="00EF42E5" w:rsidRPr="00311BA3" w:rsidRDefault="00EF42E5" w:rsidP="002E7A65">
      <w:pPr>
        <w:pStyle w:val="NoSpacing"/>
        <w:ind w:left="544" w:hanging="544"/>
        <w:jc w:val="both"/>
        <w:rPr>
          <w:rFonts w:cs="Arial"/>
          <w:b/>
          <w:szCs w:val="24"/>
        </w:rPr>
      </w:pPr>
      <w:r w:rsidRPr="00311BA3">
        <w:rPr>
          <w:rFonts w:cs="Arial"/>
          <w:b/>
          <w:szCs w:val="24"/>
        </w:rPr>
        <w:t>Table 1 – Delivery of Affordable Homes</w:t>
      </w:r>
    </w:p>
    <w:p w:rsidR="00EF42E5" w:rsidRDefault="00EF42E5" w:rsidP="002E7A65">
      <w:pPr>
        <w:pStyle w:val="NoSpacing"/>
        <w:ind w:left="544" w:hanging="544"/>
        <w:jc w:val="both"/>
        <w:rPr>
          <w:rFonts w:cs="Arial"/>
        </w:rPr>
      </w:pPr>
    </w:p>
    <w:tbl>
      <w:tblPr>
        <w:tblW w:w="0" w:type="auto"/>
        <w:jc w:val="center"/>
        <w:tblCellMar>
          <w:left w:w="0" w:type="dxa"/>
          <w:right w:w="0" w:type="dxa"/>
        </w:tblCellMar>
        <w:tblLook w:val="04A0" w:firstRow="1" w:lastRow="0" w:firstColumn="1" w:lastColumn="0" w:noHBand="0" w:noVBand="1"/>
      </w:tblPr>
      <w:tblGrid>
        <w:gridCol w:w="3938"/>
        <w:gridCol w:w="1598"/>
        <w:gridCol w:w="1521"/>
        <w:gridCol w:w="1449"/>
      </w:tblGrid>
      <w:tr w:rsidR="00DC1863" w:rsidRPr="00EA5332" w:rsidTr="00DC1863">
        <w:trPr>
          <w:jc w:val="center"/>
        </w:trPr>
        <w:tc>
          <w:tcPr>
            <w:tcW w:w="39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C1863" w:rsidRPr="00311BA3" w:rsidRDefault="00DC1863" w:rsidP="00EA7BA4">
            <w:pPr>
              <w:pStyle w:val="NoSpacing"/>
              <w:jc w:val="both"/>
              <w:rPr>
                <w:rFonts w:cs="Arial"/>
                <w:b/>
                <w:bCs/>
                <w:szCs w:val="24"/>
              </w:rPr>
            </w:pPr>
          </w:p>
        </w:tc>
        <w:tc>
          <w:tcPr>
            <w:tcW w:w="159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C1863" w:rsidRPr="00311BA3" w:rsidRDefault="00DC1863" w:rsidP="00EF42E5">
            <w:pPr>
              <w:pStyle w:val="NoSpacing"/>
              <w:jc w:val="center"/>
              <w:rPr>
                <w:b/>
                <w:bCs/>
                <w:szCs w:val="24"/>
              </w:rPr>
            </w:pPr>
            <w:r w:rsidRPr="00311BA3">
              <w:rPr>
                <w:b/>
                <w:bCs/>
                <w:szCs w:val="24"/>
              </w:rPr>
              <w:t>Preston City Deal</w:t>
            </w:r>
          </w:p>
        </w:tc>
        <w:tc>
          <w:tcPr>
            <w:tcW w:w="152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C1863" w:rsidRPr="00311BA3" w:rsidRDefault="00DC1863" w:rsidP="00EF42E5">
            <w:pPr>
              <w:pStyle w:val="NoSpacing"/>
              <w:jc w:val="center"/>
              <w:rPr>
                <w:b/>
                <w:bCs/>
                <w:szCs w:val="24"/>
              </w:rPr>
            </w:pPr>
            <w:r w:rsidRPr="00311BA3">
              <w:rPr>
                <w:b/>
                <w:bCs/>
                <w:szCs w:val="24"/>
              </w:rPr>
              <w:t>South Ribble City Deal</w:t>
            </w:r>
          </w:p>
        </w:tc>
        <w:tc>
          <w:tcPr>
            <w:tcW w:w="1449" w:type="dxa"/>
            <w:tcBorders>
              <w:top w:val="single" w:sz="8" w:space="0" w:color="auto"/>
              <w:left w:val="nil"/>
              <w:bottom w:val="single" w:sz="8" w:space="0" w:color="auto"/>
              <w:right w:val="single" w:sz="8" w:space="0" w:color="auto"/>
            </w:tcBorders>
            <w:vAlign w:val="center"/>
          </w:tcPr>
          <w:p w:rsidR="00DC1863" w:rsidRPr="00311BA3" w:rsidRDefault="00DC1863" w:rsidP="00EF42E5">
            <w:pPr>
              <w:pStyle w:val="NoSpacing"/>
              <w:jc w:val="center"/>
              <w:rPr>
                <w:b/>
                <w:bCs/>
                <w:szCs w:val="24"/>
              </w:rPr>
            </w:pPr>
            <w:r w:rsidRPr="00311BA3">
              <w:rPr>
                <w:b/>
                <w:bCs/>
                <w:szCs w:val="24"/>
              </w:rPr>
              <w:t>Total Overall</w:t>
            </w:r>
          </w:p>
        </w:tc>
      </w:tr>
      <w:tr w:rsidR="00DC1863" w:rsidRPr="00EA5332" w:rsidTr="00DC1863">
        <w:trPr>
          <w:trHeight w:val="714"/>
          <w:jc w:val="center"/>
        </w:trPr>
        <w:tc>
          <w:tcPr>
            <w:tcW w:w="39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C1863" w:rsidRPr="00311BA3" w:rsidRDefault="00DC1863" w:rsidP="00EA7BA4">
            <w:pPr>
              <w:pStyle w:val="NoSpacing"/>
              <w:jc w:val="both"/>
              <w:rPr>
                <w:szCs w:val="24"/>
              </w:rPr>
            </w:pPr>
            <w:r w:rsidRPr="00311BA3">
              <w:rPr>
                <w:szCs w:val="24"/>
              </w:rPr>
              <w:t>Number of homes delivered 2013 to 2020</w:t>
            </w:r>
          </w:p>
        </w:tc>
        <w:tc>
          <w:tcPr>
            <w:tcW w:w="15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1863" w:rsidRPr="00311BA3" w:rsidRDefault="00DC1863" w:rsidP="00EF42E5">
            <w:pPr>
              <w:pStyle w:val="NoSpacing"/>
              <w:jc w:val="center"/>
              <w:rPr>
                <w:szCs w:val="24"/>
              </w:rPr>
            </w:pPr>
            <w:r w:rsidRPr="00311BA3">
              <w:rPr>
                <w:szCs w:val="24"/>
              </w:rPr>
              <w:t>4,430</w:t>
            </w:r>
          </w:p>
        </w:tc>
        <w:tc>
          <w:tcPr>
            <w:tcW w:w="15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C1863" w:rsidRPr="00311BA3" w:rsidRDefault="00DC1863" w:rsidP="00EF42E5">
            <w:pPr>
              <w:pStyle w:val="NoSpacing"/>
              <w:jc w:val="center"/>
              <w:rPr>
                <w:szCs w:val="24"/>
              </w:rPr>
            </w:pPr>
            <w:r w:rsidRPr="00311BA3">
              <w:rPr>
                <w:color w:val="000000"/>
                <w:szCs w:val="24"/>
              </w:rPr>
              <w:t>2,065</w:t>
            </w:r>
          </w:p>
        </w:tc>
        <w:tc>
          <w:tcPr>
            <w:tcW w:w="1449" w:type="dxa"/>
            <w:tcBorders>
              <w:top w:val="nil"/>
              <w:left w:val="nil"/>
              <w:bottom w:val="single" w:sz="8" w:space="0" w:color="auto"/>
              <w:right w:val="single" w:sz="8" w:space="0" w:color="auto"/>
            </w:tcBorders>
            <w:shd w:val="clear" w:color="auto" w:fill="auto"/>
            <w:vAlign w:val="center"/>
          </w:tcPr>
          <w:p w:rsidR="00DC1863" w:rsidRPr="00311BA3" w:rsidRDefault="00DC1863" w:rsidP="00DC1863">
            <w:pPr>
              <w:pStyle w:val="NoSpacing"/>
              <w:jc w:val="center"/>
              <w:rPr>
                <w:b/>
                <w:bCs/>
                <w:color w:val="000000"/>
                <w:szCs w:val="24"/>
              </w:rPr>
            </w:pPr>
            <w:r w:rsidRPr="00311BA3">
              <w:rPr>
                <w:b/>
                <w:bCs/>
                <w:color w:val="000000"/>
                <w:szCs w:val="24"/>
              </w:rPr>
              <w:t>6,495</w:t>
            </w:r>
          </w:p>
        </w:tc>
      </w:tr>
      <w:tr w:rsidR="00DC1863" w:rsidRPr="00EA5332" w:rsidTr="00DC1863">
        <w:trPr>
          <w:trHeight w:val="694"/>
          <w:jc w:val="center"/>
        </w:trPr>
        <w:tc>
          <w:tcPr>
            <w:tcW w:w="39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C1863" w:rsidRPr="00311BA3" w:rsidRDefault="00DC1863" w:rsidP="00EA7BA4">
            <w:pPr>
              <w:pStyle w:val="NoSpacing"/>
              <w:jc w:val="both"/>
              <w:rPr>
                <w:szCs w:val="24"/>
              </w:rPr>
            </w:pPr>
            <w:r w:rsidRPr="00311BA3">
              <w:rPr>
                <w:szCs w:val="24"/>
              </w:rPr>
              <w:t>Number of affordable homes delivered 2013 to 2020</w:t>
            </w:r>
          </w:p>
        </w:tc>
        <w:tc>
          <w:tcPr>
            <w:tcW w:w="15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1863" w:rsidRPr="00311BA3" w:rsidRDefault="00DC1863" w:rsidP="00EF42E5">
            <w:pPr>
              <w:pStyle w:val="NoSpacing"/>
              <w:jc w:val="center"/>
              <w:rPr>
                <w:szCs w:val="24"/>
              </w:rPr>
            </w:pPr>
            <w:r w:rsidRPr="00311BA3">
              <w:rPr>
                <w:szCs w:val="24"/>
              </w:rPr>
              <w:t>730</w:t>
            </w:r>
          </w:p>
        </w:tc>
        <w:tc>
          <w:tcPr>
            <w:tcW w:w="15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C1863" w:rsidRPr="00311BA3" w:rsidRDefault="00DC1863" w:rsidP="00EF42E5">
            <w:pPr>
              <w:pStyle w:val="NoSpacing"/>
              <w:jc w:val="center"/>
              <w:rPr>
                <w:szCs w:val="24"/>
              </w:rPr>
            </w:pPr>
            <w:r w:rsidRPr="00311BA3">
              <w:rPr>
                <w:szCs w:val="24"/>
              </w:rPr>
              <w:t>351</w:t>
            </w:r>
          </w:p>
        </w:tc>
        <w:tc>
          <w:tcPr>
            <w:tcW w:w="1449" w:type="dxa"/>
            <w:tcBorders>
              <w:top w:val="nil"/>
              <w:left w:val="nil"/>
              <w:bottom w:val="single" w:sz="8" w:space="0" w:color="auto"/>
              <w:right w:val="single" w:sz="8" w:space="0" w:color="auto"/>
            </w:tcBorders>
            <w:shd w:val="clear" w:color="auto" w:fill="auto"/>
            <w:vAlign w:val="center"/>
          </w:tcPr>
          <w:p w:rsidR="00DC1863" w:rsidRPr="00311BA3" w:rsidRDefault="00DC1863" w:rsidP="00DC1863">
            <w:pPr>
              <w:pStyle w:val="NoSpacing"/>
              <w:jc w:val="center"/>
              <w:rPr>
                <w:b/>
                <w:bCs/>
                <w:color w:val="000000"/>
                <w:szCs w:val="24"/>
              </w:rPr>
            </w:pPr>
            <w:r w:rsidRPr="00311BA3">
              <w:rPr>
                <w:b/>
                <w:bCs/>
                <w:color w:val="000000"/>
                <w:szCs w:val="24"/>
              </w:rPr>
              <w:t>1,081</w:t>
            </w:r>
          </w:p>
        </w:tc>
      </w:tr>
      <w:tr w:rsidR="00DC1863" w:rsidRPr="00EA5332" w:rsidTr="00DC1863">
        <w:trPr>
          <w:trHeight w:val="688"/>
          <w:jc w:val="center"/>
        </w:trPr>
        <w:tc>
          <w:tcPr>
            <w:tcW w:w="39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C1863" w:rsidRPr="00311BA3" w:rsidRDefault="00DC1863" w:rsidP="00EA7BA4">
            <w:pPr>
              <w:pStyle w:val="NoSpacing"/>
              <w:jc w:val="both"/>
              <w:rPr>
                <w:szCs w:val="24"/>
              </w:rPr>
            </w:pPr>
            <w:r w:rsidRPr="00311BA3">
              <w:rPr>
                <w:szCs w:val="24"/>
              </w:rPr>
              <w:t>Percentage affordable</w:t>
            </w:r>
          </w:p>
        </w:tc>
        <w:tc>
          <w:tcPr>
            <w:tcW w:w="15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1863" w:rsidRPr="00311BA3" w:rsidRDefault="00DC1863" w:rsidP="00EF42E5">
            <w:pPr>
              <w:pStyle w:val="NoSpacing"/>
              <w:jc w:val="center"/>
              <w:rPr>
                <w:szCs w:val="24"/>
              </w:rPr>
            </w:pPr>
            <w:r w:rsidRPr="00311BA3">
              <w:rPr>
                <w:szCs w:val="24"/>
              </w:rPr>
              <w:t>16.5%</w:t>
            </w:r>
          </w:p>
        </w:tc>
        <w:tc>
          <w:tcPr>
            <w:tcW w:w="15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C1863" w:rsidRPr="00311BA3" w:rsidRDefault="00DC1863" w:rsidP="00EF42E5">
            <w:pPr>
              <w:pStyle w:val="NoSpacing"/>
              <w:jc w:val="center"/>
              <w:rPr>
                <w:szCs w:val="24"/>
              </w:rPr>
            </w:pPr>
            <w:r w:rsidRPr="00311BA3">
              <w:rPr>
                <w:szCs w:val="24"/>
              </w:rPr>
              <w:t>16.9%</w:t>
            </w:r>
          </w:p>
        </w:tc>
        <w:tc>
          <w:tcPr>
            <w:tcW w:w="1449" w:type="dxa"/>
            <w:tcBorders>
              <w:top w:val="nil"/>
              <w:left w:val="nil"/>
              <w:bottom w:val="single" w:sz="8" w:space="0" w:color="auto"/>
              <w:right w:val="single" w:sz="8" w:space="0" w:color="auto"/>
            </w:tcBorders>
            <w:shd w:val="clear" w:color="auto" w:fill="auto"/>
            <w:vAlign w:val="center"/>
          </w:tcPr>
          <w:p w:rsidR="00DC1863" w:rsidRPr="00311BA3" w:rsidRDefault="00DC1863" w:rsidP="00EF42E5">
            <w:pPr>
              <w:spacing w:after="0" w:line="240" w:lineRule="auto"/>
              <w:jc w:val="center"/>
              <w:rPr>
                <w:rFonts w:ascii="Arial" w:hAnsi="Arial" w:cs="Arial"/>
                <w:b/>
                <w:bCs/>
                <w:sz w:val="24"/>
                <w:szCs w:val="24"/>
              </w:rPr>
            </w:pPr>
            <w:r w:rsidRPr="00311BA3">
              <w:rPr>
                <w:rFonts w:ascii="Arial" w:hAnsi="Arial" w:cs="Arial"/>
                <w:b/>
                <w:bCs/>
                <w:sz w:val="24"/>
                <w:szCs w:val="24"/>
              </w:rPr>
              <w:t>16.6%</w:t>
            </w:r>
          </w:p>
        </w:tc>
      </w:tr>
    </w:tbl>
    <w:p w:rsidR="00EF42E5" w:rsidRDefault="00EF42E5" w:rsidP="00EF42E5">
      <w:pPr>
        <w:pStyle w:val="NoSpacing"/>
        <w:ind w:left="544" w:hanging="544"/>
        <w:jc w:val="center"/>
        <w:rPr>
          <w:rFonts w:eastAsia="Times New Roman" w:cs="Arial"/>
          <w:bCs/>
          <w:szCs w:val="24"/>
        </w:rPr>
      </w:pPr>
    </w:p>
    <w:p w:rsidR="00EF42E5" w:rsidRDefault="004F3012" w:rsidP="002E7A65">
      <w:pPr>
        <w:pStyle w:val="NoSpacing"/>
        <w:ind w:left="544" w:hanging="544"/>
        <w:jc w:val="both"/>
        <w:rPr>
          <w:rFonts w:eastAsia="Times New Roman" w:cs="Arial"/>
          <w:bCs/>
          <w:szCs w:val="24"/>
        </w:rPr>
      </w:pPr>
      <w:r>
        <w:rPr>
          <w:rFonts w:eastAsia="Times New Roman" w:cs="Arial"/>
          <w:bCs/>
          <w:szCs w:val="24"/>
        </w:rPr>
        <w:t>17.</w:t>
      </w:r>
      <w:r>
        <w:rPr>
          <w:rFonts w:eastAsia="Times New Roman" w:cs="Arial"/>
          <w:bCs/>
          <w:szCs w:val="24"/>
        </w:rPr>
        <w:tab/>
        <w:t xml:space="preserve">Interrogation of the data in </w:t>
      </w:r>
      <w:r w:rsidRPr="004E23B9">
        <w:rPr>
          <w:rFonts w:eastAsia="Times New Roman" w:cs="Arial"/>
          <w:b/>
          <w:bCs/>
          <w:szCs w:val="24"/>
        </w:rPr>
        <w:t>Table 1</w:t>
      </w:r>
      <w:r>
        <w:rPr>
          <w:rFonts w:eastAsia="Times New Roman" w:cs="Arial"/>
          <w:bCs/>
          <w:szCs w:val="24"/>
        </w:rPr>
        <w:t xml:space="preserve"> in the most simplistic of terms reveals that</w:t>
      </w:r>
      <w:r w:rsidR="00DC1863">
        <w:rPr>
          <w:rFonts w:eastAsia="Times New Roman" w:cs="Arial"/>
          <w:bCs/>
          <w:szCs w:val="24"/>
        </w:rPr>
        <w:t xml:space="preserve"> </w:t>
      </w:r>
      <w:r>
        <w:rPr>
          <w:rFonts w:eastAsia="Times New Roman" w:cs="Arial"/>
          <w:bCs/>
          <w:szCs w:val="24"/>
        </w:rPr>
        <w:t xml:space="preserve">both Councils are failing to achieve the policy target of 30% affordable housing. Overall across the City Deal area, </w:t>
      </w:r>
      <w:r w:rsidR="00DC1863">
        <w:rPr>
          <w:rFonts w:eastAsia="Times New Roman" w:cs="Arial"/>
          <w:bCs/>
          <w:szCs w:val="24"/>
        </w:rPr>
        <w:t>16.6</w:t>
      </w:r>
      <w:r>
        <w:rPr>
          <w:rFonts w:eastAsia="Times New Roman" w:cs="Arial"/>
          <w:bCs/>
          <w:szCs w:val="24"/>
        </w:rPr>
        <w:t>% of housing development has been affordable.</w:t>
      </w:r>
    </w:p>
    <w:p w:rsidR="004F3012" w:rsidRDefault="004F3012" w:rsidP="002E7A65">
      <w:pPr>
        <w:pStyle w:val="NoSpacing"/>
        <w:ind w:left="544" w:hanging="544"/>
        <w:jc w:val="both"/>
        <w:rPr>
          <w:rFonts w:eastAsia="Times New Roman" w:cs="Arial"/>
          <w:bCs/>
          <w:szCs w:val="24"/>
        </w:rPr>
      </w:pPr>
    </w:p>
    <w:p w:rsidR="004F3012" w:rsidRDefault="004F3012" w:rsidP="002E7A65">
      <w:pPr>
        <w:pStyle w:val="NoSpacing"/>
        <w:ind w:left="544" w:hanging="544"/>
        <w:jc w:val="both"/>
        <w:rPr>
          <w:rFonts w:eastAsia="Times New Roman" w:cs="Arial"/>
          <w:bCs/>
          <w:szCs w:val="24"/>
        </w:rPr>
      </w:pPr>
      <w:r>
        <w:rPr>
          <w:rFonts w:eastAsia="Times New Roman" w:cs="Arial"/>
          <w:bCs/>
          <w:szCs w:val="24"/>
        </w:rPr>
        <w:t>18.</w:t>
      </w:r>
      <w:r>
        <w:rPr>
          <w:rFonts w:eastAsia="Times New Roman" w:cs="Arial"/>
          <w:bCs/>
          <w:szCs w:val="24"/>
        </w:rPr>
        <w:tab/>
        <w:t>However, as stated, this level of interrogation is highly simplistic, and arguably not particularly meaningful. First and foremost the biggest issue with proportional comparisons such as this is that, quite obviously given the explanation provided earlier in this report, not all the sites which contribute to the overall number of dwellings delivered will have even been eligible to provide an affordable housing contribution. Many dwellings delivered in the City Deal area are sourced from smaller windfall sites which do not breach the 15 dwelling minimum requirement in the main urban area or the 10 dwelling minimum requirement in rural areas.</w:t>
      </w:r>
      <w:r w:rsidR="006D211F">
        <w:rPr>
          <w:rFonts w:eastAsia="Times New Roman" w:cs="Arial"/>
          <w:bCs/>
          <w:szCs w:val="24"/>
        </w:rPr>
        <w:t xml:space="preserve"> Factoring this into account means that the data as shown in the table above will, in almost all cases, never reflect the policy target of 30% and that does not mean a policy failure is occurring, it simply means that not all sites meet the policy threshold.</w:t>
      </w:r>
    </w:p>
    <w:p w:rsidR="006D211F" w:rsidRDefault="006D211F" w:rsidP="002E7A65">
      <w:pPr>
        <w:pStyle w:val="NoSpacing"/>
        <w:ind w:left="544" w:hanging="544"/>
        <w:jc w:val="both"/>
        <w:rPr>
          <w:rFonts w:eastAsia="Times New Roman" w:cs="Arial"/>
          <w:bCs/>
          <w:szCs w:val="24"/>
        </w:rPr>
      </w:pPr>
    </w:p>
    <w:p w:rsidR="006D211F" w:rsidRDefault="006D211F" w:rsidP="002E7A65">
      <w:pPr>
        <w:pStyle w:val="NoSpacing"/>
        <w:ind w:left="544" w:hanging="544"/>
        <w:jc w:val="both"/>
        <w:rPr>
          <w:rFonts w:eastAsia="Times New Roman" w:cs="Arial"/>
          <w:bCs/>
          <w:szCs w:val="24"/>
        </w:rPr>
      </w:pPr>
      <w:r>
        <w:rPr>
          <w:rFonts w:eastAsia="Times New Roman" w:cs="Arial"/>
          <w:bCs/>
          <w:szCs w:val="24"/>
        </w:rPr>
        <w:t>19.</w:t>
      </w:r>
      <w:r>
        <w:rPr>
          <w:rFonts w:eastAsia="Times New Roman" w:cs="Arial"/>
          <w:bCs/>
          <w:szCs w:val="24"/>
        </w:rPr>
        <w:tab/>
        <w:t xml:space="preserve">Secondly, on larger sites, the phasing of development is key. Even if a housing development is granted planning permission on the basis of a policy ‘compliant’ 30% on-site provision, it may not be that in any given year the actual delivery of dwellings on the ground is 70% market housing, 30% affordable housing. Indeed it would be rather odd if it were. So, there is a clear time-lag and phasing issue which requires the simplistic data in </w:t>
      </w:r>
      <w:r w:rsidRPr="004E23B9">
        <w:rPr>
          <w:rFonts w:eastAsia="Times New Roman" w:cs="Arial"/>
          <w:b/>
          <w:bCs/>
          <w:szCs w:val="24"/>
        </w:rPr>
        <w:t>Table 1</w:t>
      </w:r>
      <w:r>
        <w:rPr>
          <w:rFonts w:eastAsia="Times New Roman" w:cs="Arial"/>
          <w:bCs/>
          <w:szCs w:val="24"/>
        </w:rPr>
        <w:t xml:space="preserve"> to treated cautiously. A major site may comprise several clusters of Registered Provider affordable housing that actually, due to grant funding arrangements for example, may only come on stream as a delivered affordable home in the fourth year of an eight or ten year construction programme. In all other years dwelling delivery statistics would be heavily skewed to market housing dominated delivery when actually the scheme is entirely policy ‘compliant’.</w:t>
      </w:r>
    </w:p>
    <w:p w:rsidR="006D211F" w:rsidRDefault="006D211F" w:rsidP="002E7A65">
      <w:pPr>
        <w:pStyle w:val="NoSpacing"/>
        <w:ind w:left="544" w:hanging="544"/>
        <w:jc w:val="both"/>
        <w:rPr>
          <w:rFonts w:eastAsia="Times New Roman" w:cs="Arial"/>
          <w:bCs/>
          <w:szCs w:val="24"/>
        </w:rPr>
      </w:pPr>
    </w:p>
    <w:p w:rsidR="006D211F" w:rsidRDefault="006D211F" w:rsidP="002E7A65">
      <w:pPr>
        <w:pStyle w:val="NoSpacing"/>
        <w:ind w:left="544" w:hanging="544"/>
        <w:jc w:val="both"/>
        <w:rPr>
          <w:rFonts w:eastAsia="Times New Roman" w:cs="Arial"/>
          <w:bCs/>
          <w:szCs w:val="24"/>
        </w:rPr>
      </w:pPr>
      <w:r>
        <w:rPr>
          <w:rFonts w:eastAsia="Times New Roman" w:cs="Arial"/>
          <w:bCs/>
          <w:szCs w:val="24"/>
        </w:rPr>
        <w:lastRenderedPageBreak/>
        <w:t>20.</w:t>
      </w:r>
      <w:r>
        <w:rPr>
          <w:rFonts w:eastAsia="Times New Roman" w:cs="Arial"/>
          <w:bCs/>
          <w:szCs w:val="24"/>
        </w:rPr>
        <w:tab/>
      </w:r>
      <w:r w:rsidR="00B26C06">
        <w:rPr>
          <w:rFonts w:eastAsia="Times New Roman" w:cs="Arial"/>
          <w:bCs/>
          <w:szCs w:val="24"/>
        </w:rPr>
        <w:t xml:space="preserve">Indeed, looking comparatively at affordable housing delivery in the City Deal area against affordable housing delivery across Lancashire since City Deal </w:t>
      </w:r>
      <w:r w:rsidR="00EB54A7">
        <w:rPr>
          <w:rFonts w:eastAsia="Times New Roman" w:cs="Arial"/>
          <w:bCs/>
          <w:szCs w:val="24"/>
        </w:rPr>
        <w:t>was signed</w:t>
      </w:r>
      <w:r w:rsidR="00B26C06">
        <w:rPr>
          <w:rFonts w:eastAsia="Times New Roman" w:cs="Arial"/>
          <w:bCs/>
          <w:szCs w:val="24"/>
        </w:rPr>
        <w:t xml:space="preserve"> paints a very positive picture. Ministry of Housing Communities and Local Government (MHCLG) statistics published nationally can often show slight variances to the locally available information (shown in </w:t>
      </w:r>
      <w:r w:rsidR="00B26C06" w:rsidRPr="00323540">
        <w:rPr>
          <w:rFonts w:eastAsia="Times New Roman" w:cs="Arial"/>
          <w:b/>
          <w:bCs/>
          <w:szCs w:val="24"/>
        </w:rPr>
        <w:t>Table 1</w:t>
      </w:r>
      <w:r w:rsidR="00B26C06">
        <w:rPr>
          <w:rFonts w:eastAsia="Times New Roman" w:cs="Arial"/>
          <w:bCs/>
          <w:szCs w:val="24"/>
        </w:rPr>
        <w:t>) fo</w:t>
      </w:r>
      <w:r w:rsidR="00DC1863">
        <w:rPr>
          <w:rFonts w:eastAsia="Times New Roman" w:cs="Arial"/>
          <w:bCs/>
          <w:szCs w:val="24"/>
        </w:rPr>
        <w:t>r a number of reasons, but this data</w:t>
      </w:r>
      <w:r w:rsidR="00B26C06">
        <w:rPr>
          <w:rFonts w:eastAsia="Times New Roman" w:cs="Arial"/>
          <w:bCs/>
          <w:szCs w:val="24"/>
        </w:rPr>
        <w:t xml:space="preserve"> do</w:t>
      </w:r>
      <w:r w:rsidR="00DC1863">
        <w:rPr>
          <w:rFonts w:eastAsia="Times New Roman" w:cs="Arial"/>
          <w:bCs/>
          <w:szCs w:val="24"/>
        </w:rPr>
        <w:t>es</w:t>
      </w:r>
      <w:r w:rsidR="00B26C06">
        <w:rPr>
          <w:rFonts w:eastAsia="Times New Roman" w:cs="Arial"/>
          <w:bCs/>
          <w:szCs w:val="24"/>
        </w:rPr>
        <w:t xml:space="preserve"> show</w:t>
      </w:r>
      <w:r w:rsidR="00DC1863">
        <w:rPr>
          <w:rFonts w:eastAsia="Times New Roman" w:cs="Arial"/>
          <w:bCs/>
          <w:szCs w:val="24"/>
        </w:rPr>
        <w:t xml:space="preserve"> in the same period of time</w:t>
      </w:r>
      <w:r w:rsidR="00B26C06">
        <w:rPr>
          <w:rFonts w:eastAsia="Times New Roman" w:cs="Arial"/>
          <w:bCs/>
          <w:szCs w:val="24"/>
        </w:rPr>
        <w:t xml:space="preserve"> a total delivery of 878 affordable dwellings in Preston and 610 in South Ribble. Overall that calculates as </w:t>
      </w:r>
      <w:r w:rsidR="00A52FA4">
        <w:rPr>
          <w:rFonts w:eastAsia="Times New Roman" w:cs="Arial"/>
          <w:bCs/>
          <w:szCs w:val="24"/>
        </w:rPr>
        <w:t>1,488 which represents an annual average delivery of 248 affordable dwellings across the City Deal area.</w:t>
      </w:r>
    </w:p>
    <w:p w:rsidR="00A52FA4" w:rsidRDefault="00A52FA4" w:rsidP="002E7A65">
      <w:pPr>
        <w:pStyle w:val="NoSpacing"/>
        <w:ind w:left="544" w:hanging="544"/>
        <w:jc w:val="both"/>
        <w:rPr>
          <w:rFonts w:eastAsia="Times New Roman" w:cs="Arial"/>
          <w:bCs/>
          <w:szCs w:val="24"/>
        </w:rPr>
      </w:pPr>
    </w:p>
    <w:p w:rsidR="00A52FA4" w:rsidRDefault="00A52FA4" w:rsidP="002E7A65">
      <w:pPr>
        <w:pStyle w:val="NoSpacing"/>
        <w:ind w:left="544" w:hanging="544"/>
        <w:jc w:val="both"/>
        <w:rPr>
          <w:rFonts w:eastAsia="Times New Roman" w:cs="Arial"/>
          <w:bCs/>
          <w:szCs w:val="24"/>
        </w:rPr>
      </w:pPr>
      <w:r>
        <w:rPr>
          <w:rFonts w:eastAsia="Times New Roman" w:cs="Arial"/>
          <w:bCs/>
          <w:szCs w:val="24"/>
        </w:rPr>
        <w:t>21.</w:t>
      </w:r>
      <w:r>
        <w:rPr>
          <w:rFonts w:eastAsia="Times New Roman" w:cs="Arial"/>
          <w:bCs/>
          <w:szCs w:val="24"/>
        </w:rPr>
        <w:tab/>
        <w:t>In Lancashire only Chorley (917) has delivered more affordable housing than Preston in the same period of tim</w:t>
      </w:r>
      <w:r w:rsidR="003E6879">
        <w:rPr>
          <w:rFonts w:eastAsia="Times New Roman" w:cs="Arial"/>
          <w:bCs/>
          <w:szCs w:val="24"/>
        </w:rPr>
        <w:t xml:space="preserve">e </w:t>
      </w:r>
      <w:r>
        <w:rPr>
          <w:rFonts w:eastAsia="Times New Roman" w:cs="Arial"/>
          <w:bCs/>
          <w:szCs w:val="24"/>
        </w:rPr>
        <w:t>with South Ribble in sixth place over the City Deal period.</w:t>
      </w:r>
    </w:p>
    <w:p w:rsidR="00A52FA4" w:rsidRDefault="00A52FA4" w:rsidP="002E7A65">
      <w:pPr>
        <w:pStyle w:val="NoSpacing"/>
        <w:ind w:left="544" w:hanging="544"/>
        <w:jc w:val="both"/>
        <w:rPr>
          <w:rFonts w:eastAsia="Times New Roman" w:cs="Arial"/>
          <w:bCs/>
          <w:szCs w:val="24"/>
        </w:rPr>
      </w:pPr>
    </w:p>
    <w:p w:rsidR="00A52FA4" w:rsidRDefault="00A52FA4" w:rsidP="002E7A65">
      <w:pPr>
        <w:pStyle w:val="NoSpacing"/>
        <w:ind w:left="544" w:hanging="544"/>
        <w:jc w:val="both"/>
        <w:rPr>
          <w:rFonts w:eastAsia="Times New Roman" w:cs="Arial"/>
          <w:bCs/>
          <w:szCs w:val="24"/>
        </w:rPr>
      </w:pPr>
      <w:r>
        <w:rPr>
          <w:rFonts w:eastAsia="Times New Roman" w:cs="Arial"/>
          <w:bCs/>
          <w:szCs w:val="24"/>
        </w:rPr>
        <w:t>22.</w:t>
      </w:r>
      <w:r>
        <w:rPr>
          <w:rFonts w:eastAsia="Times New Roman" w:cs="Arial"/>
          <w:bCs/>
          <w:szCs w:val="24"/>
        </w:rPr>
        <w:tab/>
        <w:t>In the six years previous to City Deal a total of 328 affordable dwellings were delivered in Preston, representing an annualised average of 55 affordable dwellings. This means that affordable housing delivery has increased by almost 168% in Preston in the seven years since the City Deal started compared to the six years prior to it starting.</w:t>
      </w:r>
    </w:p>
    <w:p w:rsidR="00A52FA4" w:rsidRDefault="00A52FA4" w:rsidP="002E7A65">
      <w:pPr>
        <w:pStyle w:val="NoSpacing"/>
        <w:ind w:left="544" w:hanging="544"/>
        <w:jc w:val="both"/>
        <w:rPr>
          <w:rFonts w:eastAsia="Times New Roman" w:cs="Arial"/>
          <w:bCs/>
          <w:szCs w:val="24"/>
        </w:rPr>
      </w:pPr>
    </w:p>
    <w:p w:rsidR="00A52FA4" w:rsidRDefault="00A52FA4" w:rsidP="002E7A65">
      <w:pPr>
        <w:pStyle w:val="NoSpacing"/>
        <w:ind w:left="544" w:hanging="544"/>
        <w:jc w:val="both"/>
        <w:rPr>
          <w:rFonts w:eastAsia="Times New Roman" w:cs="Arial"/>
          <w:bCs/>
          <w:szCs w:val="24"/>
        </w:rPr>
      </w:pPr>
      <w:r>
        <w:rPr>
          <w:rFonts w:eastAsia="Times New Roman" w:cs="Arial"/>
          <w:bCs/>
          <w:szCs w:val="24"/>
        </w:rPr>
        <w:t>23.</w:t>
      </w:r>
      <w:r>
        <w:rPr>
          <w:rFonts w:eastAsia="Times New Roman" w:cs="Arial"/>
          <w:bCs/>
          <w:szCs w:val="24"/>
        </w:rPr>
        <w:tab/>
        <w:t>Isolating the most up to date information on affordable housing delivery across Lancashire, for the 2019/2020 monitoring period, only West Lancashire (259) has delivered more affordable housing than South Ribble (229), with Preston (182) sitting in third place.</w:t>
      </w:r>
      <w:r w:rsidR="00323540">
        <w:rPr>
          <w:rFonts w:eastAsia="Times New Roman" w:cs="Arial"/>
          <w:bCs/>
          <w:szCs w:val="24"/>
        </w:rPr>
        <w:t xml:space="preserve"> Looking outside of Lancashire, this performance isn’t out of kilter with that of Salford (301) or Liverpool (255).</w:t>
      </w:r>
    </w:p>
    <w:p w:rsidR="00323540" w:rsidRDefault="00323540" w:rsidP="002E7A65">
      <w:pPr>
        <w:pStyle w:val="NoSpacing"/>
        <w:ind w:left="544" w:hanging="544"/>
        <w:jc w:val="both"/>
        <w:rPr>
          <w:rFonts w:eastAsia="Times New Roman" w:cs="Arial"/>
          <w:bCs/>
          <w:szCs w:val="24"/>
        </w:rPr>
      </w:pPr>
    </w:p>
    <w:p w:rsidR="00323540" w:rsidRDefault="00323540" w:rsidP="002E7A65">
      <w:pPr>
        <w:pStyle w:val="NoSpacing"/>
        <w:ind w:left="544" w:hanging="544"/>
        <w:jc w:val="both"/>
        <w:rPr>
          <w:rFonts w:eastAsia="Times New Roman" w:cs="Arial"/>
          <w:bCs/>
          <w:szCs w:val="24"/>
        </w:rPr>
      </w:pPr>
      <w:r>
        <w:rPr>
          <w:rFonts w:eastAsia="Times New Roman" w:cs="Arial"/>
          <w:bCs/>
          <w:szCs w:val="24"/>
        </w:rPr>
        <w:t>24.</w:t>
      </w:r>
      <w:r>
        <w:rPr>
          <w:rFonts w:eastAsia="Times New Roman" w:cs="Arial"/>
          <w:bCs/>
          <w:szCs w:val="24"/>
        </w:rPr>
        <w:tab/>
        <w:t xml:space="preserve">Indeed, when one interrogates the Lancashire wide data for the last year further, it is apparent that of the affordable houses delivered, only Burnley (156) has delivered more </w:t>
      </w:r>
      <w:r w:rsidR="002D4466">
        <w:rPr>
          <w:rFonts w:eastAsia="Times New Roman" w:cs="Arial"/>
          <w:bCs/>
          <w:szCs w:val="24"/>
        </w:rPr>
        <w:t xml:space="preserve">affordable </w:t>
      </w:r>
      <w:r>
        <w:rPr>
          <w:rFonts w:eastAsia="Times New Roman" w:cs="Arial"/>
          <w:bCs/>
          <w:szCs w:val="24"/>
        </w:rPr>
        <w:t>rented tenure than Preston (146), a figure which is comparable to Liverpool (163) and higher than Manchester (96).</w:t>
      </w:r>
    </w:p>
    <w:p w:rsidR="00323540" w:rsidRDefault="00323540" w:rsidP="002E7A65">
      <w:pPr>
        <w:pStyle w:val="NoSpacing"/>
        <w:ind w:left="544" w:hanging="544"/>
        <w:jc w:val="both"/>
        <w:rPr>
          <w:rFonts w:eastAsia="Times New Roman" w:cs="Arial"/>
          <w:bCs/>
          <w:szCs w:val="24"/>
        </w:rPr>
      </w:pPr>
    </w:p>
    <w:p w:rsidR="00323540" w:rsidRDefault="00323540" w:rsidP="002E7A65">
      <w:pPr>
        <w:pStyle w:val="NoSpacing"/>
        <w:ind w:left="544" w:hanging="544"/>
        <w:jc w:val="both"/>
        <w:rPr>
          <w:rFonts w:eastAsia="Times New Roman" w:cs="Arial"/>
          <w:bCs/>
          <w:szCs w:val="24"/>
        </w:rPr>
      </w:pPr>
      <w:r>
        <w:rPr>
          <w:rFonts w:eastAsia="Times New Roman" w:cs="Arial"/>
          <w:bCs/>
          <w:szCs w:val="24"/>
        </w:rPr>
        <w:t>25.</w:t>
      </w:r>
      <w:r>
        <w:rPr>
          <w:rFonts w:eastAsia="Times New Roman" w:cs="Arial"/>
          <w:bCs/>
          <w:szCs w:val="24"/>
        </w:rPr>
        <w:tab/>
        <w:t xml:space="preserve">In actual terms therefore, rather than the proportional comparison in </w:t>
      </w:r>
      <w:r w:rsidRPr="00323540">
        <w:rPr>
          <w:rFonts w:eastAsia="Times New Roman" w:cs="Arial"/>
          <w:b/>
          <w:bCs/>
          <w:szCs w:val="24"/>
        </w:rPr>
        <w:t>Table 1</w:t>
      </w:r>
      <w:r>
        <w:rPr>
          <w:rFonts w:eastAsia="Times New Roman" w:cs="Arial"/>
          <w:bCs/>
          <w:szCs w:val="24"/>
        </w:rPr>
        <w:t>, the data shows that the track record on affordable housing delivery across the City Deal area, and most recently, compares favourably to the rest of Lancashire and even to the larger cities in the North West region.</w:t>
      </w:r>
    </w:p>
    <w:p w:rsidR="00323540" w:rsidRDefault="00323540" w:rsidP="002E7A65">
      <w:pPr>
        <w:pStyle w:val="NoSpacing"/>
        <w:ind w:left="544" w:hanging="544"/>
        <w:jc w:val="both"/>
        <w:rPr>
          <w:rFonts w:eastAsia="Times New Roman" w:cs="Arial"/>
          <w:bCs/>
          <w:szCs w:val="24"/>
        </w:rPr>
      </w:pPr>
    </w:p>
    <w:p w:rsidR="00323540" w:rsidRPr="00323540" w:rsidRDefault="00323540" w:rsidP="002E7A65">
      <w:pPr>
        <w:pStyle w:val="NoSpacing"/>
        <w:ind w:left="544" w:hanging="544"/>
        <w:jc w:val="both"/>
        <w:rPr>
          <w:rFonts w:eastAsia="Times New Roman" w:cs="Arial"/>
          <w:bCs/>
          <w:szCs w:val="24"/>
          <w:u w:val="single"/>
        </w:rPr>
      </w:pPr>
      <w:r w:rsidRPr="00323540">
        <w:rPr>
          <w:rFonts w:eastAsia="Times New Roman" w:cs="Arial"/>
          <w:bCs/>
          <w:szCs w:val="24"/>
          <w:u w:val="single"/>
        </w:rPr>
        <w:t>The Challenges</w:t>
      </w:r>
    </w:p>
    <w:p w:rsidR="00323540" w:rsidRDefault="00323540" w:rsidP="002E7A65">
      <w:pPr>
        <w:pStyle w:val="NoSpacing"/>
        <w:ind w:left="544" w:hanging="544"/>
        <w:jc w:val="both"/>
        <w:rPr>
          <w:rFonts w:eastAsia="Times New Roman" w:cs="Arial"/>
          <w:bCs/>
          <w:szCs w:val="24"/>
        </w:rPr>
      </w:pPr>
    </w:p>
    <w:p w:rsidR="004311AC" w:rsidRDefault="00323540" w:rsidP="002E7A65">
      <w:pPr>
        <w:pStyle w:val="NoSpacing"/>
        <w:ind w:left="544" w:hanging="544"/>
        <w:jc w:val="both"/>
        <w:rPr>
          <w:rFonts w:eastAsia="Times New Roman" w:cs="Arial"/>
          <w:bCs/>
          <w:szCs w:val="24"/>
        </w:rPr>
      </w:pPr>
      <w:r>
        <w:rPr>
          <w:rFonts w:eastAsia="Times New Roman" w:cs="Arial"/>
          <w:bCs/>
          <w:szCs w:val="24"/>
        </w:rPr>
        <w:t>26.</w:t>
      </w:r>
      <w:r>
        <w:rPr>
          <w:rFonts w:eastAsia="Times New Roman" w:cs="Arial"/>
          <w:bCs/>
          <w:szCs w:val="24"/>
        </w:rPr>
        <w:tab/>
        <w:t>Of course this strong performance across the City Deal doesn’t come without its challenges,</w:t>
      </w:r>
      <w:r w:rsidR="004311AC">
        <w:rPr>
          <w:rFonts w:eastAsia="Times New Roman" w:cs="Arial"/>
          <w:bCs/>
          <w:szCs w:val="24"/>
        </w:rPr>
        <w:t xml:space="preserve"> and indeed it is the case that officers believe affordable housing delivery could and should be improved. There are however limitations to this.</w:t>
      </w:r>
    </w:p>
    <w:p w:rsidR="004311AC" w:rsidRDefault="004311AC" w:rsidP="002E7A65">
      <w:pPr>
        <w:pStyle w:val="NoSpacing"/>
        <w:ind w:left="544" w:hanging="544"/>
        <w:jc w:val="both"/>
        <w:rPr>
          <w:rFonts w:eastAsia="Times New Roman" w:cs="Arial"/>
          <w:bCs/>
          <w:szCs w:val="24"/>
        </w:rPr>
      </w:pPr>
    </w:p>
    <w:p w:rsidR="00323540" w:rsidRDefault="004311AC" w:rsidP="002E7A65">
      <w:pPr>
        <w:pStyle w:val="NoSpacing"/>
        <w:ind w:left="544" w:hanging="544"/>
        <w:jc w:val="both"/>
        <w:rPr>
          <w:rFonts w:eastAsia="Times New Roman" w:cs="Arial"/>
          <w:bCs/>
          <w:szCs w:val="24"/>
        </w:rPr>
      </w:pPr>
      <w:r>
        <w:rPr>
          <w:rFonts w:eastAsia="Times New Roman" w:cs="Arial"/>
          <w:bCs/>
          <w:szCs w:val="24"/>
        </w:rPr>
        <w:t>27.</w:t>
      </w:r>
      <w:r>
        <w:rPr>
          <w:rFonts w:eastAsia="Times New Roman" w:cs="Arial"/>
          <w:bCs/>
          <w:szCs w:val="24"/>
        </w:rPr>
        <w:tab/>
        <w:t xml:space="preserve">Development viability is the critical matter which constrains the delivery of affordable housing. Across the City Deal area CIL is a non-negotiable flat rate fee for developers to pay. The Framework advises that development viability is a critical consideration as part of the decision-making process and that any planning obligation, be it an on or off-site financial contribution or otherwise must </w:t>
      </w:r>
      <w:r>
        <w:rPr>
          <w:rFonts w:eastAsia="Times New Roman" w:cs="Arial"/>
          <w:bCs/>
          <w:szCs w:val="24"/>
        </w:rPr>
        <w:lastRenderedPageBreak/>
        <w:t>be</w:t>
      </w:r>
      <w:r w:rsidR="002D4466">
        <w:rPr>
          <w:rFonts w:eastAsia="Times New Roman" w:cs="Arial"/>
          <w:bCs/>
          <w:szCs w:val="24"/>
        </w:rPr>
        <w:t>:</w:t>
      </w:r>
      <w:r w:rsidR="00B87D93">
        <w:rPr>
          <w:rFonts w:eastAsia="Times New Roman" w:cs="Arial"/>
          <w:bCs/>
          <w:szCs w:val="24"/>
        </w:rPr>
        <w:t xml:space="preserve"> n</w:t>
      </w:r>
      <w:r>
        <w:rPr>
          <w:rFonts w:eastAsia="Times New Roman" w:cs="Arial"/>
          <w:bCs/>
          <w:szCs w:val="24"/>
        </w:rPr>
        <w:t>ecessary to make a development acceptable; directly related to a development; and fairly and reasonable related in scale and kind to a development (Paragraph 56 of the Framework).</w:t>
      </w:r>
    </w:p>
    <w:p w:rsidR="00735B53" w:rsidRDefault="00735B53" w:rsidP="002E7A65">
      <w:pPr>
        <w:pStyle w:val="NoSpacing"/>
        <w:ind w:left="544" w:hanging="544"/>
        <w:jc w:val="both"/>
        <w:rPr>
          <w:rFonts w:eastAsia="Times New Roman" w:cs="Arial"/>
          <w:bCs/>
          <w:szCs w:val="24"/>
        </w:rPr>
      </w:pPr>
    </w:p>
    <w:p w:rsidR="00735B53" w:rsidRDefault="00735B53" w:rsidP="002E7A65">
      <w:pPr>
        <w:pStyle w:val="NoSpacing"/>
        <w:ind w:left="544" w:hanging="544"/>
        <w:jc w:val="both"/>
        <w:rPr>
          <w:rFonts w:eastAsia="Times New Roman" w:cs="Arial"/>
          <w:bCs/>
          <w:szCs w:val="24"/>
        </w:rPr>
      </w:pPr>
      <w:r>
        <w:rPr>
          <w:rFonts w:eastAsia="Times New Roman" w:cs="Arial"/>
          <w:bCs/>
          <w:szCs w:val="24"/>
        </w:rPr>
        <w:t>28.</w:t>
      </w:r>
      <w:r>
        <w:rPr>
          <w:rFonts w:eastAsia="Times New Roman" w:cs="Arial"/>
          <w:bCs/>
          <w:szCs w:val="24"/>
        </w:rPr>
        <w:tab/>
        <w:t>The 30% target set out in Policy 7 of the Central Lancashire Core Strategy is just that, a target, it is not a minimum requirement. The actual amount agreed with a developer is, as stated in the wording of the policy, related to financial viability and competing planning obligations.</w:t>
      </w:r>
    </w:p>
    <w:p w:rsidR="00735B53" w:rsidRDefault="00735B53" w:rsidP="002E7A65">
      <w:pPr>
        <w:pStyle w:val="NoSpacing"/>
        <w:ind w:left="544" w:hanging="544"/>
        <w:jc w:val="both"/>
        <w:rPr>
          <w:rFonts w:eastAsia="Times New Roman" w:cs="Arial"/>
          <w:bCs/>
          <w:szCs w:val="24"/>
        </w:rPr>
      </w:pPr>
    </w:p>
    <w:p w:rsidR="00735B53" w:rsidRDefault="00735B53" w:rsidP="002E7A65">
      <w:pPr>
        <w:pStyle w:val="NoSpacing"/>
        <w:ind w:left="544" w:hanging="544"/>
        <w:jc w:val="both"/>
        <w:rPr>
          <w:rFonts w:eastAsia="Times New Roman" w:cs="Arial"/>
          <w:bCs/>
          <w:szCs w:val="24"/>
        </w:rPr>
      </w:pPr>
      <w:r>
        <w:rPr>
          <w:rFonts w:eastAsia="Times New Roman" w:cs="Arial"/>
          <w:bCs/>
          <w:szCs w:val="24"/>
        </w:rPr>
        <w:t>29.</w:t>
      </w:r>
      <w:r>
        <w:rPr>
          <w:rFonts w:eastAsia="Times New Roman" w:cs="Arial"/>
          <w:bCs/>
          <w:szCs w:val="24"/>
        </w:rPr>
        <w:tab/>
        <w:t>On major development sites the list of planning obligations required from an applicant/developer is often considerable. The fixed CIL rate can potentially then be subject to additional ‘asks’ in the form of, for example; a contribution to education provision; a contribution toward a specific highway improvement; a contribution to the provision of public open space and its maintenance in perpetuity; and, an affordable housing contribution.</w:t>
      </w:r>
    </w:p>
    <w:p w:rsidR="00735B53" w:rsidRDefault="00735B53" w:rsidP="002E7A65">
      <w:pPr>
        <w:pStyle w:val="NoSpacing"/>
        <w:ind w:left="544" w:hanging="544"/>
        <w:jc w:val="both"/>
        <w:rPr>
          <w:rFonts w:eastAsia="Times New Roman" w:cs="Arial"/>
          <w:bCs/>
          <w:szCs w:val="24"/>
        </w:rPr>
      </w:pPr>
    </w:p>
    <w:p w:rsidR="00735B53" w:rsidRDefault="00735B53" w:rsidP="002E7A65">
      <w:pPr>
        <w:pStyle w:val="NoSpacing"/>
        <w:ind w:left="544" w:hanging="544"/>
        <w:jc w:val="both"/>
        <w:rPr>
          <w:rFonts w:eastAsia="Times New Roman" w:cs="Arial"/>
          <w:bCs/>
          <w:szCs w:val="24"/>
        </w:rPr>
      </w:pPr>
      <w:r>
        <w:rPr>
          <w:rFonts w:eastAsia="Times New Roman" w:cs="Arial"/>
          <w:bCs/>
          <w:szCs w:val="24"/>
        </w:rPr>
        <w:t>30.</w:t>
      </w:r>
      <w:r>
        <w:rPr>
          <w:rFonts w:eastAsia="Times New Roman" w:cs="Arial"/>
          <w:bCs/>
          <w:szCs w:val="24"/>
        </w:rPr>
        <w:tab/>
        <w:t>It is often the case that applicant</w:t>
      </w:r>
      <w:r w:rsidR="002D4466">
        <w:rPr>
          <w:rFonts w:eastAsia="Times New Roman" w:cs="Arial"/>
          <w:bCs/>
          <w:szCs w:val="24"/>
        </w:rPr>
        <w:t>s</w:t>
      </w:r>
      <w:r>
        <w:rPr>
          <w:rFonts w:eastAsia="Times New Roman" w:cs="Arial"/>
          <w:bCs/>
          <w:szCs w:val="24"/>
        </w:rPr>
        <w:t>/developers will submit a Viability Appraisal alongside their planning application which factors in all the planning obligations requested, alongside the building costs, which are then balanced by the land value and the profits forthcoming from that. The conclusion of the Viability Appraisal will, more often than not, be that if the applicant/developer were to fulfil all planning obligations the development as a whole would not be viable and would not therefore take place.</w:t>
      </w:r>
    </w:p>
    <w:p w:rsidR="00735B53" w:rsidRDefault="00735B53" w:rsidP="002E7A65">
      <w:pPr>
        <w:pStyle w:val="NoSpacing"/>
        <w:ind w:left="544" w:hanging="544"/>
        <w:jc w:val="both"/>
        <w:rPr>
          <w:rFonts w:eastAsia="Times New Roman" w:cs="Arial"/>
          <w:bCs/>
          <w:szCs w:val="24"/>
        </w:rPr>
      </w:pPr>
    </w:p>
    <w:p w:rsidR="002B0382" w:rsidRDefault="00735B53" w:rsidP="002E7A65">
      <w:pPr>
        <w:pStyle w:val="NoSpacing"/>
        <w:ind w:left="544" w:hanging="544"/>
        <w:jc w:val="both"/>
        <w:rPr>
          <w:rFonts w:eastAsia="Times New Roman" w:cs="Arial"/>
          <w:bCs/>
          <w:szCs w:val="24"/>
        </w:rPr>
      </w:pPr>
      <w:r>
        <w:rPr>
          <w:rFonts w:eastAsia="Times New Roman" w:cs="Arial"/>
          <w:bCs/>
          <w:szCs w:val="24"/>
        </w:rPr>
        <w:t>31.</w:t>
      </w:r>
      <w:r>
        <w:rPr>
          <w:rFonts w:eastAsia="Times New Roman" w:cs="Arial"/>
          <w:bCs/>
          <w:szCs w:val="24"/>
        </w:rPr>
        <w:tab/>
      </w:r>
      <w:r w:rsidR="002B0382">
        <w:rPr>
          <w:rFonts w:eastAsia="Times New Roman" w:cs="Arial"/>
          <w:bCs/>
          <w:szCs w:val="24"/>
        </w:rPr>
        <w:t xml:space="preserve">What then takes place is a period of negotiation between the Local Planning Authority and the applicant/developer with the aim being to maximise the contributions from the development proposed. This process needs to </w:t>
      </w:r>
      <w:r w:rsidR="002D4466">
        <w:rPr>
          <w:rFonts w:eastAsia="Times New Roman" w:cs="Arial"/>
          <w:bCs/>
          <w:szCs w:val="24"/>
        </w:rPr>
        <w:t xml:space="preserve">be </w:t>
      </w:r>
      <w:r w:rsidR="002B0382">
        <w:rPr>
          <w:rFonts w:eastAsia="Times New Roman" w:cs="Arial"/>
          <w:bCs/>
          <w:szCs w:val="24"/>
        </w:rPr>
        <w:t>reasonable and pragmatic and it is the case that the planning obligations themselves, including the affordable housing provision, are competing against each</w:t>
      </w:r>
      <w:r w:rsidR="002D4466">
        <w:rPr>
          <w:rFonts w:eastAsia="Times New Roman" w:cs="Arial"/>
          <w:bCs/>
          <w:szCs w:val="24"/>
        </w:rPr>
        <w:t xml:space="preserve"> </w:t>
      </w:r>
      <w:r w:rsidR="002B0382">
        <w:rPr>
          <w:rFonts w:eastAsia="Times New Roman" w:cs="Arial"/>
          <w:bCs/>
          <w:szCs w:val="24"/>
        </w:rPr>
        <w:t>other.</w:t>
      </w:r>
    </w:p>
    <w:p w:rsidR="002B0382" w:rsidRDefault="002B0382" w:rsidP="002E7A65">
      <w:pPr>
        <w:pStyle w:val="NoSpacing"/>
        <w:ind w:left="544" w:hanging="544"/>
        <w:jc w:val="both"/>
        <w:rPr>
          <w:rFonts w:eastAsia="Times New Roman" w:cs="Arial"/>
          <w:bCs/>
          <w:szCs w:val="24"/>
        </w:rPr>
      </w:pPr>
    </w:p>
    <w:p w:rsidR="002B0382" w:rsidRDefault="002B0382" w:rsidP="002E7A65">
      <w:pPr>
        <w:pStyle w:val="NoSpacing"/>
        <w:ind w:left="544" w:hanging="544"/>
        <w:jc w:val="both"/>
        <w:rPr>
          <w:rFonts w:eastAsia="Times New Roman" w:cs="Arial"/>
          <w:bCs/>
          <w:szCs w:val="24"/>
        </w:rPr>
      </w:pPr>
      <w:r>
        <w:rPr>
          <w:rFonts w:eastAsia="Times New Roman" w:cs="Arial"/>
          <w:bCs/>
          <w:szCs w:val="24"/>
        </w:rPr>
        <w:t>32.</w:t>
      </w:r>
      <w:r>
        <w:rPr>
          <w:rFonts w:eastAsia="Times New Roman" w:cs="Arial"/>
          <w:bCs/>
          <w:szCs w:val="24"/>
        </w:rPr>
        <w:tab/>
      </w:r>
      <w:r w:rsidR="00735B53">
        <w:rPr>
          <w:rFonts w:eastAsia="Times New Roman" w:cs="Arial"/>
          <w:bCs/>
          <w:szCs w:val="24"/>
        </w:rPr>
        <w:t xml:space="preserve">In these circumstances the Local Planning Authority will ask an </w:t>
      </w:r>
      <w:r>
        <w:rPr>
          <w:rFonts w:eastAsia="Times New Roman" w:cs="Arial"/>
          <w:bCs/>
          <w:szCs w:val="24"/>
        </w:rPr>
        <w:t>independent</w:t>
      </w:r>
      <w:r w:rsidR="00735B53">
        <w:rPr>
          <w:rFonts w:eastAsia="Times New Roman" w:cs="Arial"/>
          <w:bCs/>
          <w:szCs w:val="24"/>
        </w:rPr>
        <w:t xml:space="preserve"> advisor to assess the underlying assumptions an</w:t>
      </w:r>
      <w:r>
        <w:rPr>
          <w:rFonts w:eastAsia="Times New Roman" w:cs="Arial"/>
          <w:bCs/>
          <w:szCs w:val="24"/>
        </w:rPr>
        <w:t xml:space="preserve">d test whether they are robust. It is fair to say that both authorities have had success in securing more contributions from an applicant/developer through this process, but it clearly may be the case that in order to achieve the best possible outcome for a particular scheme, a lower than target affordable housing contribution </w:t>
      </w:r>
      <w:r w:rsidR="007435FF">
        <w:rPr>
          <w:rFonts w:eastAsia="Times New Roman" w:cs="Arial"/>
          <w:bCs/>
          <w:szCs w:val="24"/>
        </w:rPr>
        <w:t>may</w:t>
      </w:r>
      <w:r>
        <w:rPr>
          <w:rFonts w:eastAsia="Times New Roman" w:cs="Arial"/>
          <w:bCs/>
          <w:szCs w:val="24"/>
        </w:rPr>
        <w:t xml:space="preserve"> be accepted, or indeed a financial contribution in-lieu of on-site provision (either full or in part) for affordable housing elsewhere. Which, for development proposed in urban fringe locations can of course be preferable than on-site delivery, as the money could be put to more efficient use in inner urban, often deprived, areas.</w:t>
      </w:r>
    </w:p>
    <w:p w:rsidR="002B0382" w:rsidRDefault="002B0382" w:rsidP="002E7A65">
      <w:pPr>
        <w:pStyle w:val="NoSpacing"/>
        <w:ind w:left="544" w:hanging="544"/>
        <w:jc w:val="both"/>
        <w:rPr>
          <w:rFonts w:eastAsia="Times New Roman" w:cs="Arial"/>
          <w:bCs/>
          <w:szCs w:val="24"/>
        </w:rPr>
      </w:pPr>
    </w:p>
    <w:p w:rsidR="002B0382" w:rsidRDefault="002B0382" w:rsidP="002E7A65">
      <w:pPr>
        <w:pStyle w:val="NoSpacing"/>
        <w:ind w:left="544" w:hanging="544"/>
        <w:jc w:val="both"/>
        <w:rPr>
          <w:rFonts w:eastAsia="Times New Roman" w:cs="Arial"/>
          <w:bCs/>
          <w:szCs w:val="24"/>
        </w:rPr>
      </w:pPr>
      <w:r>
        <w:rPr>
          <w:rFonts w:eastAsia="Times New Roman" w:cs="Arial"/>
          <w:bCs/>
          <w:szCs w:val="24"/>
        </w:rPr>
        <w:t>33.</w:t>
      </w:r>
      <w:r>
        <w:rPr>
          <w:rFonts w:eastAsia="Times New Roman" w:cs="Arial"/>
          <w:bCs/>
          <w:szCs w:val="24"/>
        </w:rPr>
        <w:tab/>
        <w:t xml:space="preserve">Additionally, a key tool available to applicants/developers in their negotiations regarding on-site affordable housing delivery at 30% of the overall provision is that the Framework allows for less. As set out earlier in this report, the most recent updates to the Framework post-date Policy 7, and the Framework only expects major development to achieve 10% on-site affordable housing. </w:t>
      </w:r>
      <w:r>
        <w:rPr>
          <w:rFonts w:eastAsia="Times New Roman" w:cs="Arial"/>
          <w:bCs/>
          <w:szCs w:val="24"/>
        </w:rPr>
        <w:lastRenderedPageBreak/>
        <w:t>Developers and applicants clearly see merit in pursuing an argument along these lines.</w:t>
      </w:r>
    </w:p>
    <w:p w:rsidR="002B0382" w:rsidRDefault="002B0382" w:rsidP="002E7A65">
      <w:pPr>
        <w:pStyle w:val="NoSpacing"/>
        <w:ind w:left="544" w:hanging="544"/>
        <w:jc w:val="both"/>
        <w:rPr>
          <w:rFonts w:eastAsia="Times New Roman" w:cs="Arial"/>
          <w:bCs/>
          <w:szCs w:val="24"/>
        </w:rPr>
      </w:pPr>
    </w:p>
    <w:p w:rsidR="001728C6" w:rsidRDefault="002B0382" w:rsidP="002E7A65">
      <w:pPr>
        <w:pStyle w:val="NoSpacing"/>
        <w:ind w:left="544" w:hanging="544"/>
        <w:jc w:val="both"/>
        <w:rPr>
          <w:rFonts w:eastAsia="Times New Roman" w:cs="Arial"/>
          <w:bCs/>
          <w:szCs w:val="24"/>
        </w:rPr>
      </w:pPr>
      <w:r>
        <w:rPr>
          <w:rFonts w:eastAsia="Times New Roman" w:cs="Arial"/>
          <w:bCs/>
          <w:szCs w:val="24"/>
        </w:rPr>
        <w:t>34.</w:t>
      </w:r>
      <w:r>
        <w:rPr>
          <w:rFonts w:eastAsia="Times New Roman" w:cs="Arial"/>
          <w:bCs/>
          <w:szCs w:val="24"/>
        </w:rPr>
        <w:tab/>
        <w:t xml:space="preserve">There are a number of specific and technical factors which </w:t>
      </w:r>
      <w:r w:rsidR="001728C6">
        <w:rPr>
          <w:rFonts w:eastAsia="Times New Roman" w:cs="Arial"/>
          <w:bCs/>
          <w:szCs w:val="24"/>
        </w:rPr>
        <w:t>can pose a challenge to on-site delivery of affordable housing, not least decisions such as withdrawing the financial support/grant funding for social rented affordable tenures. A particularly critical consideration since it is often that tenure which can most closely meet affordable housing need.</w:t>
      </w:r>
    </w:p>
    <w:p w:rsidR="001728C6" w:rsidRDefault="001728C6" w:rsidP="002E7A65">
      <w:pPr>
        <w:pStyle w:val="NoSpacing"/>
        <w:ind w:left="544" w:hanging="544"/>
        <w:jc w:val="both"/>
        <w:rPr>
          <w:rFonts w:eastAsia="Times New Roman" w:cs="Arial"/>
          <w:bCs/>
          <w:szCs w:val="24"/>
        </w:rPr>
      </w:pPr>
    </w:p>
    <w:p w:rsidR="001728C6" w:rsidRPr="001728C6" w:rsidRDefault="001728C6" w:rsidP="002E7A65">
      <w:pPr>
        <w:pStyle w:val="NoSpacing"/>
        <w:ind w:left="544" w:hanging="544"/>
        <w:jc w:val="both"/>
        <w:rPr>
          <w:rFonts w:eastAsia="Times New Roman" w:cs="Arial"/>
          <w:bCs/>
          <w:szCs w:val="24"/>
          <w:u w:val="single"/>
        </w:rPr>
      </w:pPr>
      <w:r w:rsidRPr="001728C6">
        <w:rPr>
          <w:rFonts w:eastAsia="Times New Roman" w:cs="Arial"/>
          <w:bCs/>
          <w:szCs w:val="24"/>
          <w:u w:val="single"/>
        </w:rPr>
        <w:t>Conclusions</w:t>
      </w:r>
    </w:p>
    <w:p w:rsidR="001728C6" w:rsidRDefault="001728C6" w:rsidP="002E7A65">
      <w:pPr>
        <w:pStyle w:val="NoSpacing"/>
        <w:ind w:left="544" w:hanging="544"/>
        <w:jc w:val="both"/>
        <w:rPr>
          <w:rFonts w:eastAsia="Times New Roman" w:cs="Arial"/>
          <w:bCs/>
          <w:szCs w:val="24"/>
        </w:rPr>
      </w:pPr>
    </w:p>
    <w:p w:rsidR="00735B53" w:rsidRDefault="001728C6" w:rsidP="002E7A65">
      <w:pPr>
        <w:pStyle w:val="NoSpacing"/>
        <w:ind w:left="544" w:hanging="544"/>
        <w:jc w:val="both"/>
        <w:rPr>
          <w:rFonts w:eastAsia="Times New Roman" w:cs="Arial"/>
          <w:bCs/>
          <w:szCs w:val="24"/>
        </w:rPr>
      </w:pPr>
      <w:r>
        <w:rPr>
          <w:rFonts w:eastAsia="Times New Roman" w:cs="Arial"/>
          <w:bCs/>
          <w:szCs w:val="24"/>
        </w:rPr>
        <w:t>35.</w:t>
      </w:r>
      <w:r>
        <w:rPr>
          <w:rFonts w:eastAsia="Times New Roman" w:cs="Arial"/>
          <w:bCs/>
          <w:szCs w:val="24"/>
        </w:rPr>
        <w:tab/>
        <w:t>It is clear that there are a number of interwoven</w:t>
      </w:r>
      <w:r w:rsidR="00735B53">
        <w:rPr>
          <w:rFonts w:eastAsia="Times New Roman" w:cs="Arial"/>
          <w:bCs/>
          <w:szCs w:val="24"/>
        </w:rPr>
        <w:t xml:space="preserve"> </w:t>
      </w:r>
      <w:r w:rsidR="00670184">
        <w:rPr>
          <w:rFonts w:eastAsia="Times New Roman" w:cs="Arial"/>
          <w:bCs/>
          <w:szCs w:val="24"/>
        </w:rPr>
        <w:t xml:space="preserve">factors which impact on the ability of both authorities to secure on-site affordable housing to policy ‘compliant’ levels. Decisions need to be made on a case by case basis and can vary dependent on what is </w:t>
      </w:r>
      <w:r w:rsidR="00A505CA">
        <w:rPr>
          <w:rFonts w:eastAsia="Times New Roman" w:cs="Arial"/>
          <w:bCs/>
          <w:szCs w:val="24"/>
        </w:rPr>
        <w:t xml:space="preserve">the </w:t>
      </w:r>
      <w:r w:rsidR="00670184">
        <w:rPr>
          <w:rFonts w:eastAsia="Times New Roman" w:cs="Arial"/>
          <w:bCs/>
          <w:szCs w:val="24"/>
        </w:rPr>
        <w:t>most crucial</w:t>
      </w:r>
      <w:r w:rsidR="00A505CA">
        <w:rPr>
          <w:rFonts w:eastAsia="Times New Roman" w:cs="Arial"/>
          <w:bCs/>
          <w:szCs w:val="24"/>
        </w:rPr>
        <w:t xml:space="preserve"> planning obligation</w:t>
      </w:r>
      <w:r w:rsidR="00670184">
        <w:rPr>
          <w:rFonts w:eastAsia="Times New Roman" w:cs="Arial"/>
          <w:bCs/>
          <w:szCs w:val="24"/>
        </w:rPr>
        <w:t xml:space="preserve"> for any particular proposal at any particular time.</w:t>
      </w:r>
    </w:p>
    <w:p w:rsidR="00A505CA" w:rsidRDefault="00A505CA" w:rsidP="002E7A65">
      <w:pPr>
        <w:pStyle w:val="NoSpacing"/>
        <w:ind w:left="544" w:hanging="544"/>
        <w:jc w:val="both"/>
        <w:rPr>
          <w:rFonts w:eastAsia="Times New Roman" w:cs="Arial"/>
          <w:bCs/>
          <w:szCs w:val="24"/>
        </w:rPr>
      </w:pPr>
    </w:p>
    <w:p w:rsidR="00A505CA" w:rsidRDefault="00A505CA" w:rsidP="002E7A65">
      <w:pPr>
        <w:pStyle w:val="NoSpacing"/>
        <w:ind w:left="544" w:hanging="544"/>
        <w:jc w:val="both"/>
        <w:rPr>
          <w:rFonts w:eastAsia="Times New Roman" w:cs="Arial"/>
          <w:bCs/>
          <w:szCs w:val="24"/>
        </w:rPr>
      </w:pPr>
      <w:r>
        <w:rPr>
          <w:rFonts w:eastAsia="Times New Roman" w:cs="Arial"/>
          <w:bCs/>
          <w:szCs w:val="24"/>
        </w:rPr>
        <w:t>36.</w:t>
      </w:r>
      <w:r>
        <w:rPr>
          <w:rFonts w:eastAsia="Times New Roman" w:cs="Arial"/>
          <w:bCs/>
          <w:szCs w:val="24"/>
        </w:rPr>
        <w:tab/>
        <w:t xml:space="preserve">In these circumstances however the </w:t>
      </w:r>
      <w:r w:rsidR="003E6879">
        <w:rPr>
          <w:rFonts w:eastAsia="Times New Roman" w:cs="Arial"/>
          <w:bCs/>
          <w:szCs w:val="24"/>
        </w:rPr>
        <w:t>Local Planning Authority</w:t>
      </w:r>
      <w:r>
        <w:rPr>
          <w:rFonts w:eastAsia="Times New Roman" w:cs="Arial"/>
          <w:bCs/>
          <w:szCs w:val="24"/>
        </w:rPr>
        <w:t xml:space="preserve"> is often left undertaking a balancing exercise of trying to arbitrate between conflicting demands from a development when the Viability Appraisals suggest they cannot all be met.   </w:t>
      </w:r>
    </w:p>
    <w:p w:rsidR="00670184" w:rsidRDefault="00670184" w:rsidP="002E7A65">
      <w:pPr>
        <w:pStyle w:val="NoSpacing"/>
        <w:ind w:left="544" w:hanging="544"/>
        <w:jc w:val="both"/>
        <w:rPr>
          <w:rFonts w:eastAsia="Times New Roman" w:cs="Arial"/>
          <w:bCs/>
          <w:szCs w:val="24"/>
        </w:rPr>
      </w:pPr>
    </w:p>
    <w:p w:rsidR="00670184" w:rsidRDefault="00A505CA" w:rsidP="002E7A65">
      <w:pPr>
        <w:pStyle w:val="NoSpacing"/>
        <w:ind w:left="544" w:hanging="544"/>
        <w:jc w:val="both"/>
        <w:rPr>
          <w:rFonts w:eastAsia="Times New Roman" w:cs="Arial"/>
          <w:bCs/>
          <w:szCs w:val="24"/>
        </w:rPr>
      </w:pPr>
      <w:r>
        <w:rPr>
          <w:rFonts w:eastAsia="Times New Roman" w:cs="Arial"/>
          <w:bCs/>
          <w:szCs w:val="24"/>
        </w:rPr>
        <w:t>37</w:t>
      </w:r>
      <w:r w:rsidR="00670184">
        <w:rPr>
          <w:rFonts w:eastAsia="Times New Roman" w:cs="Arial"/>
          <w:bCs/>
          <w:szCs w:val="24"/>
        </w:rPr>
        <w:t>.</w:t>
      </w:r>
      <w:r w:rsidR="00670184">
        <w:rPr>
          <w:rFonts w:eastAsia="Times New Roman" w:cs="Arial"/>
          <w:bCs/>
          <w:szCs w:val="24"/>
        </w:rPr>
        <w:tab/>
        <w:t>That being said, whilst there are challenges to securing and delivering affordable housing, across the City Deal area performance compares favourably, with both authorities amongst the highest performing authorities in the County since the start of City Deal.</w:t>
      </w:r>
    </w:p>
    <w:p w:rsidR="00670184" w:rsidRDefault="00670184" w:rsidP="002E7A65">
      <w:pPr>
        <w:pStyle w:val="NoSpacing"/>
        <w:ind w:left="544" w:hanging="544"/>
        <w:jc w:val="both"/>
        <w:rPr>
          <w:rFonts w:eastAsia="Times New Roman" w:cs="Arial"/>
          <w:bCs/>
          <w:szCs w:val="24"/>
        </w:rPr>
      </w:pPr>
    </w:p>
    <w:p w:rsidR="00670184" w:rsidRDefault="00A505CA" w:rsidP="002E7A65">
      <w:pPr>
        <w:pStyle w:val="NoSpacing"/>
        <w:ind w:left="544" w:hanging="544"/>
        <w:jc w:val="both"/>
        <w:rPr>
          <w:rFonts w:eastAsia="Times New Roman" w:cs="Arial"/>
          <w:bCs/>
          <w:szCs w:val="24"/>
        </w:rPr>
      </w:pPr>
      <w:r>
        <w:rPr>
          <w:rFonts w:eastAsia="Times New Roman" w:cs="Arial"/>
          <w:bCs/>
          <w:szCs w:val="24"/>
        </w:rPr>
        <w:t>38</w:t>
      </w:r>
      <w:r w:rsidR="00670184">
        <w:rPr>
          <w:rFonts w:eastAsia="Times New Roman" w:cs="Arial"/>
          <w:bCs/>
          <w:szCs w:val="24"/>
        </w:rPr>
        <w:t>.</w:t>
      </w:r>
      <w:r w:rsidR="00670184">
        <w:rPr>
          <w:rFonts w:eastAsia="Times New Roman" w:cs="Arial"/>
          <w:bCs/>
          <w:szCs w:val="24"/>
        </w:rPr>
        <w:tab/>
        <w:t>Officers consider</w:t>
      </w:r>
      <w:r>
        <w:rPr>
          <w:rFonts w:eastAsia="Times New Roman" w:cs="Arial"/>
          <w:bCs/>
          <w:szCs w:val="24"/>
        </w:rPr>
        <w:t xml:space="preserve"> that whilst performance on affordable housing delivery is, on the whole, good, there is always room for improvement and officers continue to strive for the best possible outcome within the policy restrictions we work within.</w:t>
      </w:r>
    </w:p>
    <w:p w:rsidR="00B83615" w:rsidRDefault="00B83615" w:rsidP="002E7A65">
      <w:pPr>
        <w:pStyle w:val="NoSpacing"/>
        <w:ind w:left="544" w:hanging="544"/>
        <w:jc w:val="both"/>
        <w:rPr>
          <w:rFonts w:eastAsia="Times New Roman" w:cs="Arial"/>
          <w:bCs/>
          <w:szCs w:val="24"/>
        </w:rPr>
      </w:pPr>
    </w:p>
    <w:p w:rsidR="004F3012" w:rsidRPr="002E7A65" w:rsidRDefault="00B83615" w:rsidP="005972ED">
      <w:pPr>
        <w:pStyle w:val="NoSpacing"/>
        <w:ind w:left="544" w:hanging="544"/>
        <w:jc w:val="both"/>
        <w:rPr>
          <w:rFonts w:eastAsia="Times New Roman" w:cs="Arial"/>
          <w:bCs/>
          <w:szCs w:val="24"/>
        </w:rPr>
      </w:pPr>
      <w:r>
        <w:rPr>
          <w:rFonts w:eastAsia="Times New Roman" w:cs="Arial"/>
          <w:bCs/>
          <w:szCs w:val="24"/>
        </w:rPr>
        <w:t>39.</w:t>
      </w:r>
      <w:r>
        <w:rPr>
          <w:rFonts w:eastAsia="Times New Roman" w:cs="Arial"/>
          <w:bCs/>
          <w:szCs w:val="24"/>
        </w:rPr>
        <w:tab/>
        <w:t xml:space="preserve">The City Deal Executive should note that increasing affordable housing requirements and delivery across the City Deal area will have a consequential impact on </w:t>
      </w:r>
      <w:r w:rsidR="005972ED">
        <w:rPr>
          <w:rFonts w:eastAsia="Times New Roman" w:cs="Arial"/>
          <w:bCs/>
          <w:szCs w:val="24"/>
        </w:rPr>
        <w:t>CIL receipts. Certain forms of development, including affordable housing, are exempt from paying CIL so therefore if a greater proportion of housing developments are affordable in tenure, the CIL receipts which the City Deal authorities receive from those developments will reduce and City Deal income will fall.</w:t>
      </w:r>
    </w:p>
    <w:p w:rsidR="005972ED" w:rsidRDefault="005972ED" w:rsidP="00EB4643">
      <w:pPr>
        <w:keepNext/>
        <w:keepLines/>
        <w:spacing w:before="40" w:after="0" w:line="249" w:lineRule="auto"/>
        <w:ind w:left="542" w:hanging="542"/>
        <w:outlineLvl w:val="4"/>
        <w:rPr>
          <w:rFonts w:ascii="Arial" w:eastAsia="Times New Roman" w:hAnsi="Arial" w:cs="Times New Roman"/>
          <w:b/>
          <w:sz w:val="24"/>
          <w:szCs w:val="24"/>
          <w:lang w:eastAsia="en-GB"/>
        </w:rPr>
      </w:pPr>
    </w:p>
    <w:p w:rsidR="00EB4643" w:rsidRPr="0022408A" w:rsidRDefault="00563DA4" w:rsidP="00EB4643">
      <w:pPr>
        <w:keepNext/>
        <w:keepLines/>
        <w:spacing w:before="40" w:after="0" w:line="249" w:lineRule="auto"/>
        <w:ind w:left="542" w:hanging="542"/>
        <w:outlineLvl w:val="4"/>
        <w:rPr>
          <w:rFonts w:ascii="Arial" w:eastAsia="Times New Roman" w:hAnsi="Arial" w:cs="Times New Roman"/>
          <w:b/>
          <w:sz w:val="24"/>
          <w:szCs w:val="24"/>
          <w:lang w:eastAsia="en-GB"/>
        </w:rPr>
      </w:pPr>
      <w:r w:rsidRPr="0022408A">
        <w:rPr>
          <w:rFonts w:ascii="Arial" w:eastAsia="Times New Roman" w:hAnsi="Arial" w:cs="Times New Roman"/>
          <w:b/>
          <w:sz w:val="24"/>
          <w:szCs w:val="24"/>
          <w:lang w:eastAsia="en-GB"/>
        </w:rPr>
        <w:t>List of Background Papers</w:t>
      </w:r>
    </w:p>
    <w:p w:rsidR="00EB4643" w:rsidRPr="0022408A" w:rsidRDefault="00311BA3" w:rsidP="00EB4643">
      <w:pPr>
        <w:spacing w:after="5" w:line="249" w:lineRule="auto"/>
        <w:ind w:left="542" w:hanging="542"/>
        <w:rPr>
          <w:rFonts w:ascii="Arial" w:eastAsia="Calibri" w:hAnsi="Arial" w:cs="Arial"/>
          <w:color w:val="000000"/>
          <w:sz w:val="24"/>
          <w:szCs w:val="24"/>
          <w:lang w:eastAsia="en-GB"/>
        </w:rPr>
      </w:pPr>
    </w:p>
    <w:tbl>
      <w:tblPr>
        <w:tblW w:w="0" w:type="auto"/>
        <w:tblLayout w:type="fixed"/>
        <w:tblLook w:val="0000" w:firstRow="0" w:lastRow="0" w:firstColumn="0" w:lastColumn="0" w:noHBand="0" w:noVBand="0"/>
      </w:tblPr>
      <w:tblGrid>
        <w:gridCol w:w="3510"/>
        <w:gridCol w:w="2492"/>
        <w:gridCol w:w="3178"/>
      </w:tblGrid>
      <w:tr w:rsidR="00E26C0E" w:rsidTr="005229F6">
        <w:tc>
          <w:tcPr>
            <w:tcW w:w="3510" w:type="dxa"/>
          </w:tcPr>
          <w:p w:rsidR="00EB4643" w:rsidRPr="0022408A" w:rsidRDefault="00563DA4" w:rsidP="005229F6">
            <w:pPr>
              <w:keepNext/>
              <w:keepLines/>
              <w:spacing w:before="40" w:after="0" w:line="249" w:lineRule="auto"/>
              <w:ind w:left="542" w:hanging="542"/>
              <w:outlineLvl w:val="6"/>
              <w:rPr>
                <w:rFonts w:ascii="Arial" w:eastAsia="Times New Roman" w:hAnsi="Arial" w:cs="Arial"/>
                <w:iCs/>
                <w:sz w:val="24"/>
                <w:szCs w:val="24"/>
                <w:lang w:eastAsia="en-GB"/>
              </w:rPr>
            </w:pPr>
            <w:r w:rsidRPr="0022408A">
              <w:rPr>
                <w:rFonts w:ascii="Arial" w:eastAsia="Times New Roman" w:hAnsi="Arial" w:cs="Arial"/>
                <w:iCs/>
                <w:sz w:val="24"/>
                <w:szCs w:val="24"/>
                <w:lang w:eastAsia="en-GB"/>
              </w:rPr>
              <w:t>Paper</w:t>
            </w:r>
          </w:p>
        </w:tc>
        <w:tc>
          <w:tcPr>
            <w:tcW w:w="2492" w:type="dxa"/>
          </w:tcPr>
          <w:p w:rsidR="00EB4643" w:rsidRPr="0022408A" w:rsidRDefault="00563DA4" w:rsidP="005229F6">
            <w:pPr>
              <w:keepNext/>
              <w:keepLines/>
              <w:spacing w:before="40" w:after="0" w:line="249" w:lineRule="auto"/>
              <w:ind w:left="542" w:hanging="542"/>
              <w:outlineLvl w:val="6"/>
              <w:rPr>
                <w:rFonts w:ascii="Arial" w:eastAsia="Times New Roman" w:hAnsi="Arial" w:cs="Arial"/>
                <w:iCs/>
                <w:sz w:val="24"/>
                <w:szCs w:val="24"/>
                <w:lang w:eastAsia="en-GB"/>
              </w:rPr>
            </w:pPr>
            <w:r w:rsidRPr="0022408A">
              <w:rPr>
                <w:rFonts w:ascii="Arial" w:eastAsia="Times New Roman" w:hAnsi="Arial" w:cs="Arial"/>
                <w:iCs/>
                <w:sz w:val="24"/>
                <w:szCs w:val="24"/>
                <w:lang w:eastAsia="en-GB"/>
              </w:rPr>
              <w:t>Date</w:t>
            </w:r>
          </w:p>
        </w:tc>
        <w:tc>
          <w:tcPr>
            <w:tcW w:w="3178" w:type="dxa"/>
          </w:tcPr>
          <w:p w:rsidR="00EB4643" w:rsidRPr="0022408A" w:rsidRDefault="00563DA4" w:rsidP="005229F6">
            <w:pPr>
              <w:keepNext/>
              <w:keepLines/>
              <w:spacing w:before="40" w:after="0" w:line="249" w:lineRule="auto"/>
              <w:ind w:left="542" w:hanging="542"/>
              <w:outlineLvl w:val="6"/>
              <w:rPr>
                <w:rFonts w:ascii="Arial" w:eastAsia="Times New Roman" w:hAnsi="Arial" w:cs="Arial"/>
                <w:iCs/>
                <w:sz w:val="24"/>
                <w:szCs w:val="24"/>
                <w:lang w:eastAsia="en-GB"/>
              </w:rPr>
            </w:pPr>
            <w:r w:rsidRPr="0022408A">
              <w:rPr>
                <w:rFonts w:ascii="Arial" w:eastAsia="Times New Roman" w:hAnsi="Arial" w:cs="Arial"/>
                <w:iCs/>
                <w:sz w:val="24"/>
                <w:szCs w:val="24"/>
                <w:lang w:eastAsia="en-GB"/>
              </w:rPr>
              <w:t>Contact/Tel</w:t>
            </w:r>
          </w:p>
        </w:tc>
      </w:tr>
      <w:tr w:rsidR="00E26C0E" w:rsidTr="005229F6">
        <w:tc>
          <w:tcPr>
            <w:tcW w:w="3510" w:type="dxa"/>
          </w:tcPr>
          <w:p w:rsidR="00EB4643" w:rsidRPr="0022408A" w:rsidRDefault="00311BA3" w:rsidP="005229F6">
            <w:pPr>
              <w:spacing w:after="5" w:line="249" w:lineRule="auto"/>
              <w:ind w:left="542" w:hanging="542"/>
              <w:rPr>
                <w:rFonts w:ascii="Arial" w:eastAsia="Calibri" w:hAnsi="Arial" w:cs="Arial"/>
                <w:sz w:val="24"/>
                <w:szCs w:val="24"/>
                <w:lang w:eastAsia="en-GB"/>
              </w:rPr>
            </w:pPr>
          </w:p>
          <w:p w:rsidR="00EB4643" w:rsidRPr="0022408A" w:rsidRDefault="00563DA4" w:rsidP="005229F6">
            <w:pPr>
              <w:spacing w:after="5" w:line="249" w:lineRule="auto"/>
              <w:ind w:left="542" w:hanging="542"/>
              <w:rPr>
                <w:rFonts w:ascii="Arial" w:eastAsia="Calibri" w:hAnsi="Arial" w:cs="Arial"/>
                <w:sz w:val="24"/>
                <w:szCs w:val="24"/>
                <w:lang w:eastAsia="en-GB"/>
              </w:rPr>
            </w:pPr>
            <w:r>
              <w:rPr>
                <w:rFonts w:ascii="Arial" w:eastAsia="Calibri" w:hAnsi="Arial" w:cs="Arial"/>
                <w:sz w:val="24"/>
                <w:szCs w:val="24"/>
                <w:lang w:eastAsia="en-GB"/>
              </w:rPr>
              <w:t>None</w:t>
            </w:r>
          </w:p>
          <w:p w:rsidR="00EB4643" w:rsidRPr="0022408A" w:rsidRDefault="00311BA3" w:rsidP="0096114E">
            <w:pPr>
              <w:spacing w:after="5" w:line="249" w:lineRule="auto"/>
              <w:rPr>
                <w:rFonts w:ascii="Arial" w:eastAsia="Calibri" w:hAnsi="Arial" w:cs="Arial"/>
                <w:sz w:val="24"/>
                <w:szCs w:val="24"/>
                <w:lang w:eastAsia="en-GB"/>
              </w:rPr>
            </w:pPr>
          </w:p>
        </w:tc>
        <w:tc>
          <w:tcPr>
            <w:tcW w:w="2492" w:type="dxa"/>
          </w:tcPr>
          <w:p w:rsidR="00EB4643" w:rsidRPr="0022408A" w:rsidRDefault="00311BA3" w:rsidP="005229F6">
            <w:pPr>
              <w:spacing w:after="5" w:line="249" w:lineRule="auto"/>
              <w:ind w:left="542" w:hanging="542"/>
              <w:rPr>
                <w:rFonts w:ascii="Arial" w:eastAsia="Calibri" w:hAnsi="Arial" w:cs="Arial"/>
                <w:sz w:val="24"/>
                <w:szCs w:val="24"/>
                <w:lang w:eastAsia="en-GB"/>
              </w:rPr>
            </w:pPr>
          </w:p>
        </w:tc>
        <w:tc>
          <w:tcPr>
            <w:tcW w:w="3178" w:type="dxa"/>
          </w:tcPr>
          <w:p w:rsidR="00EB4643" w:rsidRPr="0022408A" w:rsidRDefault="00311BA3" w:rsidP="005229F6">
            <w:pPr>
              <w:spacing w:after="5" w:line="249" w:lineRule="auto"/>
              <w:ind w:left="542" w:hanging="542"/>
              <w:rPr>
                <w:rFonts w:ascii="Arial" w:eastAsia="Calibri" w:hAnsi="Arial" w:cs="Arial"/>
                <w:sz w:val="24"/>
                <w:szCs w:val="24"/>
                <w:lang w:eastAsia="en-GB"/>
              </w:rPr>
            </w:pPr>
          </w:p>
        </w:tc>
      </w:tr>
      <w:tr w:rsidR="00E26C0E" w:rsidTr="005229F6">
        <w:trPr>
          <w:cantSplit/>
        </w:trPr>
        <w:tc>
          <w:tcPr>
            <w:tcW w:w="9180" w:type="dxa"/>
            <w:gridSpan w:val="3"/>
          </w:tcPr>
          <w:p w:rsidR="00EB4643" w:rsidRDefault="00311BA3" w:rsidP="0096114E">
            <w:pPr>
              <w:pStyle w:val="NoSpacing"/>
              <w:jc w:val="both"/>
              <w:rPr>
                <w:rFonts w:eastAsia="Calibri" w:cs="Arial"/>
                <w:color w:val="000000"/>
                <w:szCs w:val="24"/>
                <w:lang w:eastAsia="en-GB"/>
              </w:rPr>
            </w:pPr>
            <w:r>
              <w:rPr>
                <w:rFonts w:eastAsia="Calibri" w:cs="Arial"/>
                <w:color w:val="000000"/>
                <w:szCs w:val="24"/>
                <w:lang w:eastAsia="en-GB"/>
              </w:rPr>
              <w:lastRenderedPageBreak/>
              <w:t>Reason for inclusion in Part II</w:t>
            </w:r>
          </w:p>
          <w:p w:rsidR="00311BA3" w:rsidRDefault="00311BA3" w:rsidP="0096114E">
            <w:pPr>
              <w:pStyle w:val="NoSpacing"/>
              <w:jc w:val="both"/>
              <w:rPr>
                <w:rFonts w:eastAsia="Calibri" w:cs="Arial"/>
                <w:color w:val="000000"/>
                <w:szCs w:val="24"/>
                <w:lang w:eastAsia="en-GB"/>
              </w:rPr>
            </w:pPr>
          </w:p>
          <w:p w:rsidR="00311BA3" w:rsidRPr="0022408A" w:rsidRDefault="00311BA3" w:rsidP="0096114E">
            <w:pPr>
              <w:pStyle w:val="NoSpacing"/>
              <w:jc w:val="both"/>
              <w:rPr>
                <w:rFonts w:eastAsia="Calibri" w:cs="Arial"/>
                <w:color w:val="000000"/>
                <w:szCs w:val="24"/>
                <w:lang w:eastAsia="en-GB"/>
              </w:rPr>
            </w:pPr>
            <w:r>
              <w:rPr>
                <w:rFonts w:eastAsia="Calibri" w:cs="Arial"/>
                <w:color w:val="000000"/>
                <w:szCs w:val="24"/>
                <w:lang w:eastAsia="en-GB"/>
              </w:rPr>
              <w:t>N/A</w:t>
            </w:r>
          </w:p>
        </w:tc>
      </w:tr>
    </w:tbl>
    <w:p w:rsidR="00EB4643" w:rsidRPr="009D435E" w:rsidRDefault="00311BA3" w:rsidP="005972ED">
      <w:pPr>
        <w:pStyle w:val="NoSpacing"/>
        <w:jc w:val="both"/>
        <w:rPr>
          <w:rFonts w:cs="Arial"/>
          <w:szCs w:val="24"/>
        </w:rPr>
      </w:pPr>
    </w:p>
    <w:sectPr w:rsidR="00EB4643" w:rsidRPr="009D435E">
      <w:headerReference w:type="default" r:id="rId8"/>
      <w:footerReference w:type="even" r:id="rId9"/>
      <w:footerReference w:type="defaul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5647" w:rsidRDefault="005E5647">
      <w:pPr>
        <w:spacing w:after="0" w:line="240" w:lineRule="auto"/>
      </w:pPr>
      <w:r>
        <w:separator/>
      </w:r>
    </w:p>
  </w:endnote>
  <w:endnote w:type="continuationSeparator" w:id="0">
    <w:p w:rsidR="005E5647" w:rsidRDefault="005E56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583" w:rsidRDefault="00311BA3" w:rsidP="00440F6A">
    <w:pPr>
      <w:pStyle w:val="Footer"/>
    </w:pPr>
    <w:bookmarkStart w:id="1" w:name="aliashAdvancedFooterprot1FooterEvenPages"/>
  </w:p>
  <w:bookmarkEnd w:id="1"/>
  <w:p w:rsidR="006A1583" w:rsidRDefault="00311B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583" w:rsidRDefault="00311BA3" w:rsidP="00440F6A">
    <w:pPr>
      <w:pStyle w:val="Footer"/>
    </w:pPr>
    <w:bookmarkStart w:id="2" w:name="aliashAdvancedFooterprotec1FooterPrimary"/>
  </w:p>
  <w:bookmarkEnd w:id="2"/>
  <w:p w:rsidR="006A1583" w:rsidRDefault="00311B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583" w:rsidRDefault="00311BA3" w:rsidP="00440F6A">
    <w:pPr>
      <w:pStyle w:val="Footer"/>
    </w:pPr>
    <w:bookmarkStart w:id="3" w:name="aliashAdvancedFooterprot1FooterFirstPage"/>
  </w:p>
  <w:bookmarkEnd w:id="3"/>
  <w:p w:rsidR="006A1583" w:rsidRDefault="00311B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5647" w:rsidRDefault="005E5647">
      <w:pPr>
        <w:spacing w:after="0" w:line="240" w:lineRule="auto"/>
      </w:pPr>
      <w:r>
        <w:separator/>
      </w:r>
    </w:p>
  </w:footnote>
  <w:footnote w:type="continuationSeparator" w:id="0">
    <w:p w:rsidR="005E5647" w:rsidRDefault="005E56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583" w:rsidRDefault="00563DA4" w:rsidP="00054E0A">
    <w:pPr>
      <w:pStyle w:val="Header"/>
    </w:pPr>
    <w:r w:rsidRPr="00DA16C4">
      <w:rPr>
        <w:noProof/>
        <w:lang w:eastAsia="en-GB"/>
      </w:rPr>
      <w:drawing>
        <wp:inline distT="0" distB="0" distL="0" distR="0">
          <wp:extent cx="3802566" cy="991710"/>
          <wp:effectExtent l="0" t="0" r="0" b="0"/>
          <wp:docPr id="2" name="Picture 2" descr="\\psf\Home\Desktop\C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7195463" name="Picture 1" descr="\\psf\Home\Desktop\CD logo.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802783" cy="99176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42B64"/>
    <w:multiLevelType w:val="hybridMultilevel"/>
    <w:tmpl w:val="C31CC5EA"/>
    <w:lvl w:ilvl="0" w:tplc="6C08D17C">
      <w:start w:val="1"/>
      <w:numFmt w:val="bullet"/>
      <w:lvlText w:val=""/>
      <w:lvlJc w:val="left"/>
      <w:pPr>
        <w:ind w:left="720" w:hanging="360"/>
      </w:pPr>
      <w:rPr>
        <w:rFonts w:ascii="Symbol" w:hAnsi="Symbol" w:hint="default"/>
      </w:rPr>
    </w:lvl>
    <w:lvl w:ilvl="1" w:tplc="4166470A" w:tentative="1">
      <w:start w:val="1"/>
      <w:numFmt w:val="bullet"/>
      <w:lvlText w:val="o"/>
      <w:lvlJc w:val="left"/>
      <w:pPr>
        <w:ind w:left="1440" w:hanging="360"/>
      </w:pPr>
      <w:rPr>
        <w:rFonts w:ascii="Courier New" w:hAnsi="Courier New" w:cs="Courier New" w:hint="default"/>
      </w:rPr>
    </w:lvl>
    <w:lvl w:ilvl="2" w:tplc="AFB67DE6" w:tentative="1">
      <w:start w:val="1"/>
      <w:numFmt w:val="bullet"/>
      <w:lvlText w:val=""/>
      <w:lvlJc w:val="left"/>
      <w:pPr>
        <w:ind w:left="2160" w:hanging="360"/>
      </w:pPr>
      <w:rPr>
        <w:rFonts w:ascii="Wingdings" w:hAnsi="Wingdings" w:hint="default"/>
      </w:rPr>
    </w:lvl>
    <w:lvl w:ilvl="3" w:tplc="4D5E8508" w:tentative="1">
      <w:start w:val="1"/>
      <w:numFmt w:val="bullet"/>
      <w:lvlText w:val=""/>
      <w:lvlJc w:val="left"/>
      <w:pPr>
        <w:ind w:left="2880" w:hanging="360"/>
      </w:pPr>
      <w:rPr>
        <w:rFonts w:ascii="Symbol" w:hAnsi="Symbol" w:hint="default"/>
      </w:rPr>
    </w:lvl>
    <w:lvl w:ilvl="4" w:tplc="F60E28CC" w:tentative="1">
      <w:start w:val="1"/>
      <w:numFmt w:val="bullet"/>
      <w:lvlText w:val="o"/>
      <w:lvlJc w:val="left"/>
      <w:pPr>
        <w:ind w:left="3600" w:hanging="360"/>
      </w:pPr>
      <w:rPr>
        <w:rFonts w:ascii="Courier New" w:hAnsi="Courier New" w:cs="Courier New" w:hint="default"/>
      </w:rPr>
    </w:lvl>
    <w:lvl w:ilvl="5" w:tplc="69B22B9C" w:tentative="1">
      <w:start w:val="1"/>
      <w:numFmt w:val="bullet"/>
      <w:lvlText w:val=""/>
      <w:lvlJc w:val="left"/>
      <w:pPr>
        <w:ind w:left="4320" w:hanging="360"/>
      </w:pPr>
      <w:rPr>
        <w:rFonts w:ascii="Wingdings" w:hAnsi="Wingdings" w:hint="default"/>
      </w:rPr>
    </w:lvl>
    <w:lvl w:ilvl="6" w:tplc="648CEA26" w:tentative="1">
      <w:start w:val="1"/>
      <w:numFmt w:val="bullet"/>
      <w:lvlText w:val=""/>
      <w:lvlJc w:val="left"/>
      <w:pPr>
        <w:ind w:left="5040" w:hanging="360"/>
      </w:pPr>
      <w:rPr>
        <w:rFonts w:ascii="Symbol" w:hAnsi="Symbol" w:hint="default"/>
      </w:rPr>
    </w:lvl>
    <w:lvl w:ilvl="7" w:tplc="61021D36" w:tentative="1">
      <w:start w:val="1"/>
      <w:numFmt w:val="bullet"/>
      <w:lvlText w:val="o"/>
      <w:lvlJc w:val="left"/>
      <w:pPr>
        <w:ind w:left="5760" w:hanging="360"/>
      </w:pPr>
      <w:rPr>
        <w:rFonts w:ascii="Courier New" w:hAnsi="Courier New" w:cs="Courier New" w:hint="default"/>
      </w:rPr>
    </w:lvl>
    <w:lvl w:ilvl="8" w:tplc="E71E0D14" w:tentative="1">
      <w:start w:val="1"/>
      <w:numFmt w:val="bullet"/>
      <w:lvlText w:val=""/>
      <w:lvlJc w:val="left"/>
      <w:pPr>
        <w:ind w:left="6480" w:hanging="360"/>
      </w:pPr>
      <w:rPr>
        <w:rFonts w:ascii="Wingdings" w:hAnsi="Wingdings" w:hint="default"/>
      </w:rPr>
    </w:lvl>
  </w:abstractNum>
  <w:abstractNum w:abstractNumId="1" w15:restartNumberingAfterBreak="0">
    <w:nsid w:val="0F060D89"/>
    <w:multiLevelType w:val="hybridMultilevel"/>
    <w:tmpl w:val="C5D645D8"/>
    <w:lvl w:ilvl="0" w:tplc="3ADA1AA2">
      <w:start w:val="1"/>
      <w:numFmt w:val="bullet"/>
      <w:lvlText w:val=""/>
      <w:lvlJc w:val="left"/>
      <w:pPr>
        <w:ind w:left="720" w:hanging="360"/>
      </w:pPr>
      <w:rPr>
        <w:rFonts w:ascii="Symbol" w:hAnsi="Symbol" w:hint="default"/>
      </w:rPr>
    </w:lvl>
    <w:lvl w:ilvl="1" w:tplc="38663328" w:tentative="1">
      <w:start w:val="1"/>
      <w:numFmt w:val="bullet"/>
      <w:lvlText w:val="o"/>
      <w:lvlJc w:val="left"/>
      <w:pPr>
        <w:ind w:left="1440" w:hanging="360"/>
      </w:pPr>
      <w:rPr>
        <w:rFonts w:ascii="Courier New" w:hAnsi="Courier New" w:cs="Courier New" w:hint="default"/>
      </w:rPr>
    </w:lvl>
    <w:lvl w:ilvl="2" w:tplc="CBD66AC2" w:tentative="1">
      <w:start w:val="1"/>
      <w:numFmt w:val="bullet"/>
      <w:lvlText w:val=""/>
      <w:lvlJc w:val="left"/>
      <w:pPr>
        <w:ind w:left="2160" w:hanging="360"/>
      </w:pPr>
      <w:rPr>
        <w:rFonts w:ascii="Wingdings" w:hAnsi="Wingdings" w:hint="default"/>
      </w:rPr>
    </w:lvl>
    <w:lvl w:ilvl="3" w:tplc="22DE2148" w:tentative="1">
      <w:start w:val="1"/>
      <w:numFmt w:val="bullet"/>
      <w:lvlText w:val=""/>
      <w:lvlJc w:val="left"/>
      <w:pPr>
        <w:ind w:left="2880" w:hanging="360"/>
      </w:pPr>
      <w:rPr>
        <w:rFonts w:ascii="Symbol" w:hAnsi="Symbol" w:hint="default"/>
      </w:rPr>
    </w:lvl>
    <w:lvl w:ilvl="4" w:tplc="3084933A" w:tentative="1">
      <w:start w:val="1"/>
      <w:numFmt w:val="bullet"/>
      <w:lvlText w:val="o"/>
      <w:lvlJc w:val="left"/>
      <w:pPr>
        <w:ind w:left="3600" w:hanging="360"/>
      </w:pPr>
      <w:rPr>
        <w:rFonts w:ascii="Courier New" w:hAnsi="Courier New" w:cs="Courier New" w:hint="default"/>
      </w:rPr>
    </w:lvl>
    <w:lvl w:ilvl="5" w:tplc="C2E0A742" w:tentative="1">
      <w:start w:val="1"/>
      <w:numFmt w:val="bullet"/>
      <w:lvlText w:val=""/>
      <w:lvlJc w:val="left"/>
      <w:pPr>
        <w:ind w:left="4320" w:hanging="360"/>
      </w:pPr>
      <w:rPr>
        <w:rFonts w:ascii="Wingdings" w:hAnsi="Wingdings" w:hint="default"/>
      </w:rPr>
    </w:lvl>
    <w:lvl w:ilvl="6" w:tplc="1DB2A390" w:tentative="1">
      <w:start w:val="1"/>
      <w:numFmt w:val="bullet"/>
      <w:lvlText w:val=""/>
      <w:lvlJc w:val="left"/>
      <w:pPr>
        <w:ind w:left="5040" w:hanging="360"/>
      </w:pPr>
      <w:rPr>
        <w:rFonts w:ascii="Symbol" w:hAnsi="Symbol" w:hint="default"/>
      </w:rPr>
    </w:lvl>
    <w:lvl w:ilvl="7" w:tplc="45E61602" w:tentative="1">
      <w:start w:val="1"/>
      <w:numFmt w:val="bullet"/>
      <w:lvlText w:val="o"/>
      <w:lvlJc w:val="left"/>
      <w:pPr>
        <w:ind w:left="5760" w:hanging="360"/>
      </w:pPr>
      <w:rPr>
        <w:rFonts w:ascii="Courier New" w:hAnsi="Courier New" w:cs="Courier New" w:hint="default"/>
      </w:rPr>
    </w:lvl>
    <w:lvl w:ilvl="8" w:tplc="BFF26086" w:tentative="1">
      <w:start w:val="1"/>
      <w:numFmt w:val="bullet"/>
      <w:lvlText w:val=""/>
      <w:lvlJc w:val="left"/>
      <w:pPr>
        <w:ind w:left="6480" w:hanging="360"/>
      </w:pPr>
      <w:rPr>
        <w:rFonts w:ascii="Wingdings" w:hAnsi="Wingdings" w:hint="default"/>
      </w:rPr>
    </w:lvl>
  </w:abstractNum>
  <w:abstractNum w:abstractNumId="2" w15:restartNumberingAfterBreak="0">
    <w:nsid w:val="1529788C"/>
    <w:multiLevelType w:val="hybridMultilevel"/>
    <w:tmpl w:val="A4A01B66"/>
    <w:lvl w:ilvl="0" w:tplc="A350D362">
      <w:start w:val="1"/>
      <w:numFmt w:val="bullet"/>
      <w:lvlText w:val=""/>
      <w:lvlJc w:val="left"/>
      <w:pPr>
        <w:ind w:left="720" w:hanging="360"/>
      </w:pPr>
      <w:rPr>
        <w:rFonts w:ascii="Symbol" w:hAnsi="Symbol" w:hint="default"/>
      </w:rPr>
    </w:lvl>
    <w:lvl w:ilvl="1" w:tplc="EC8A303A" w:tentative="1">
      <w:start w:val="1"/>
      <w:numFmt w:val="bullet"/>
      <w:lvlText w:val="o"/>
      <w:lvlJc w:val="left"/>
      <w:pPr>
        <w:ind w:left="1440" w:hanging="360"/>
      </w:pPr>
      <w:rPr>
        <w:rFonts w:ascii="Courier New" w:hAnsi="Courier New" w:cs="Courier New" w:hint="default"/>
      </w:rPr>
    </w:lvl>
    <w:lvl w:ilvl="2" w:tplc="978A1CD6" w:tentative="1">
      <w:start w:val="1"/>
      <w:numFmt w:val="bullet"/>
      <w:lvlText w:val=""/>
      <w:lvlJc w:val="left"/>
      <w:pPr>
        <w:ind w:left="2160" w:hanging="360"/>
      </w:pPr>
      <w:rPr>
        <w:rFonts w:ascii="Wingdings" w:hAnsi="Wingdings" w:hint="default"/>
      </w:rPr>
    </w:lvl>
    <w:lvl w:ilvl="3" w:tplc="C2FE24AC" w:tentative="1">
      <w:start w:val="1"/>
      <w:numFmt w:val="bullet"/>
      <w:lvlText w:val=""/>
      <w:lvlJc w:val="left"/>
      <w:pPr>
        <w:ind w:left="2880" w:hanging="360"/>
      </w:pPr>
      <w:rPr>
        <w:rFonts w:ascii="Symbol" w:hAnsi="Symbol" w:hint="default"/>
      </w:rPr>
    </w:lvl>
    <w:lvl w:ilvl="4" w:tplc="60FC1AF6" w:tentative="1">
      <w:start w:val="1"/>
      <w:numFmt w:val="bullet"/>
      <w:lvlText w:val="o"/>
      <w:lvlJc w:val="left"/>
      <w:pPr>
        <w:ind w:left="3600" w:hanging="360"/>
      </w:pPr>
      <w:rPr>
        <w:rFonts w:ascii="Courier New" w:hAnsi="Courier New" w:cs="Courier New" w:hint="default"/>
      </w:rPr>
    </w:lvl>
    <w:lvl w:ilvl="5" w:tplc="A622D0C8" w:tentative="1">
      <w:start w:val="1"/>
      <w:numFmt w:val="bullet"/>
      <w:lvlText w:val=""/>
      <w:lvlJc w:val="left"/>
      <w:pPr>
        <w:ind w:left="4320" w:hanging="360"/>
      </w:pPr>
      <w:rPr>
        <w:rFonts w:ascii="Wingdings" w:hAnsi="Wingdings" w:hint="default"/>
      </w:rPr>
    </w:lvl>
    <w:lvl w:ilvl="6" w:tplc="226E34A6" w:tentative="1">
      <w:start w:val="1"/>
      <w:numFmt w:val="bullet"/>
      <w:lvlText w:val=""/>
      <w:lvlJc w:val="left"/>
      <w:pPr>
        <w:ind w:left="5040" w:hanging="360"/>
      </w:pPr>
      <w:rPr>
        <w:rFonts w:ascii="Symbol" w:hAnsi="Symbol" w:hint="default"/>
      </w:rPr>
    </w:lvl>
    <w:lvl w:ilvl="7" w:tplc="1D0CD17C" w:tentative="1">
      <w:start w:val="1"/>
      <w:numFmt w:val="bullet"/>
      <w:lvlText w:val="o"/>
      <w:lvlJc w:val="left"/>
      <w:pPr>
        <w:ind w:left="5760" w:hanging="360"/>
      </w:pPr>
      <w:rPr>
        <w:rFonts w:ascii="Courier New" w:hAnsi="Courier New" w:cs="Courier New" w:hint="default"/>
      </w:rPr>
    </w:lvl>
    <w:lvl w:ilvl="8" w:tplc="3C6EC456" w:tentative="1">
      <w:start w:val="1"/>
      <w:numFmt w:val="bullet"/>
      <w:lvlText w:val=""/>
      <w:lvlJc w:val="left"/>
      <w:pPr>
        <w:ind w:left="6480" w:hanging="360"/>
      </w:pPr>
      <w:rPr>
        <w:rFonts w:ascii="Wingdings" w:hAnsi="Wingdings" w:hint="default"/>
      </w:rPr>
    </w:lvl>
  </w:abstractNum>
  <w:abstractNum w:abstractNumId="3" w15:restartNumberingAfterBreak="0">
    <w:nsid w:val="471A7348"/>
    <w:multiLevelType w:val="hybridMultilevel"/>
    <w:tmpl w:val="BCCA2E7A"/>
    <w:lvl w:ilvl="0" w:tplc="08090005">
      <w:start w:val="1"/>
      <w:numFmt w:val="bullet"/>
      <w:lvlText w:val=""/>
      <w:lvlJc w:val="left"/>
      <w:pPr>
        <w:ind w:left="1260" w:hanging="360"/>
      </w:pPr>
      <w:rPr>
        <w:rFonts w:ascii="Wingdings" w:hAnsi="Wingdings"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4" w15:restartNumberingAfterBreak="0">
    <w:nsid w:val="543E1FAA"/>
    <w:multiLevelType w:val="hybridMultilevel"/>
    <w:tmpl w:val="E5686046"/>
    <w:lvl w:ilvl="0" w:tplc="08090005">
      <w:start w:val="1"/>
      <w:numFmt w:val="bullet"/>
      <w:lvlText w:val=""/>
      <w:lvlJc w:val="left"/>
      <w:pPr>
        <w:ind w:left="1260" w:hanging="360"/>
      </w:pPr>
      <w:rPr>
        <w:rFonts w:ascii="Wingdings" w:hAnsi="Wingdings"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5" w15:restartNumberingAfterBreak="0">
    <w:nsid w:val="720335E7"/>
    <w:multiLevelType w:val="hybridMultilevel"/>
    <w:tmpl w:val="6730289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8E2F9B"/>
    <w:multiLevelType w:val="hybridMultilevel"/>
    <w:tmpl w:val="35DED682"/>
    <w:lvl w:ilvl="0" w:tplc="23086702">
      <w:start w:val="1"/>
      <w:numFmt w:val="bullet"/>
      <w:lvlText w:val=""/>
      <w:lvlJc w:val="left"/>
      <w:pPr>
        <w:ind w:left="720" w:hanging="360"/>
      </w:pPr>
      <w:rPr>
        <w:rFonts w:ascii="Symbol" w:hAnsi="Symbol" w:hint="default"/>
      </w:rPr>
    </w:lvl>
    <w:lvl w:ilvl="1" w:tplc="34BC8390" w:tentative="1">
      <w:start w:val="1"/>
      <w:numFmt w:val="bullet"/>
      <w:lvlText w:val="o"/>
      <w:lvlJc w:val="left"/>
      <w:pPr>
        <w:ind w:left="1440" w:hanging="360"/>
      </w:pPr>
      <w:rPr>
        <w:rFonts w:ascii="Courier New" w:hAnsi="Courier New" w:cs="Courier New" w:hint="default"/>
      </w:rPr>
    </w:lvl>
    <w:lvl w:ilvl="2" w:tplc="A2E223BA" w:tentative="1">
      <w:start w:val="1"/>
      <w:numFmt w:val="bullet"/>
      <w:lvlText w:val=""/>
      <w:lvlJc w:val="left"/>
      <w:pPr>
        <w:ind w:left="2160" w:hanging="360"/>
      </w:pPr>
      <w:rPr>
        <w:rFonts w:ascii="Wingdings" w:hAnsi="Wingdings" w:hint="default"/>
      </w:rPr>
    </w:lvl>
    <w:lvl w:ilvl="3" w:tplc="1E9A847E" w:tentative="1">
      <w:start w:val="1"/>
      <w:numFmt w:val="bullet"/>
      <w:lvlText w:val=""/>
      <w:lvlJc w:val="left"/>
      <w:pPr>
        <w:ind w:left="2880" w:hanging="360"/>
      </w:pPr>
      <w:rPr>
        <w:rFonts w:ascii="Symbol" w:hAnsi="Symbol" w:hint="default"/>
      </w:rPr>
    </w:lvl>
    <w:lvl w:ilvl="4" w:tplc="7B223348" w:tentative="1">
      <w:start w:val="1"/>
      <w:numFmt w:val="bullet"/>
      <w:lvlText w:val="o"/>
      <w:lvlJc w:val="left"/>
      <w:pPr>
        <w:ind w:left="3600" w:hanging="360"/>
      </w:pPr>
      <w:rPr>
        <w:rFonts w:ascii="Courier New" w:hAnsi="Courier New" w:cs="Courier New" w:hint="default"/>
      </w:rPr>
    </w:lvl>
    <w:lvl w:ilvl="5" w:tplc="ADD09B88" w:tentative="1">
      <w:start w:val="1"/>
      <w:numFmt w:val="bullet"/>
      <w:lvlText w:val=""/>
      <w:lvlJc w:val="left"/>
      <w:pPr>
        <w:ind w:left="4320" w:hanging="360"/>
      </w:pPr>
      <w:rPr>
        <w:rFonts w:ascii="Wingdings" w:hAnsi="Wingdings" w:hint="default"/>
      </w:rPr>
    </w:lvl>
    <w:lvl w:ilvl="6" w:tplc="51AA669C" w:tentative="1">
      <w:start w:val="1"/>
      <w:numFmt w:val="bullet"/>
      <w:lvlText w:val=""/>
      <w:lvlJc w:val="left"/>
      <w:pPr>
        <w:ind w:left="5040" w:hanging="360"/>
      </w:pPr>
      <w:rPr>
        <w:rFonts w:ascii="Symbol" w:hAnsi="Symbol" w:hint="default"/>
      </w:rPr>
    </w:lvl>
    <w:lvl w:ilvl="7" w:tplc="DAA0B8F4" w:tentative="1">
      <w:start w:val="1"/>
      <w:numFmt w:val="bullet"/>
      <w:lvlText w:val="o"/>
      <w:lvlJc w:val="left"/>
      <w:pPr>
        <w:ind w:left="5760" w:hanging="360"/>
      </w:pPr>
      <w:rPr>
        <w:rFonts w:ascii="Courier New" w:hAnsi="Courier New" w:cs="Courier New" w:hint="default"/>
      </w:rPr>
    </w:lvl>
    <w:lvl w:ilvl="8" w:tplc="1B7E0624"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
  </w:num>
  <w:num w:numId="4">
    <w:abstractNumId w:val="0"/>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C0E"/>
    <w:rsid w:val="000035F6"/>
    <w:rsid w:val="00065B4B"/>
    <w:rsid w:val="00077A2D"/>
    <w:rsid w:val="00085DAF"/>
    <w:rsid w:val="000B79C9"/>
    <w:rsid w:val="001728C6"/>
    <w:rsid w:val="001C092E"/>
    <w:rsid w:val="001C78F6"/>
    <w:rsid w:val="001D1B92"/>
    <w:rsid w:val="001D64D0"/>
    <w:rsid w:val="001E65D2"/>
    <w:rsid w:val="00235C9F"/>
    <w:rsid w:val="002856F1"/>
    <w:rsid w:val="002B0382"/>
    <w:rsid w:val="002D4466"/>
    <w:rsid w:val="002E7A65"/>
    <w:rsid w:val="002F0BB7"/>
    <w:rsid w:val="00311BA3"/>
    <w:rsid w:val="00323540"/>
    <w:rsid w:val="003E6879"/>
    <w:rsid w:val="004311AC"/>
    <w:rsid w:val="004E23B9"/>
    <w:rsid w:val="004F3012"/>
    <w:rsid w:val="00561C9A"/>
    <w:rsid w:val="00563DA4"/>
    <w:rsid w:val="005972ED"/>
    <w:rsid w:val="005E5647"/>
    <w:rsid w:val="006415BA"/>
    <w:rsid w:val="00670184"/>
    <w:rsid w:val="006D211F"/>
    <w:rsid w:val="00735498"/>
    <w:rsid w:val="00735B53"/>
    <w:rsid w:val="007435FF"/>
    <w:rsid w:val="00765023"/>
    <w:rsid w:val="007A21D7"/>
    <w:rsid w:val="007A7B07"/>
    <w:rsid w:val="007B2C5F"/>
    <w:rsid w:val="008451B8"/>
    <w:rsid w:val="008F1F98"/>
    <w:rsid w:val="0096114E"/>
    <w:rsid w:val="009C6BCC"/>
    <w:rsid w:val="00A505CA"/>
    <w:rsid w:val="00A52FA4"/>
    <w:rsid w:val="00AC4A4D"/>
    <w:rsid w:val="00B26C06"/>
    <w:rsid w:val="00B46B1D"/>
    <w:rsid w:val="00B83615"/>
    <w:rsid w:val="00B87D93"/>
    <w:rsid w:val="00D33AA3"/>
    <w:rsid w:val="00DC1863"/>
    <w:rsid w:val="00DF4529"/>
    <w:rsid w:val="00E26C0E"/>
    <w:rsid w:val="00E6083B"/>
    <w:rsid w:val="00EB54A7"/>
    <w:rsid w:val="00EB7103"/>
    <w:rsid w:val="00EF42E5"/>
    <w:rsid w:val="00F55A18"/>
    <w:rsid w:val="00F812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D400C"/>
  <w15:docId w15:val="{27471BC4-771F-4C03-89BB-231D181D8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uiPriority w:val="9"/>
    <w:semiHidden/>
    <w:unhideWhenUsed/>
    <w:qFormat/>
    <w:rsid w:val="00D3134F"/>
    <w:pPr>
      <w:keepNext/>
      <w:keepLines/>
      <w:spacing w:before="40" w:after="0" w:line="249" w:lineRule="auto"/>
      <w:ind w:left="542" w:hanging="542"/>
      <w:outlineLvl w:val="4"/>
    </w:pPr>
    <w:rPr>
      <w:rFonts w:asciiTheme="majorHAnsi" w:eastAsiaTheme="majorEastAsia" w:hAnsiTheme="majorHAnsi" w:cstheme="majorBidi"/>
      <w:color w:val="365F91" w:themeColor="accent1" w:themeShade="BF"/>
      <w:sz w:val="24"/>
      <w:szCs w:val="24"/>
      <w:lang w:eastAsia="en-GB"/>
    </w:rPr>
  </w:style>
  <w:style w:type="paragraph" w:styleId="Heading6">
    <w:name w:val="heading 6"/>
    <w:basedOn w:val="Normal"/>
    <w:next w:val="Normal"/>
    <w:link w:val="Heading6Char"/>
    <w:uiPriority w:val="9"/>
    <w:semiHidden/>
    <w:unhideWhenUsed/>
    <w:qFormat/>
    <w:rsid w:val="00D3134F"/>
    <w:pPr>
      <w:keepNext/>
      <w:keepLines/>
      <w:spacing w:before="40" w:after="0" w:line="249" w:lineRule="auto"/>
      <w:ind w:left="542" w:hanging="542"/>
      <w:outlineLvl w:val="5"/>
    </w:pPr>
    <w:rPr>
      <w:rFonts w:asciiTheme="majorHAnsi" w:eastAsiaTheme="majorEastAsia" w:hAnsiTheme="majorHAnsi" w:cstheme="majorBidi"/>
      <w:color w:val="243F60" w:themeColor="accent1" w:themeShade="7F"/>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40F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0F6A"/>
  </w:style>
  <w:style w:type="paragraph" w:styleId="Footer">
    <w:name w:val="footer"/>
    <w:basedOn w:val="Normal"/>
    <w:link w:val="FooterChar"/>
    <w:uiPriority w:val="99"/>
    <w:unhideWhenUsed/>
    <w:rsid w:val="00440F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0F6A"/>
  </w:style>
  <w:style w:type="paragraph" w:styleId="ListParagraph">
    <w:name w:val="List Paragraph"/>
    <w:basedOn w:val="Normal"/>
    <w:uiPriority w:val="34"/>
    <w:qFormat/>
    <w:rsid w:val="00F41D53"/>
    <w:pPr>
      <w:ind w:left="720"/>
      <w:contextualSpacing/>
    </w:pPr>
  </w:style>
  <w:style w:type="paragraph" w:styleId="NoSpacing">
    <w:name w:val="No Spacing"/>
    <w:qFormat/>
    <w:rsid w:val="00ED346B"/>
    <w:pPr>
      <w:spacing w:after="0" w:line="240" w:lineRule="auto"/>
    </w:pPr>
    <w:rPr>
      <w:rFonts w:ascii="Arial" w:hAnsi="Arial"/>
      <w:sz w:val="24"/>
    </w:rPr>
  </w:style>
  <w:style w:type="character" w:customStyle="1" w:styleId="Heading5Char">
    <w:name w:val="Heading 5 Char"/>
    <w:basedOn w:val="DefaultParagraphFont"/>
    <w:link w:val="Heading5"/>
    <w:uiPriority w:val="9"/>
    <w:semiHidden/>
    <w:rsid w:val="00D3134F"/>
    <w:rPr>
      <w:rFonts w:asciiTheme="majorHAnsi" w:eastAsiaTheme="majorEastAsia" w:hAnsiTheme="majorHAnsi" w:cstheme="majorBidi"/>
      <w:color w:val="365F91" w:themeColor="accent1" w:themeShade="BF"/>
      <w:sz w:val="24"/>
      <w:szCs w:val="24"/>
      <w:lang w:eastAsia="en-GB"/>
    </w:rPr>
  </w:style>
  <w:style w:type="character" w:customStyle="1" w:styleId="Heading6Char">
    <w:name w:val="Heading 6 Char"/>
    <w:basedOn w:val="DefaultParagraphFont"/>
    <w:link w:val="Heading6"/>
    <w:uiPriority w:val="9"/>
    <w:semiHidden/>
    <w:rsid w:val="00D3134F"/>
    <w:rPr>
      <w:rFonts w:asciiTheme="majorHAnsi" w:eastAsiaTheme="majorEastAsia" w:hAnsiTheme="majorHAnsi" w:cstheme="majorBidi"/>
      <w:color w:val="243F60" w:themeColor="accent1" w:themeShade="7F"/>
      <w:sz w:val="24"/>
      <w:szCs w:val="24"/>
      <w:lang w:eastAsia="en-GB"/>
    </w:rPr>
  </w:style>
  <w:style w:type="paragraph" w:styleId="BalloonText">
    <w:name w:val="Balloon Text"/>
    <w:basedOn w:val="Normal"/>
    <w:link w:val="BalloonTextChar"/>
    <w:uiPriority w:val="99"/>
    <w:semiHidden/>
    <w:unhideWhenUsed/>
    <w:rsid w:val="001969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69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213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35A8E9-D13C-47CA-8488-4CC45391F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8</Pages>
  <Words>2510</Words>
  <Characters>14313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HCA</Company>
  <LinksUpToDate>false</LinksUpToDate>
  <CharactersWithSpaces>16790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Sage</dc:creator>
  <cp:lastModifiedBy>Milroy, Andy</cp:lastModifiedBy>
  <cp:revision>10</cp:revision>
  <cp:lastPrinted>2018-11-21T16:01:00Z</cp:lastPrinted>
  <dcterms:created xsi:type="dcterms:W3CDTF">2021-01-15T15:57:00Z</dcterms:created>
  <dcterms:modified xsi:type="dcterms:W3CDTF">2021-01-26T14:26:00Z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CAGPMS">
    <vt:lpwstr>OFFICIAL</vt:lpwstr>
  </property>
  <property fmtid="{D5CDD505-2E9C-101B-9397-08002B2CF9AE}" pid="3" name="IssueTitle">
    <vt:lpwstr>Preston Western Distributor (including Cottam Link Road) and East West Link Road Update</vt:lpwstr>
  </property>
  <property fmtid="{D5CDD505-2E9C-101B-9397-08002B2CF9AE}" pid="4" name="LeadOfficer">
    <vt:lpwstr>Sarah Parry</vt:lpwstr>
  </property>
  <property fmtid="{D5CDD505-2E9C-101B-9397-08002B2CF9AE}" pid="5" name="LeadOfficerEmail">
    <vt:lpwstr>sarah.parry@lancashire.gov.uk</vt:lpwstr>
  </property>
  <property fmtid="{D5CDD505-2E9C-101B-9397-08002B2CF9AE}" pid="6" name="LeadOfficerTel">
    <vt:lpwstr>Tel: 01772 530615</vt:lpwstr>
  </property>
  <property fmtid="{D5CDD505-2E9C-101B-9397-08002B2CF9AE}" pid="7" name="MeetingDate">
    <vt:lpwstr>Monday, 29 October 2018</vt:lpwstr>
  </property>
  <property fmtid="{D5CDD505-2E9C-101B-9397-08002B2CF9AE}" pid="8" name="TitusGUID">
    <vt:lpwstr>b16076df-281e-485b-ac3b-6fbc29115d7d</vt:lpwstr>
  </property>
  <property fmtid="{D5CDD505-2E9C-101B-9397-08002B2CF9AE}" pid="9" name="_AdHocReviewCycleID">
    <vt:i4>-534159527</vt:i4>
  </property>
  <property fmtid="{D5CDD505-2E9C-101B-9397-08002B2CF9AE}" pid="10" name="_NewReviewCycle">
    <vt:lpwstr/>
  </property>
  <property fmtid="{D5CDD505-2E9C-101B-9397-08002B2CF9AE}" pid="11" name="_EmailSubject">
    <vt:lpwstr>City Deal Affordable Housing Report</vt:lpwstr>
  </property>
  <property fmtid="{D5CDD505-2E9C-101B-9397-08002B2CF9AE}" pid="12" name="_AuthorEmail">
    <vt:lpwstr>ch.blackburn@preston.gov.uk</vt:lpwstr>
  </property>
  <property fmtid="{D5CDD505-2E9C-101B-9397-08002B2CF9AE}" pid="13" name="_AuthorEmailDisplayName">
    <vt:lpwstr>Chris Blackburn</vt:lpwstr>
  </property>
  <property fmtid="{D5CDD505-2E9C-101B-9397-08002B2CF9AE}" pid="14" name="_ReviewingToolsShownOnce">
    <vt:lpwstr/>
  </property>
</Properties>
</file>