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4B24" w14:textId="77777777" w:rsidR="000F5AB6" w:rsidRDefault="000F5AB6">
      <w:pPr>
        <w:rPr>
          <w:b/>
        </w:rPr>
      </w:pPr>
    </w:p>
    <w:p w14:paraId="159A8B8F" w14:textId="77777777" w:rsidR="000F5AB6" w:rsidRDefault="000F5AB6">
      <w:pPr>
        <w:rPr>
          <w:b/>
        </w:rPr>
      </w:pPr>
    </w:p>
    <w:p w14:paraId="64E89A81" w14:textId="2984CCDE" w:rsidR="000F5AB6" w:rsidRDefault="000F5AB6">
      <w:pPr>
        <w:rPr>
          <w:b/>
        </w:rPr>
      </w:pPr>
    </w:p>
    <w:p w14:paraId="66B4311F" w14:textId="77777777" w:rsidR="006F5976" w:rsidRDefault="006F5976">
      <w:pPr>
        <w:rPr>
          <w:b/>
        </w:rPr>
      </w:pPr>
    </w:p>
    <w:p w14:paraId="4A7C317C" w14:textId="77777777" w:rsidR="003C6B5F" w:rsidRPr="000A1EEE" w:rsidRDefault="003C6B5F" w:rsidP="003C6B5F">
      <w:pPr>
        <w:rPr>
          <w:b/>
        </w:rPr>
      </w:pPr>
      <w:r w:rsidRPr="000A1EEE">
        <w:rPr>
          <w:b/>
        </w:rPr>
        <w:t>Lancashire Health and Wellbeing Board</w:t>
      </w:r>
    </w:p>
    <w:p w14:paraId="19834E19" w14:textId="7D684A70" w:rsidR="003C6B5F" w:rsidRPr="006F5976" w:rsidRDefault="003C6B5F" w:rsidP="003C6B5F">
      <w:pPr>
        <w:rPr>
          <w:i/>
        </w:rPr>
      </w:pPr>
      <w:r w:rsidRPr="006F5976">
        <w:t xml:space="preserve">Meeting to be held on </w:t>
      </w:r>
      <w:r w:rsidR="006F5976">
        <w:t>9 May 2023</w:t>
      </w:r>
    </w:p>
    <w:p w14:paraId="5D57C5B6" w14:textId="77777777" w:rsidR="003C6B5F" w:rsidRPr="006F5976" w:rsidRDefault="003C6B5F" w:rsidP="003C6B5F">
      <w:pPr>
        <w:rPr>
          <w:b/>
          <w:highlight w:val="yellow"/>
        </w:rPr>
      </w:pPr>
    </w:p>
    <w:tbl>
      <w:tblPr>
        <w:tblpPr w:leftFromText="180" w:rightFromText="180" w:vertAnchor="text" w:horzAnchor="margin" w:tblpX="57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tblGrid>
      <w:tr w:rsidR="00EC15FE" w:rsidRPr="0041634F" w14:paraId="421CF6B0" w14:textId="77777777" w:rsidTr="003C6B5F">
        <w:tc>
          <w:tcPr>
            <w:tcW w:w="3465" w:type="dxa"/>
            <w:tcBorders>
              <w:top w:val="single" w:sz="4" w:space="0" w:color="auto"/>
              <w:left w:val="single" w:sz="4" w:space="0" w:color="auto"/>
              <w:bottom w:val="single" w:sz="4" w:space="0" w:color="auto"/>
              <w:right w:val="single" w:sz="4" w:space="0" w:color="auto"/>
            </w:tcBorders>
            <w:hideMark/>
          </w:tcPr>
          <w:p w14:paraId="0B48AC8A" w14:textId="77777777" w:rsidR="003C6B5F" w:rsidRPr="006F5976" w:rsidRDefault="003C6B5F">
            <w:pPr>
              <w:rPr>
                <w:b/>
                <w:bCs/>
              </w:rPr>
            </w:pPr>
            <w:r w:rsidRPr="006F5976">
              <w:rPr>
                <w:b/>
                <w:bCs/>
              </w:rPr>
              <w:t>Corporate Priorities:</w:t>
            </w:r>
          </w:p>
          <w:p w14:paraId="7E0FE04D" w14:textId="0CDB3BDD" w:rsidR="003C6B5F" w:rsidRPr="0041634F" w:rsidRDefault="006F5976">
            <w:pPr>
              <w:rPr>
                <w:highlight w:val="yellow"/>
              </w:rPr>
            </w:pPr>
            <w:r w:rsidRPr="006F5976">
              <w:t>Delivering better services;</w:t>
            </w:r>
          </w:p>
        </w:tc>
      </w:tr>
    </w:tbl>
    <w:p w14:paraId="6C309C92" w14:textId="77777777" w:rsidR="003C6B5F" w:rsidRPr="0041634F" w:rsidRDefault="003C6B5F" w:rsidP="003C6B5F">
      <w:pPr>
        <w:rPr>
          <w:b/>
          <w:highlight w:val="yellow"/>
        </w:rPr>
      </w:pPr>
    </w:p>
    <w:p w14:paraId="1FF376B1" w14:textId="77777777" w:rsidR="003C6B5F" w:rsidRPr="0041634F" w:rsidRDefault="003C6B5F" w:rsidP="003C6B5F">
      <w:pPr>
        <w:rPr>
          <w:b/>
          <w:highlight w:val="yellow"/>
        </w:rPr>
      </w:pPr>
    </w:p>
    <w:p w14:paraId="5A1D1C45" w14:textId="77777777" w:rsidR="003C6B5F" w:rsidRPr="0041634F" w:rsidRDefault="003C6B5F" w:rsidP="003C6B5F">
      <w:pPr>
        <w:rPr>
          <w:b/>
          <w:highlight w:val="yellow"/>
        </w:rPr>
      </w:pPr>
    </w:p>
    <w:p w14:paraId="0A33F490" w14:textId="4565C87B" w:rsidR="003C6B5F" w:rsidRPr="000A1EEE" w:rsidRDefault="003C6B5F" w:rsidP="00AF3574">
      <w:pPr>
        <w:ind w:right="-873"/>
        <w:rPr>
          <w:i/>
        </w:rPr>
      </w:pPr>
    </w:p>
    <w:p w14:paraId="3CF5DD71" w14:textId="51943692" w:rsidR="00D55866" w:rsidRDefault="00D55866" w:rsidP="00D55866">
      <w:pPr>
        <w:rPr>
          <w:rFonts w:cs="Arial"/>
          <w:b/>
          <w:bCs/>
        </w:rPr>
      </w:pPr>
      <w:r>
        <w:rPr>
          <w:b/>
          <w:szCs w:val="22"/>
          <w:bdr w:val="none" w:sz="0" w:space="0" w:color="auto" w:frame="1"/>
        </w:rPr>
        <w:t xml:space="preserve">Development of the Lancashire Place Based Partnership - </w:t>
      </w:r>
      <w:r>
        <w:rPr>
          <w:rFonts w:cs="Arial"/>
          <w:b/>
          <w:bCs/>
        </w:rPr>
        <w:t>A Progress Report</w:t>
      </w:r>
    </w:p>
    <w:p w14:paraId="3DFE5C1A" w14:textId="4D408AB3" w:rsidR="006F5976" w:rsidRDefault="006F5976" w:rsidP="00D55866">
      <w:pPr>
        <w:rPr>
          <w:iCs/>
        </w:rPr>
      </w:pPr>
      <w:r w:rsidRPr="006F5976">
        <w:rPr>
          <w:iCs/>
        </w:rPr>
        <w:t>(Appendices 'A' and 'B' refer)</w:t>
      </w:r>
    </w:p>
    <w:p w14:paraId="4015D77C" w14:textId="77777777" w:rsidR="006F5976" w:rsidRPr="006F5976" w:rsidRDefault="006F5976" w:rsidP="00D55866">
      <w:pPr>
        <w:rPr>
          <w:iCs/>
        </w:rPr>
      </w:pPr>
    </w:p>
    <w:p w14:paraId="3F3D114A" w14:textId="77777777" w:rsidR="00D55866" w:rsidRPr="006F5976" w:rsidRDefault="00D55866" w:rsidP="00D55866">
      <w:pPr>
        <w:ind w:right="-873"/>
        <w:rPr>
          <w:rFonts w:cs="Arial"/>
          <w:iCs/>
        </w:rPr>
      </w:pPr>
      <w:r w:rsidRPr="006F5976">
        <w:rPr>
          <w:rFonts w:cs="Arial"/>
          <w:iCs/>
        </w:rPr>
        <w:t xml:space="preserve">Contact for further information: </w:t>
      </w:r>
    </w:p>
    <w:p w14:paraId="30EE23A0" w14:textId="77777777" w:rsidR="006F5976" w:rsidRDefault="00D55866" w:rsidP="00D55866">
      <w:pPr>
        <w:ind w:right="-873"/>
        <w:rPr>
          <w:rFonts w:cs="Arial"/>
          <w:iCs/>
        </w:rPr>
      </w:pPr>
      <w:r w:rsidRPr="006F5976">
        <w:rPr>
          <w:rFonts w:cs="Arial"/>
          <w:iCs/>
        </w:rPr>
        <w:t>Sarah James, Integrated Place Leader, Lancashire and South Cumbria I</w:t>
      </w:r>
      <w:r w:rsidR="006F5976">
        <w:rPr>
          <w:rFonts w:cs="Arial"/>
          <w:iCs/>
        </w:rPr>
        <w:t>ntegrated Care Board,</w:t>
      </w:r>
      <w:r w:rsidRPr="006F5976">
        <w:rPr>
          <w:rFonts w:cs="Arial"/>
          <w:iCs/>
        </w:rPr>
        <w:t xml:space="preserve"> </w:t>
      </w:r>
    </w:p>
    <w:p w14:paraId="24CD2A89" w14:textId="478EC1F9" w:rsidR="00D55866" w:rsidRPr="006F5976" w:rsidRDefault="006F5976" w:rsidP="00D55866">
      <w:pPr>
        <w:ind w:right="-873"/>
        <w:rPr>
          <w:rFonts w:cs="Arial"/>
          <w:iCs/>
        </w:rPr>
      </w:pPr>
      <w:hyperlink r:id="rId8" w:history="1">
        <w:r w:rsidRPr="005F05FF">
          <w:rPr>
            <w:rStyle w:val="Hyperlink"/>
            <w:rFonts w:cs="Arial"/>
            <w:iCs/>
          </w:rPr>
          <w:t>sarah.james79@nhs.net</w:t>
        </w:r>
      </w:hyperlink>
      <w:r w:rsidR="00D55866" w:rsidRPr="006F5976">
        <w:rPr>
          <w:rFonts w:cs="Arial"/>
          <w:iCs/>
        </w:rPr>
        <w:t xml:space="preserve"> </w:t>
      </w:r>
    </w:p>
    <w:p w14:paraId="4FFACA9F" w14:textId="77777777" w:rsidR="003C6B5F" w:rsidRDefault="003C6B5F" w:rsidP="003C6B5F">
      <w:pPr>
        <w:ind w:right="-873"/>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EC15FE" w:rsidRPr="0041634F" w14:paraId="0459F1A6" w14:textId="77777777" w:rsidTr="003C6B5F">
        <w:tc>
          <w:tcPr>
            <w:tcW w:w="9889" w:type="dxa"/>
            <w:tcBorders>
              <w:top w:val="single" w:sz="4" w:space="0" w:color="auto"/>
              <w:left w:val="single" w:sz="4" w:space="0" w:color="auto"/>
              <w:bottom w:val="single" w:sz="4" w:space="0" w:color="auto"/>
              <w:right w:val="single" w:sz="4" w:space="0" w:color="auto"/>
            </w:tcBorders>
          </w:tcPr>
          <w:p w14:paraId="633C1418" w14:textId="77777777" w:rsidR="003C6B5F" w:rsidRDefault="003C6B5F" w:rsidP="003C6B5F">
            <w:pPr>
              <w:pStyle w:val="Heading6"/>
              <w:rPr>
                <w:rFonts w:ascii="Arial" w:hAnsi="Arial"/>
                <w:u w:val="single"/>
              </w:rPr>
            </w:pPr>
          </w:p>
          <w:p w14:paraId="12DBD0DC" w14:textId="77777777" w:rsidR="003C6B5F" w:rsidRPr="000A1EEE" w:rsidRDefault="003C6B5F" w:rsidP="003C6B5F">
            <w:pPr>
              <w:pStyle w:val="Heading6"/>
              <w:rPr>
                <w:rFonts w:ascii="Arial" w:hAnsi="Arial"/>
              </w:rPr>
            </w:pPr>
            <w:r w:rsidRPr="000A1EEE">
              <w:rPr>
                <w:rFonts w:ascii="Arial" w:hAnsi="Arial"/>
              </w:rPr>
              <w:t>Brief Summary</w:t>
            </w:r>
          </w:p>
          <w:p w14:paraId="15E8503B" w14:textId="77777777" w:rsidR="003C6B5F" w:rsidRPr="00040A4F" w:rsidRDefault="003C6B5F" w:rsidP="003C6B5F">
            <w:pPr>
              <w:rPr>
                <w:b/>
                <w:highlight w:val="yellow"/>
              </w:rPr>
            </w:pPr>
          </w:p>
          <w:p w14:paraId="0C967B91" w14:textId="56EEFFAE" w:rsidR="00F968EF" w:rsidRDefault="00245113" w:rsidP="003C6B5F">
            <w:pPr>
              <w:rPr>
                <w:rFonts w:cs="Arial"/>
              </w:rPr>
            </w:pPr>
            <w:r>
              <w:rPr>
                <w:rFonts w:cs="Arial"/>
              </w:rPr>
              <w:t xml:space="preserve">This report provides the Health and Wellbeing Board with </w:t>
            </w:r>
            <w:r w:rsidR="009800FB">
              <w:rPr>
                <w:rFonts w:cs="Arial"/>
              </w:rPr>
              <w:t xml:space="preserve">a </w:t>
            </w:r>
            <w:r>
              <w:rPr>
                <w:rFonts w:cs="Arial"/>
              </w:rPr>
              <w:t xml:space="preserve">progress report on the actions taken to develop the Lancashire Place-Based Partnership. It covers the period </w:t>
            </w:r>
            <w:r w:rsidR="005961E6">
              <w:rPr>
                <w:rFonts w:cs="Arial"/>
              </w:rPr>
              <w:t>March</w:t>
            </w:r>
            <w:r>
              <w:rPr>
                <w:rFonts w:cs="Arial"/>
              </w:rPr>
              <w:t xml:space="preserve"> – </w:t>
            </w:r>
            <w:r w:rsidR="005961E6">
              <w:rPr>
                <w:rFonts w:cs="Arial"/>
              </w:rPr>
              <w:t>May</w:t>
            </w:r>
            <w:r>
              <w:rPr>
                <w:rFonts w:cs="Arial"/>
              </w:rPr>
              <w:t xml:space="preserve"> 2023 following the last update to the Board in </w:t>
            </w:r>
            <w:r w:rsidR="005961E6">
              <w:rPr>
                <w:rFonts w:cs="Arial"/>
              </w:rPr>
              <w:t>March</w:t>
            </w:r>
            <w:r>
              <w:rPr>
                <w:rFonts w:cs="Arial"/>
              </w:rPr>
              <w:t xml:space="preserve"> and intends to ensure that the Health and Wellbeing Board are fully sighted on our progress during this development phase</w:t>
            </w:r>
          </w:p>
          <w:p w14:paraId="04B72ECA" w14:textId="77777777" w:rsidR="00245113" w:rsidRPr="002C03A3" w:rsidRDefault="00245113" w:rsidP="003C6B5F"/>
          <w:p w14:paraId="040F2CF7" w14:textId="76F31266" w:rsidR="003C6B5F" w:rsidRPr="002C03A3" w:rsidRDefault="003C6B5F" w:rsidP="003C6B5F">
            <w:pPr>
              <w:pStyle w:val="Heading5"/>
              <w:rPr>
                <w:rFonts w:ascii="Arial" w:hAnsi="Arial"/>
                <w:u w:val="none"/>
              </w:rPr>
            </w:pPr>
            <w:r w:rsidRPr="002C03A3">
              <w:rPr>
                <w:rFonts w:ascii="Arial" w:hAnsi="Arial"/>
                <w:u w:val="none"/>
              </w:rPr>
              <w:t>Recommendations</w:t>
            </w:r>
          </w:p>
          <w:p w14:paraId="553CB78D" w14:textId="77777777" w:rsidR="003C6B5F" w:rsidRPr="002C03A3" w:rsidRDefault="003C6B5F" w:rsidP="003C6B5F"/>
          <w:p w14:paraId="27AAFAB8" w14:textId="50EA3E7A" w:rsidR="002D1B24" w:rsidRPr="001B1A1D" w:rsidRDefault="002D1B24" w:rsidP="002D1B24">
            <w:pPr>
              <w:jc w:val="both"/>
              <w:rPr>
                <w:rFonts w:cs="Arial"/>
              </w:rPr>
            </w:pPr>
            <w:r>
              <w:rPr>
                <w:rFonts w:cs="Arial"/>
              </w:rPr>
              <w:t xml:space="preserve">The Health and Wellbeing Board is recommended to </w:t>
            </w:r>
            <w:r w:rsidR="006F5976">
              <w:rPr>
                <w:rFonts w:cs="Arial"/>
              </w:rPr>
              <w:t>consider</w:t>
            </w:r>
            <w:r w:rsidR="00D214FF">
              <w:rPr>
                <w:rFonts w:cs="Arial"/>
              </w:rPr>
              <w:t xml:space="preserve"> and comment as appropriate on</w:t>
            </w:r>
            <w:r w:rsidRPr="00470657">
              <w:rPr>
                <w:iCs/>
              </w:rPr>
              <w:t xml:space="preserve"> the progress report on the development of the Lancashire Place Based Partnership </w:t>
            </w:r>
          </w:p>
          <w:p w14:paraId="1C8DBB5F" w14:textId="0AC59175" w:rsidR="003C6B5F" w:rsidRPr="006349E5" w:rsidRDefault="003C6B5F" w:rsidP="002D1B24">
            <w:pPr>
              <w:pStyle w:val="Header"/>
              <w:jc w:val="both"/>
              <w:rPr>
                <w:rFonts w:ascii="Arial" w:hAnsi="Arial" w:cs="Arial"/>
              </w:rPr>
            </w:pPr>
          </w:p>
        </w:tc>
      </w:tr>
    </w:tbl>
    <w:p w14:paraId="09982162" w14:textId="77777777" w:rsidR="003C6B5F" w:rsidRPr="0041634F" w:rsidRDefault="003C6B5F" w:rsidP="003C6B5F">
      <w:pPr>
        <w:rPr>
          <w:b/>
          <w:highlight w:val="yellow"/>
          <w:u w:val="single"/>
        </w:rPr>
      </w:pPr>
    </w:p>
    <w:p w14:paraId="6058C31D" w14:textId="66B70AD4" w:rsidR="00655E9C" w:rsidRPr="0075601D" w:rsidRDefault="00D214FF" w:rsidP="00D214FF">
      <w:pPr>
        <w:rPr>
          <w:rFonts w:cs="Arial"/>
          <w:b/>
          <w:bCs/>
        </w:rPr>
      </w:pPr>
      <w:r>
        <w:rPr>
          <w:rFonts w:cs="Arial"/>
          <w:b/>
          <w:bCs/>
        </w:rPr>
        <w:t>Detail</w:t>
      </w:r>
    </w:p>
    <w:p w14:paraId="63FB719F" w14:textId="4042C265" w:rsidR="002E3C77" w:rsidRPr="0075601D" w:rsidRDefault="002E3C77" w:rsidP="00EA4A3C">
      <w:pPr>
        <w:jc w:val="center"/>
        <w:rPr>
          <w:rFonts w:cs="Arial"/>
          <w:b/>
          <w:bCs/>
        </w:rPr>
      </w:pPr>
    </w:p>
    <w:p w14:paraId="5C286A2A" w14:textId="669B386B" w:rsidR="002E3C77" w:rsidRPr="0075601D" w:rsidRDefault="002E3C77" w:rsidP="00D214FF">
      <w:pPr>
        <w:rPr>
          <w:rFonts w:cs="Arial"/>
          <w:b/>
          <w:bCs/>
        </w:rPr>
      </w:pPr>
      <w:r w:rsidRPr="0075601D">
        <w:rPr>
          <w:rFonts w:cs="Arial"/>
          <w:b/>
          <w:bCs/>
        </w:rPr>
        <w:t>Purpose</w:t>
      </w:r>
    </w:p>
    <w:p w14:paraId="6BD04B7E" w14:textId="6DEA7E50" w:rsidR="00276D5D" w:rsidRDefault="00276D5D" w:rsidP="00276D5D">
      <w:pPr>
        <w:rPr>
          <w:rFonts w:cs="Arial"/>
        </w:rPr>
      </w:pPr>
    </w:p>
    <w:p w14:paraId="5CCEC8E7" w14:textId="5ADBEEBE" w:rsidR="00C04FEA" w:rsidRDefault="00276D5D" w:rsidP="008B7F63">
      <w:pPr>
        <w:jc w:val="both"/>
        <w:rPr>
          <w:rFonts w:cs="Arial"/>
        </w:rPr>
      </w:pPr>
      <w:r>
        <w:rPr>
          <w:rFonts w:cs="Arial"/>
        </w:rPr>
        <w:t xml:space="preserve">This report provides the Health and Wellbeing Board with </w:t>
      </w:r>
      <w:r w:rsidR="00626387">
        <w:rPr>
          <w:rFonts w:cs="Arial"/>
        </w:rPr>
        <w:t xml:space="preserve">a </w:t>
      </w:r>
      <w:r>
        <w:rPr>
          <w:rFonts w:cs="Arial"/>
        </w:rPr>
        <w:t>progress</w:t>
      </w:r>
      <w:r w:rsidR="00D55866">
        <w:rPr>
          <w:rFonts w:cs="Arial"/>
        </w:rPr>
        <w:t xml:space="preserve"> report</w:t>
      </w:r>
      <w:r>
        <w:rPr>
          <w:rFonts w:cs="Arial"/>
        </w:rPr>
        <w:t xml:space="preserve"> </w:t>
      </w:r>
      <w:r w:rsidR="00245113">
        <w:rPr>
          <w:rFonts w:cs="Arial"/>
        </w:rPr>
        <w:t>o</w:t>
      </w:r>
      <w:r>
        <w:rPr>
          <w:rFonts w:cs="Arial"/>
        </w:rPr>
        <w:t xml:space="preserve">n </w:t>
      </w:r>
      <w:r w:rsidR="008B7F63">
        <w:rPr>
          <w:rFonts w:cs="Arial"/>
        </w:rPr>
        <w:t xml:space="preserve">the actions taken to </w:t>
      </w:r>
      <w:r>
        <w:rPr>
          <w:rFonts w:cs="Arial"/>
        </w:rPr>
        <w:t xml:space="preserve">develop the </w:t>
      </w:r>
      <w:r w:rsidR="00254728">
        <w:rPr>
          <w:rFonts w:cs="Arial"/>
        </w:rPr>
        <w:t>Lancashire</w:t>
      </w:r>
      <w:r>
        <w:rPr>
          <w:rFonts w:cs="Arial"/>
        </w:rPr>
        <w:t xml:space="preserve"> </w:t>
      </w:r>
      <w:r w:rsidR="008B7F63">
        <w:rPr>
          <w:rFonts w:cs="Arial"/>
        </w:rPr>
        <w:t>Place-Based Partnership</w:t>
      </w:r>
      <w:r>
        <w:rPr>
          <w:rFonts w:cs="Arial"/>
        </w:rPr>
        <w:t xml:space="preserve">. It covers the period </w:t>
      </w:r>
      <w:r w:rsidR="005961E6">
        <w:rPr>
          <w:rFonts w:cs="Arial"/>
        </w:rPr>
        <w:t>March - May</w:t>
      </w:r>
      <w:r w:rsidR="00254728">
        <w:rPr>
          <w:rFonts w:cs="Arial"/>
        </w:rPr>
        <w:t xml:space="preserve"> 2023 following the last update to the Board in </w:t>
      </w:r>
      <w:r w:rsidR="005961E6">
        <w:rPr>
          <w:rFonts w:cs="Arial"/>
        </w:rPr>
        <w:t>March</w:t>
      </w:r>
      <w:r w:rsidR="00245113">
        <w:rPr>
          <w:rFonts w:cs="Arial"/>
        </w:rPr>
        <w:t xml:space="preserve"> and</w:t>
      </w:r>
      <w:r w:rsidR="008B7F63">
        <w:rPr>
          <w:rFonts w:cs="Arial"/>
        </w:rPr>
        <w:t xml:space="preserve"> intends to ensure that the Health and Wellbeing Board are fully sighted on our progress during this development phase</w:t>
      </w:r>
      <w:r w:rsidR="00254728">
        <w:rPr>
          <w:rFonts w:cs="Arial"/>
        </w:rPr>
        <w:t xml:space="preserve">. </w:t>
      </w:r>
      <w:r w:rsidR="00C04FEA">
        <w:rPr>
          <w:rFonts w:cs="Arial"/>
        </w:rPr>
        <w:t xml:space="preserve"> </w:t>
      </w:r>
    </w:p>
    <w:p w14:paraId="47BBDFA6" w14:textId="77777777" w:rsidR="00C04FEA" w:rsidRDefault="00C04FEA" w:rsidP="008B7F63">
      <w:pPr>
        <w:jc w:val="both"/>
        <w:rPr>
          <w:rFonts w:cs="Arial"/>
        </w:rPr>
      </w:pPr>
    </w:p>
    <w:p w14:paraId="77239626" w14:textId="56BCFC04" w:rsidR="00C04FEA" w:rsidRPr="0075601D" w:rsidRDefault="00C04FEA" w:rsidP="00D214FF">
      <w:pPr>
        <w:jc w:val="both"/>
        <w:rPr>
          <w:rFonts w:cs="Arial"/>
          <w:b/>
          <w:bCs/>
        </w:rPr>
      </w:pPr>
      <w:r w:rsidRPr="0075601D">
        <w:rPr>
          <w:rFonts w:cs="Arial"/>
          <w:b/>
          <w:bCs/>
        </w:rPr>
        <w:t xml:space="preserve">Developing the Lancashire Place </w:t>
      </w:r>
      <w:r w:rsidR="002B773F" w:rsidRPr="0075601D">
        <w:rPr>
          <w:rFonts w:cs="Arial"/>
          <w:b/>
          <w:bCs/>
        </w:rPr>
        <w:t xml:space="preserve">- </w:t>
      </w:r>
      <w:r w:rsidRPr="0075601D">
        <w:rPr>
          <w:rFonts w:cs="Arial"/>
          <w:b/>
          <w:bCs/>
        </w:rPr>
        <w:t xml:space="preserve">Workshops </w:t>
      </w:r>
    </w:p>
    <w:p w14:paraId="138605E5" w14:textId="77777777" w:rsidR="002B773F" w:rsidRDefault="002B773F" w:rsidP="008B7F63">
      <w:pPr>
        <w:jc w:val="both"/>
        <w:rPr>
          <w:rFonts w:cs="Arial"/>
        </w:rPr>
      </w:pPr>
    </w:p>
    <w:p w14:paraId="345C5FB6" w14:textId="6604CC9D" w:rsidR="005961E6" w:rsidRDefault="00C04FEA" w:rsidP="005961E6">
      <w:pPr>
        <w:jc w:val="both"/>
        <w:rPr>
          <w:rFonts w:cs="Arial"/>
        </w:rPr>
      </w:pPr>
      <w:r>
        <w:rPr>
          <w:rFonts w:cs="Arial"/>
        </w:rPr>
        <w:t xml:space="preserve">At the last update, </w:t>
      </w:r>
      <w:r w:rsidR="005961E6">
        <w:rPr>
          <w:rFonts w:cs="Arial"/>
        </w:rPr>
        <w:t xml:space="preserve">Health and Wellbeing Board </w:t>
      </w:r>
      <w:r>
        <w:rPr>
          <w:rFonts w:cs="Arial"/>
        </w:rPr>
        <w:t>Members were informed of a series of workshops</w:t>
      </w:r>
      <w:r w:rsidR="005961E6">
        <w:rPr>
          <w:rFonts w:cs="Arial"/>
        </w:rPr>
        <w:t xml:space="preserve"> and given information on the emerging themes. A full report has now been produced which is attached at </w:t>
      </w:r>
      <w:r w:rsidR="00D214FF">
        <w:rPr>
          <w:rFonts w:cs="Arial"/>
        </w:rPr>
        <w:t>Appendix 'A'</w:t>
      </w:r>
      <w:r w:rsidR="005961E6">
        <w:rPr>
          <w:rFonts w:cs="Arial"/>
        </w:rPr>
        <w:t xml:space="preserve">. </w:t>
      </w:r>
      <w:r>
        <w:rPr>
          <w:rFonts w:cs="Arial"/>
        </w:rPr>
        <w:t xml:space="preserve"> </w:t>
      </w:r>
    </w:p>
    <w:p w14:paraId="1A5F2154" w14:textId="77777777" w:rsidR="005961E6" w:rsidRDefault="005961E6" w:rsidP="005961E6">
      <w:pPr>
        <w:jc w:val="both"/>
        <w:rPr>
          <w:rFonts w:cs="Arial"/>
        </w:rPr>
      </w:pPr>
    </w:p>
    <w:p w14:paraId="19C30199" w14:textId="096BFC73" w:rsidR="006F3547" w:rsidRDefault="005961E6" w:rsidP="005961E6">
      <w:pPr>
        <w:jc w:val="both"/>
        <w:rPr>
          <w:rFonts w:cs="Arial"/>
        </w:rPr>
      </w:pPr>
      <w:r>
        <w:rPr>
          <w:rFonts w:cs="Arial"/>
        </w:rPr>
        <w:lastRenderedPageBreak/>
        <w:t xml:space="preserve">This </w:t>
      </w:r>
      <w:r w:rsidR="00626387">
        <w:rPr>
          <w:rFonts w:cs="Arial"/>
        </w:rPr>
        <w:t xml:space="preserve">attached </w:t>
      </w:r>
      <w:r>
        <w:rPr>
          <w:rFonts w:cs="Arial"/>
        </w:rPr>
        <w:t xml:space="preserve">report provides a brief overview of the purpose of the workshops, attendees, outcomes and what </w:t>
      </w:r>
      <w:r w:rsidR="00D214FF">
        <w:rPr>
          <w:rFonts w:cs="Arial"/>
        </w:rPr>
        <w:t>will be done</w:t>
      </w:r>
      <w:r>
        <w:rPr>
          <w:rFonts w:cs="Arial"/>
        </w:rPr>
        <w:t xml:space="preserve"> as a result of this engagement.  These workshops were intended to be the start of an engagement journey with partners to co-produce the Lancashire Place, and work </w:t>
      </w:r>
      <w:r w:rsidR="00D214FF">
        <w:rPr>
          <w:rFonts w:cs="Arial"/>
        </w:rPr>
        <w:t xml:space="preserve">will continue </w:t>
      </w:r>
      <w:r>
        <w:rPr>
          <w:rFonts w:cs="Arial"/>
        </w:rPr>
        <w:t xml:space="preserve">with partners and communities as </w:t>
      </w:r>
      <w:r w:rsidR="008E6A6F">
        <w:rPr>
          <w:rFonts w:cs="Arial"/>
        </w:rPr>
        <w:t>it</w:t>
      </w:r>
      <w:r>
        <w:rPr>
          <w:rFonts w:cs="Arial"/>
        </w:rPr>
        <w:t xml:space="preserve"> develop</w:t>
      </w:r>
      <w:r w:rsidR="008E6A6F">
        <w:rPr>
          <w:rFonts w:cs="Arial"/>
        </w:rPr>
        <w:t>s</w:t>
      </w:r>
      <w:r>
        <w:rPr>
          <w:rFonts w:cs="Arial"/>
        </w:rPr>
        <w:t>.</w:t>
      </w:r>
    </w:p>
    <w:p w14:paraId="788D8812" w14:textId="68AA1CD6" w:rsidR="005961E6" w:rsidRDefault="005961E6" w:rsidP="005961E6">
      <w:pPr>
        <w:jc w:val="both"/>
        <w:rPr>
          <w:rFonts w:cs="Arial"/>
        </w:rPr>
      </w:pPr>
    </w:p>
    <w:p w14:paraId="1972EBA1" w14:textId="0EC074D0" w:rsidR="002E3C77" w:rsidRPr="00F1468B" w:rsidRDefault="002937A9" w:rsidP="00D214FF">
      <w:pPr>
        <w:jc w:val="both"/>
        <w:rPr>
          <w:rFonts w:cs="Arial"/>
          <w:b/>
          <w:bCs/>
        </w:rPr>
      </w:pPr>
      <w:r>
        <w:rPr>
          <w:rFonts w:cs="Arial"/>
          <w:b/>
          <w:bCs/>
        </w:rPr>
        <w:t>D</w:t>
      </w:r>
      <w:r w:rsidR="002E3C77" w:rsidRPr="00F1468B">
        <w:rPr>
          <w:rFonts w:cs="Arial"/>
          <w:b/>
          <w:bCs/>
        </w:rPr>
        <w:t xml:space="preserve">eveloping ways of working </w:t>
      </w:r>
      <w:r w:rsidR="00926943">
        <w:rPr>
          <w:rFonts w:cs="Arial"/>
          <w:b/>
          <w:bCs/>
        </w:rPr>
        <w:t>in</w:t>
      </w:r>
      <w:r>
        <w:rPr>
          <w:rFonts w:cs="Arial"/>
          <w:b/>
          <w:bCs/>
        </w:rPr>
        <w:t xml:space="preserve"> the three</w:t>
      </w:r>
      <w:r w:rsidR="00926943">
        <w:rPr>
          <w:rFonts w:cs="Arial"/>
          <w:b/>
          <w:bCs/>
        </w:rPr>
        <w:t xml:space="preserve"> localities </w:t>
      </w:r>
    </w:p>
    <w:p w14:paraId="5239EA9C" w14:textId="46C5857E" w:rsidR="007A6F8F" w:rsidRDefault="007A6F8F" w:rsidP="008B7F63">
      <w:pPr>
        <w:jc w:val="both"/>
        <w:rPr>
          <w:rFonts w:cs="Arial"/>
        </w:rPr>
      </w:pPr>
    </w:p>
    <w:p w14:paraId="47A1F431" w14:textId="06416081" w:rsidR="008E55C3" w:rsidRDefault="005961E6" w:rsidP="008E55C3">
      <w:pPr>
        <w:jc w:val="both"/>
        <w:rPr>
          <w:rFonts w:cs="Arial"/>
        </w:rPr>
      </w:pPr>
      <w:r>
        <w:rPr>
          <w:rFonts w:cs="Arial"/>
        </w:rPr>
        <w:t xml:space="preserve">At the last update, Health and Wellbeing Board Members were informed that </w:t>
      </w:r>
      <w:r w:rsidR="008E6A6F">
        <w:rPr>
          <w:rFonts w:cs="Arial"/>
        </w:rPr>
        <w:t>work has commenced to</w:t>
      </w:r>
      <w:r w:rsidR="007A6F8F">
        <w:rPr>
          <w:rFonts w:cs="Arial"/>
        </w:rPr>
        <w:t xml:space="preserve"> start</w:t>
      </w:r>
      <w:r w:rsidR="008E6A6F">
        <w:rPr>
          <w:rFonts w:cs="Arial"/>
        </w:rPr>
        <w:t xml:space="preserve"> </w:t>
      </w:r>
      <w:r w:rsidR="007A6F8F">
        <w:rPr>
          <w:rFonts w:cs="Arial"/>
        </w:rPr>
        <w:t xml:space="preserve">to build the supporting </w:t>
      </w:r>
      <w:r w:rsidR="003C41BE">
        <w:rPr>
          <w:rFonts w:cs="Arial"/>
        </w:rPr>
        <w:t>infrastructure</w:t>
      </w:r>
      <w:r w:rsidR="007A6F8F">
        <w:rPr>
          <w:rFonts w:cs="Arial"/>
        </w:rPr>
        <w:t xml:space="preserve"> </w:t>
      </w:r>
      <w:r w:rsidR="00EF4E11">
        <w:rPr>
          <w:rFonts w:cs="Arial"/>
        </w:rPr>
        <w:t xml:space="preserve">to enable delivery.  This includes working from communities upwards, agreeing how </w:t>
      </w:r>
      <w:r w:rsidR="008E6A6F">
        <w:rPr>
          <w:rFonts w:cs="Arial"/>
        </w:rPr>
        <w:t>to</w:t>
      </w:r>
      <w:r w:rsidR="00EF4E11">
        <w:rPr>
          <w:rFonts w:cs="Arial"/>
        </w:rPr>
        <w:t xml:space="preserve"> work together as partners to </w:t>
      </w:r>
      <w:r w:rsidR="003C41BE">
        <w:rPr>
          <w:rFonts w:cs="Arial"/>
        </w:rPr>
        <w:t xml:space="preserve">develop integrated neighbourhood teams, and how </w:t>
      </w:r>
      <w:r w:rsidR="008E6A6F">
        <w:rPr>
          <w:rFonts w:cs="Arial"/>
        </w:rPr>
        <w:t>it</w:t>
      </w:r>
      <w:r w:rsidR="003C41BE">
        <w:rPr>
          <w:rFonts w:cs="Arial"/>
        </w:rPr>
        <w:t xml:space="preserve"> will come together in a larger footprint (district or groups of districts)</w:t>
      </w:r>
      <w:r w:rsidR="00396089">
        <w:rPr>
          <w:rFonts w:cs="Arial"/>
        </w:rPr>
        <w:t xml:space="preserve">. </w:t>
      </w:r>
      <w:r w:rsidR="002B462E">
        <w:rPr>
          <w:rFonts w:cs="Arial"/>
        </w:rPr>
        <w:t xml:space="preserve"> </w:t>
      </w:r>
      <w:r w:rsidR="008E6A6F">
        <w:rPr>
          <w:rFonts w:cs="Arial"/>
        </w:rPr>
        <w:t>The</w:t>
      </w:r>
      <w:r w:rsidR="002B462E">
        <w:rPr>
          <w:rFonts w:cs="Arial"/>
        </w:rPr>
        <w:t xml:space="preserve"> localities of North, East and Central Lancashire will need the right </w:t>
      </w:r>
      <w:r w:rsidR="00651433">
        <w:rPr>
          <w:rFonts w:cs="Arial"/>
        </w:rPr>
        <w:t>infrastructure</w:t>
      </w:r>
      <w:r w:rsidR="002B462E">
        <w:rPr>
          <w:rFonts w:cs="Arial"/>
        </w:rPr>
        <w:t xml:space="preserve"> to translate </w:t>
      </w:r>
      <w:r w:rsidR="008E6A6F">
        <w:rPr>
          <w:rFonts w:cs="Arial"/>
        </w:rPr>
        <w:t>the</w:t>
      </w:r>
      <w:r w:rsidR="002B462E">
        <w:rPr>
          <w:rFonts w:cs="Arial"/>
        </w:rPr>
        <w:t xml:space="preserve"> strategic agreement to </w:t>
      </w:r>
      <w:r w:rsidR="00651433">
        <w:rPr>
          <w:rFonts w:cs="Arial"/>
        </w:rPr>
        <w:t xml:space="preserve">priorities into operational delivery which must be developed with partners.  </w:t>
      </w:r>
    </w:p>
    <w:p w14:paraId="1EAED56C" w14:textId="3504AE21" w:rsidR="008E55C3" w:rsidRDefault="008E55C3" w:rsidP="008E55C3">
      <w:pPr>
        <w:jc w:val="both"/>
        <w:rPr>
          <w:rFonts w:cs="Arial"/>
        </w:rPr>
      </w:pPr>
    </w:p>
    <w:p w14:paraId="0F99043A" w14:textId="6E7081BE" w:rsidR="008E55C3" w:rsidRDefault="008E6A6F" w:rsidP="008E55C3">
      <w:pPr>
        <w:jc w:val="both"/>
        <w:rPr>
          <w:rFonts w:cs="Arial"/>
        </w:rPr>
      </w:pPr>
      <w:r>
        <w:rPr>
          <w:rFonts w:cs="Arial"/>
        </w:rPr>
        <w:t>Work has begun</w:t>
      </w:r>
      <w:r w:rsidR="008E55C3">
        <w:rPr>
          <w:rFonts w:cs="Arial"/>
        </w:rPr>
        <w:t xml:space="preserve"> with local partners to ensure that each locality will have the following elements; </w:t>
      </w:r>
    </w:p>
    <w:p w14:paraId="44358E8E" w14:textId="55AABFBE" w:rsidR="008E55C3" w:rsidRDefault="008E55C3" w:rsidP="008E55C3">
      <w:pPr>
        <w:jc w:val="both"/>
        <w:rPr>
          <w:rFonts w:cs="Arial"/>
        </w:rPr>
      </w:pPr>
    </w:p>
    <w:p w14:paraId="128AB3EB" w14:textId="00C08045" w:rsidR="008E55C3" w:rsidRDefault="008E55C3" w:rsidP="008E6A6F">
      <w:pPr>
        <w:numPr>
          <w:ilvl w:val="0"/>
          <w:numId w:val="33"/>
        </w:numPr>
        <w:ind w:left="360"/>
        <w:jc w:val="both"/>
        <w:rPr>
          <w:rFonts w:cs="Arial"/>
        </w:rPr>
      </w:pPr>
      <w:r>
        <w:rPr>
          <w:rFonts w:cs="Arial"/>
        </w:rPr>
        <w:t xml:space="preserve">Integrated working across organisations to support residents within their communities (via a network of Integrated Neighbourhood Teams), of which there will be 28 across </w:t>
      </w:r>
      <w:r w:rsidR="008E6A6F">
        <w:rPr>
          <w:rFonts w:cs="Arial"/>
        </w:rPr>
        <w:t>the</w:t>
      </w:r>
      <w:r>
        <w:rPr>
          <w:rFonts w:cs="Arial"/>
        </w:rPr>
        <w:t xml:space="preserve"> Lancashire area</w:t>
      </w:r>
    </w:p>
    <w:p w14:paraId="1C48E25F" w14:textId="149DBCCB" w:rsidR="008E55C3" w:rsidRDefault="008E55C3" w:rsidP="008E6A6F">
      <w:pPr>
        <w:numPr>
          <w:ilvl w:val="0"/>
          <w:numId w:val="33"/>
        </w:numPr>
        <w:ind w:left="360"/>
        <w:jc w:val="both"/>
        <w:rPr>
          <w:rFonts w:cs="Arial"/>
        </w:rPr>
      </w:pPr>
      <w:r>
        <w:rPr>
          <w:rFonts w:cs="Arial"/>
        </w:rPr>
        <w:t xml:space="preserve">District </w:t>
      </w:r>
      <w:r w:rsidR="008E6A6F">
        <w:rPr>
          <w:rFonts w:cs="Arial"/>
        </w:rPr>
        <w:t>L</w:t>
      </w:r>
      <w:r>
        <w:rPr>
          <w:rFonts w:cs="Arial"/>
        </w:rPr>
        <w:t xml:space="preserve">evel Partnerships that focus on creating the right conditions for good health and wellbeing, reducing health </w:t>
      </w:r>
      <w:r w:rsidR="00014119">
        <w:rPr>
          <w:rFonts w:cs="Arial"/>
        </w:rPr>
        <w:t>inequalities,</w:t>
      </w:r>
      <w:r>
        <w:rPr>
          <w:rFonts w:cs="Arial"/>
        </w:rPr>
        <w:t xml:space="preserve"> and supporting communities. Where possible these will build on existing arrangements and in some cases may include more than one </w:t>
      </w:r>
      <w:r w:rsidR="00187468">
        <w:rPr>
          <w:rFonts w:cs="Arial"/>
        </w:rPr>
        <w:t>District Council</w:t>
      </w:r>
      <w:r>
        <w:rPr>
          <w:rFonts w:cs="Arial"/>
        </w:rPr>
        <w:t xml:space="preserve"> if there are existing collaborative ways of working. It is likely there will be 10 across our Lancashire area</w:t>
      </w:r>
    </w:p>
    <w:p w14:paraId="55ADF583" w14:textId="051738F2" w:rsidR="008E55C3" w:rsidRDefault="008E55C3" w:rsidP="008E6A6F">
      <w:pPr>
        <w:numPr>
          <w:ilvl w:val="0"/>
          <w:numId w:val="33"/>
        </w:numPr>
        <w:ind w:left="360"/>
        <w:jc w:val="both"/>
        <w:rPr>
          <w:rFonts w:cs="Arial"/>
        </w:rPr>
      </w:pPr>
      <w:r>
        <w:rPr>
          <w:rFonts w:cs="Arial"/>
        </w:rPr>
        <w:t>Space for Health Providers (such as Hospitals, GPs, Community and Mental Health Services) to come together to ensure that we are creating safe, effective and seamless pathways for residents when healthcare is required.  O</w:t>
      </w:r>
      <w:r w:rsidR="003C5360">
        <w:rPr>
          <w:rFonts w:cs="Arial"/>
        </w:rPr>
        <w:t>t</w:t>
      </w:r>
      <w:r>
        <w:rPr>
          <w:rFonts w:cs="Arial"/>
        </w:rPr>
        <w:t>her partners</w:t>
      </w:r>
      <w:r w:rsidR="005A1ABE">
        <w:rPr>
          <w:rFonts w:cs="Arial"/>
        </w:rPr>
        <w:t xml:space="preserve"> and providers</w:t>
      </w:r>
      <w:r>
        <w:rPr>
          <w:rFonts w:cs="Arial"/>
        </w:rPr>
        <w:t xml:space="preserve"> will be part of these networks when it is of value to do so.  </w:t>
      </w:r>
    </w:p>
    <w:p w14:paraId="4ED3C64E" w14:textId="77777777" w:rsidR="008E55C3" w:rsidRDefault="008E55C3" w:rsidP="008E55C3">
      <w:pPr>
        <w:jc w:val="both"/>
        <w:rPr>
          <w:rFonts w:cs="Arial"/>
        </w:rPr>
      </w:pPr>
    </w:p>
    <w:p w14:paraId="5B2E4D60" w14:textId="7DA6A4DE" w:rsidR="003C5360" w:rsidRDefault="008E6A6F" w:rsidP="008E55C3">
      <w:pPr>
        <w:jc w:val="both"/>
        <w:rPr>
          <w:rFonts w:cs="Arial"/>
        </w:rPr>
      </w:pPr>
      <w:r>
        <w:rPr>
          <w:rFonts w:cs="Arial"/>
        </w:rPr>
        <w:t>Appendix 'B'</w:t>
      </w:r>
      <w:r w:rsidR="003C5360">
        <w:rPr>
          <w:rFonts w:cs="Arial"/>
        </w:rPr>
        <w:t xml:space="preserve"> contains the </w:t>
      </w:r>
      <w:r w:rsidR="005A1ABE">
        <w:rPr>
          <w:rFonts w:cs="Arial"/>
        </w:rPr>
        <w:t xml:space="preserve">detail of the </w:t>
      </w:r>
      <w:r w:rsidR="003C5360">
        <w:rPr>
          <w:rFonts w:cs="Arial"/>
        </w:rPr>
        <w:t xml:space="preserve">emerging thinking on the shape and form of these arrangements, by locality. </w:t>
      </w:r>
      <w:r w:rsidR="00DB2BF1">
        <w:rPr>
          <w:rFonts w:cs="Arial"/>
        </w:rPr>
        <w:t>The next phase of work</w:t>
      </w:r>
      <w:r w:rsidR="009873AD">
        <w:rPr>
          <w:rFonts w:cs="Arial"/>
        </w:rPr>
        <w:t>, to be complete during quarter 2, will be to develop these new Partnership arrangements where required, and to enhance and connect any existing arrangements.</w:t>
      </w:r>
    </w:p>
    <w:p w14:paraId="118BE9E4" w14:textId="77777777" w:rsidR="008E55C3" w:rsidRDefault="008E55C3" w:rsidP="008E55C3">
      <w:pPr>
        <w:jc w:val="both"/>
        <w:rPr>
          <w:rFonts w:cs="Arial"/>
        </w:rPr>
      </w:pPr>
    </w:p>
    <w:p w14:paraId="54ACA842" w14:textId="6DCF4F60" w:rsidR="00926943" w:rsidRDefault="002937A9" w:rsidP="008E6A6F">
      <w:pPr>
        <w:jc w:val="both"/>
        <w:rPr>
          <w:rFonts w:cs="Arial"/>
          <w:b/>
          <w:bCs/>
        </w:rPr>
      </w:pPr>
      <w:r>
        <w:rPr>
          <w:rFonts w:cs="Arial"/>
          <w:b/>
          <w:bCs/>
        </w:rPr>
        <w:t>Developing ways of working</w:t>
      </w:r>
      <w:r w:rsidR="00926943" w:rsidRPr="00F1468B">
        <w:rPr>
          <w:rFonts w:cs="Arial"/>
          <w:b/>
          <w:bCs/>
        </w:rPr>
        <w:t xml:space="preserve"> – </w:t>
      </w:r>
      <w:r>
        <w:rPr>
          <w:rFonts w:cs="Arial"/>
          <w:b/>
          <w:bCs/>
        </w:rPr>
        <w:t xml:space="preserve">the governance </w:t>
      </w:r>
      <w:r w:rsidR="008E55C3">
        <w:rPr>
          <w:rFonts w:cs="Arial"/>
          <w:b/>
          <w:bCs/>
        </w:rPr>
        <w:t xml:space="preserve">options appraisal </w:t>
      </w:r>
    </w:p>
    <w:p w14:paraId="4FB1E3C7" w14:textId="767C1A70" w:rsidR="002937A9" w:rsidRPr="002937A9" w:rsidRDefault="002937A9" w:rsidP="002937A9">
      <w:pPr>
        <w:jc w:val="both"/>
        <w:rPr>
          <w:rFonts w:cs="Arial"/>
        </w:rPr>
      </w:pPr>
    </w:p>
    <w:p w14:paraId="120F3007" w14:textId="181CCAC9" w:rsidR="002937A9" w:rsidRDefault="002937A9" w:rsidP="002937A9">
      <w:pPr>
        <w:jc w:val="both"/>
        <w:rPr>
          <w:rFonts w:cs="Arial"/>
        </w:rPr>
      </w:pPr>
      <w:r w:rsidRPr="002937A9">
        <w:rPr>
          <w:rFonts w:cs="Arial"/>
        </w:rPr>
        <w:t>The Health and Wellbeing Board have asked the Lancashire Place to undertake an options appraisal to consider what future governance could be adopted for the Lancashire Place, including to consider if the Health and Wellbeing Board could take the role of the Place Board.</w:t>
      </w:r>
      <w:r>
        <w:rPr>
          <w:rFonts w:cs="Arial"/>
        </w:rPr>
        <w:t xml:space="preserve">  During the last period, </w:t>
      </w:r>
      <w:r w:rsidR="008E6A6F">
        <w:rPr>
          <w:rFonts w:cs="Arial"/>
        </w:rPr>
        <w:t>a</w:t>
      </w:r>
      <w:r>
        <w:rPr>
          <w:rFonts w:cs="Arial"/>
        </w:rPr>
        <w:t xml:space="preserve"> task and finish group</w:t>
      </w:r>
      <w:r w:rsidR="008E6A6F">
        <w:rPr>
          <w:rFonts w:cs="Arial"/>
        </w:rPr>
        <w:t xml:space="preserve"> has been established,</w:t>
      </w:r>
      <w:r>
        <w:rPr>
          <w:rFonts w:cs="Arial"/>
        </w:rPr>
        <w:t xml:space="preserve"> </w:t>
      </w:r>
      <w:r w:rsidR="00187468">
        <w:rPr>
          <w:rFonts w:cs="Arial"/>
        </w:rPr>
        <w:t xml:space="preserve">who have taken this work forward </w:t>
      </w:r>
      <w:r>
        <w:rPr>
          <w:rFonts w:cs="Arial"/>
        </w:rPr>
        <w:t xml:space="preserve">which includes representation from </w:t>
      </w:r>
      <w:r w:rsidR="008E6A6F">
        <w:rPr>
          <w:rFonts w:cs="Arial"/>
        </w:rPr>
        <w:t>Lancashire County Council</w:t>
      </w:r>
      <w:r>
        <w:rPr>
          <w:rFonts w:cs="Arial"/>
        </w:rPr>
        <w:t xml:space="preserve"> Public Health and Democratic Services, </w:t>
      </w:r>
      <w:r w:rsidR="008E6A6F">
        <w:rPr>
          <w:rFonts w:cs="Arial"/>
        </w:rPr>
        <w:t>Integrated Care Board (ICB)</w:t>
      </w:r>
      <w:r>
        <w:rPr>
          <w:rFonts w:cs="Arial"/>
        </w:rPr>
        <w:t xml:space="preserve"> Governance and the Lancashire Place team.  The task and finish group are in the process of reviewing; </w:t>
      </w:r>
    </w:p>
    <w:p w14:paraId="13CBB8C8" w14:textId="097C802A" w:rsidR="002937A9" w:rsidRDefault="002937A9" w:rsidP="002937A9">
      <w:pPr>
        <w:jc w:val="both"/>
        <w:rPr>
          <w:rFonts w:cs="Arial"/>
        </w:rPr>
      </w:pPr>
    </w:p>
    <w:p w14:paraId="084D84E2" w14:textId="35E2F78B" w:rsidR="002937A9" w:rsidRDefault="002937A9" w:rsidP="008E6A6F">
      <w:pPr>
        <w:numPr>
          <w:ilvl w:val="0"/>
          <w:numId w:val="35"/>
        </w:numPr>
        <w:ind w:left="360"/>
        <w:jc w:val="both"/>
        <w:rPr>
          <w:rFonts w:cs="Arial"/>
        </w:rPr>
      </w:pPr>
      <w:r>
        <w:rPr>
          <w:rFonts w:cs="Arial"/>
        </w:rPr>
        <w:lastRenderedPageBreak/>
        <w:t xml:space="preserve">Relevant national guidance and policy relating to both </w:t>
      </w:r>
      <w:r w:rsidR="008E6A6F">
        <w:rPr>
          <w:rFonts w:cs="Arial"/>
        </w:rPr>
        <w:t>the Health and Wellbeing Board</w:t>
      </w:r>
      <w:r>
        <w:rPr>
          <w:rFonts w:cs="Arial"/>
        </w:rPr>
        <w:t xml:space="preserve"> and Place based Partnerships</w:t>
      </w:r>
    </w:p>
    <w:p w14:paraId="08D729A6" w14:textId="4F50496F" w:rsidR="002937A9" w:rsidRDefault="002937A9" w:rsidP="008E6A6F">
      <w:pPr>
        <w:numPr>
          <w:ilvl w:val="0"/>
          <w:numId w:val="35"/>
        </w:numPr>
        <w:ind w:left="360"/>
        <w:jc w:val="both"/>
        <w:rPr>
          <w:rFonts w:cs="Arial"/>
        </w:rPr>
      </w:pPr>
      <w:r>
        <w:rPr>
          <w:rFonts w:cs="Arial"/>
        </w:rPr>
        <w:t xml:space="preserve">Case studies </w:t>
      </w:r>
    </w:p>
    <w:p w14:paraId="1F1B12B5" w14:textId="62432506" w:rsidR="002937A9" w:rsidRPr="002937A9" w:rsidRDefault="002937A9" w:rsidP="008E6A6F">
      <w:pPr>
        <w:numPr>
          <w:ilvl w:val="0"/>
          <w:numId w:val="35"/>
        </w:numPr>
        <w:ind w:left="360"/>
        <w:jc w:val="both"/>
        <w:rPr>
          <w:rFonts w:cs="Arial"/>
        </w:rPr>
      </w:pPr>
      <w:r>
        <w:rPr>
          <w:rFonts w:cs="Arial"/>
        </w:rPr>
        <w:t>Evaluation criteria for the options</w:t>
      </w:r>
    </w:p>
    <w:p w14:paraId="7A573E1B" w14:textId="7FF69A2D" w:rsidR="001D30EE" w:rsidRDefault="001D30EE" w:rsidP="008B7F63">
      <w:pPr>
        <w:jc w:val="both"/>
        <w:rPr>
          <w:rFonts w:cs="Arial"/>
        </w:rPr>
      </w:pPr>
    </w:p>
    <w:p w14:paraId="3D2B41A1" w14:textId="0C28778C" w:rsidR="001D30EE" w:rsidRDefault="008E6A6F" w:rsidP="008B7F63">
      <w:pPr>
        <w:jc w:val="both"/>
        <w:rPr>
          <w:rFonts w:cs="Arial"/>
        </w:rPr>
      </w:pPr>
      <w:r>
        <w:rPr>
          <w:rFonts w:cs="Arial"/>
        </w:rPr>
        <w:t>The Group</w:t>
      </w:r>
      <w:r w:rsidR="00187468">
        <w:rPr>
          <w:rFonts w:cs="Arial"/>
        </w:rPr>
        <w:t xml:space="preserve"> will move on in May to developing and assessing the potential options.  This</w:t>
      </w:r>
      <w:r w:rsidR="002937A9">
        <w:rPr>
          <w:rFonts w:cs="Arial"/>
        </w:rPr>
        <w:t xml:space="preserve"> work is on track to report back to the Interim Place Board </w:t>
      </w:r>
      <w:r w:rsidR="007E3A56">
        <w:rPr>
          <w:rFonts w:cs="Arial"/>
        </w:rPr>
        <w:t xml:space="preserve">in June </w:t>
      </w:r>
      <w:r w:rsidR="002937A9">
        <w:rPr>
          <w:rFonts w:cs="Arial"/>
        </w:rPr>
        <w:t>and the Health and Wellbeing Board as planned</w:t>
      </w:r>
      <w:r w:rsidR="007F4C52">
        <w:rPr>
          <w:rFonts w:cs="Arial"/>
        </w:rPr>
        <w:t xml:space="preserve"> at their next meeting in July.</w:t>
      </w:r>
    </w:p>
    <w:p w14:paraId="740AF3BE" w14:textId="77777777" w:rsidR="00426315" w:rsidRDefault="00426315" w:rsidP="008B7F63">
      <w:pPr>
        <w:jc w:val="both"/>
        <w:rPr>
          <w:rFonts w:cs="Arial"/>
        </w:rPr>
      </w:pPr>
    </w:p>
    <w:p w14:paraId="1BDDB3B4" w14:textId="2911D489" w:rsidR="00426315" w:rsidRDefault="00426315" w:rsidP="008B7F63">
      <w:pPr>
        <w:jc w:val="both"/>
        <w:rPr>
          <w:rFonts w:cs="Arial"/>
        </w:rPr>
      </w:pPr>
      <w:r>
        <w:rPr>
          <w:rFonts w:cs="Arial"/>
        </w:rPr>
        <w:t>This work has interdependencies with the potential of delegation as noted in section five below</w:t>
      </w:r>
      <w:r w:rsidR="00BB4003">
        <w:rPr>
          <w:rFonts w:cs="Arial"/>
        </w:rPr>
        <w:t xml:space="preserve">, to ensure that </w:t>
      </w:r>
      <w:r w:rsidR="00B04376">
        <w:rPr>
          <w:rFonts w:cs="Arial"/>
        </w:rPr>
        <w:t xml:space="preserve">the governance </w:t>
      </w:r>
      <w:r w:rsidR="008E6A6F">
        <w:rPr>
          <w:rFonts w:cs="Arial"/>
        </w:rPr>
        <w:t>chosen</w:t>
      </w:r>
      <w:r w:rsidR="00B04376">
        <w:rPr>
          <w:rFonts w:cs="Arial"/>
        </w:rPr>
        <w:t xml:space="preserve"> enables </w:t>
      </w:r>
      <w:r w:rsidR="008E6A6F">
        <w:rPr>
          <w:rFonts w:cs="Arial"/>
        </w:rPr>
        <w:t>it</w:t>
      </w:r>
      <w:r w:rsidR="00B04376">
        <w:rPr>
          <w:rFonts w:cs="Arial"/>
        </w:rPr>
        <w:t xml:space="preserve"> to operate effectively and robustly to discharge any responsibilities, accountabilities or funding streams that may be agreed. </w:t>
      </w:r>
    </w:p>
    <w:p w14:paraId="55FD1A93" w14:textId="69F14E25" w:rsidR="002937A9" w:rsidRDefault="002937A9" w:rsidP="008B7F63">
      <w:pPr>
        <w:jc w:val="both"/>
        <w:rPr>
          <w:rFonts w:cs="Arial"/>
        </w:rPr>
      </w:pPr>
    </w:p>
    <w:p w14:paraId="694FCBFD" w14:textId="733BC2BD" w:rsidR="002937A9" w:rsidRPr="00187468" w:rsidRDefault="002937A9" w:rsidP="008E6A6F">
      <w:pPr>
        <w:jc w:val="both"/>
        <w:rPr>
          <w:rFonts w:cs="Arial"/>
          <w:b/>
          <w:bCs/>
        </w:rPr>
      </w:pPr>
      <w:r w:rsidRPr="00187468">
        <w:rPr>
          <w:rFonts w:cs="Arial"/>
          <w:b/>
          <w:bCs/>
        </w:rPr>
        <w:t xml:space="preserve">Developing a Health and Care Integration Deal </w:t>
      </w:r>
    </w:p>
    <w:p w14:paraId="56AACD76" w14:textId="71990AFF" w:rsidR="002937A9" w:rsidRDefault="002937A9" w:rsidP="002937A9">
      <w:pPr>
        <w:jc w:val="both"/>
        <w:rPr>
          <w:rFonts w:cs="Arial"/>
        </w:rPr>
      </w:pPr>
    </w:p>
    <w:p w14:paraId="65CBD1D3" w14:textId="70364C26" w:rsidR="002937A9" w:rsidRDefault="002937A9" w:rsidP="002937A9">
      <w:pPr>
        <w:jc w:val="both"/>
        <w:rPr>
          <w:rFonts w:cs="Arial"/>
        </w:rPr>
      </w:pPr>
      <w:r>
        <w:rPr>
          <w:rFonts w:cs="Arial"/>
        </w:rPr>
        <w:t xml:space="preserve">During this period, work has begun to consider what a ‘Health and Care Integration Deal’ could achieve for the Lancashire Place.  From an NHS perspective, the Integrated Care Board have signalled an intent that not all services </w:t>
      </w:r>
      <w:r w:rsidR="00187468">
        <w:rPr>
          <w:rFonts w:cs="Arial"/>
        </w:rPr>
        <w:t xml:space="preserve">should be planned and delivered at a system (Lancashire and South Cumbria) wide level, and that there is a conversation to be had about what could be planned and delivered jointly with partners at a Place </w:t>
      </w:r>
      <w:r w:rsidR="007B57A9">
        <w:rPr>
          <w:rFonts w:cs="Arial"/>
        </w:rPr>
        <w:t xml:space="preserve">(Lancashire) </w:t>
      </w:r>
      <w:r w:rsidR="00187468">
        <w:rPr>
          <w:rFonts w:cs="Arial"/>
        </w:rPr>
        <w:t>level.  For example, there are some services provided locally within our communities that could achieve better outcomes or value for money if they were organised with partners within Lancashire.</w:t>
      </w:r>
      <w:r w:rsidR="00DA2EEA">
        <w:rPr>
          <w:rFonts w:cs="Arial"/>
        </w:rPr>
        <w:t xml:space="preserve">  The </w:t>
      </w:r>
      <w:r w:rsidR="008E6A6F">
        <w:rPr>
          <w:rFonts w:cs="Arial"/>
        </w:rPr>
        <w:t>Integrated Care Board</w:t>
      </w:r>
      <w:r w:rsidR="00DA2EEA">
        <w:rPr>
          <w:rFonts w:cs="Arial"/>
        </w:rPr>
        <w:t xml:space="preserve"> has indicated that they may seek to delegate </w:t>
      </w:r>
      <w:r w:rsidR="00AF4525">
        <w:rPr>
          <w:rFonts w:cs="Arial"/>
        </w:rPr>
        <w:t xml:space="preserve">areas </w:t>
      </w:r>
      <w:r w:rsidR="00DA2EEA">
        <w:rPr>
          <w:rFonts w:cs="Arial"/>
        </w:rPr>
        <w:t>such as primary care,</w:t>
      </w:r>
      <w:r w:rsidR="00AF4525">
        <w:rPr>
          <w:rFonts w:cs="Arial"/>
        </w:rPr>
        <w:t xml:space="preserve"> physical community </w:t>
      </w:r>
      <w:r w:rsidR="00035B39">
        <w:rPr>
          <w:rFonts w:cs="Arial"/>
        </w:rPr>
        <w:t xml:space="preserve">health </w:t>
      </w:r>
      <w:r w:rsidR="00AF4525">
        <w:rPr>
          <w:rFonts w:cs="Arial"/>
        </w:rPr>
        <w:t xml:space="preserve">services, continuing health care, </w:t>
      </w:r>
      <w:r w:rsidR="00A47B14">
        <w:rPr>
          <w:rFonts w:cs="Arial"/>
        </w:rPr>
        <w:t xml:space="preserve">population health. </w:t>
      </w:r>
    </w:p>
    <w:p w14:paraId="5514A43C" w14:textId="13ED6EDC" w:rsidR="00187468" w:rsidRDefault="00187468" w:rsidP="002937A9">
      <w:pPr>
        <w:jc w:val="both"/>
        <w:rPr>
          <w:rFonts w:cs="Arial"/>
        </w:rPr>
      </w:pPr>
    </w:p>
    <w:p w14:paraId="16C2B854" w14:textId="05783BF3" w:rsidR="00187468" w:rsidRDefault="008E6A6F" w:rsidP="002937A9">
      <w:pPr>
        <w:jc w:val="both"/>
        <w:rPr>
          <w:rFonts w:cs="Arial"/>
        </w:rPr>
      </w:pPr>
      <w:r>
        <w:rPr>
          <w:rFonts w:cs="Arial"/>
        </w:rPr>
        <w:t>I</w:t>
      </w:r>
      <w:r w:rsidR="00187468">
        <w:rPr>
          <w:rFonts w:cs="Arial"/>
        </w:rPr>
        <w:t xml:space="preserve">nitial thinking </w:t>
      </w:r>
      <w:r>
        <w:rPr>
          <w:rFonts w:cs="Arial"/>
        </w:rPr>
        <w:t xml:space="preserve">has started </w:t>
      </w:r>
      <w:r w:rsidR="00187468">
        <w:rPr>
          <w:rFonts w:cs="Arial"/>
        </w:rPr>
        <w:t xml:space="preserve">about the </w:t>
      </w:r>
      <w:r w:rsidR="00224416">
        <w:rPr>
          <w:rFonts w:cs="Arial"/>
        </w:rPr>
        <w:t>opportunities</w:t>
      </w:r>
      <w:r w:rsidR="00187468">
        <w:rPr>
          <w:rFonts w:cs="Arial"/>
        </w:rPr>
        <w:t xml:space="preserve"> this may present and </w:t>
      </w:r>
      <w:r>
        <w:rPr>
          <w:rFonts w:cs="Arial"/>
        </w:rPr>
        <w:t xml:space="preserve">this </w:t>
      </w:r>
      <w:r w:rsidR="00187468">
        <w:rPr>
          <w:rFonts w:cs="Arial"/>
        </w:rPr>
        <w:t>will continue to</w:t>
      </w:r>
      <w:r>
        <w:rPr>
          <w:rFonts w:cs="Arial"/>
        </w:rPr>
        <w:t xml:space="preserve"> be</w:t>
      </w:r>
      <w:r w:rsidR="00187468">
        <w:rPr>
          <w:rFonts w:cs="Arial"/>
        </w:rPr>
        <w:t xml:space="preserve"> develop</w:t>
      </w:r>
      <w:r>
        <w:rPr>
          <w:rFonts w:cs="Arial"/>
        </w:rPr>
        <w:t>ed</w:t>
      </w:r>
      <w:r w:rsidR="00187468">
        <w:rPr>
          <w:rFonts w:cs="Arial"/>
        </w:rPr>
        <w:t xml:space="preserve"> with partners</w:t>
      </w:r>
      <w:r w:rsidR="008D4DB2">
        <w:rPr>
          <w:rFonts w:cs="Arial"/>
        </w:rPr>
        <w:t xml:space="preserve"> in Lancashire</w:t>
      </w:r>
      <w:r w:rsidR="00187468">
        <w:rPr>
          <w:rFonts w:cs="Arial"/>
        </w:rPr>
        <w:t xml:space="preserve"> throughout May and June</w:t>
      </w:r>
      <w:r w:rsidR="00035B39">
        <w:rPr>
          <w:rFonts w:cs="Arial"/>
        </w:rPr>
        <w:t xml:space="preserve"> with a series of discussions planned </w:t>
      </w:r>
      <w:r w:rsidR="00BC3C62">
        <w:rPr>
          <w:rFonts w:cs="Arial"/>
        </w:rPr>
        <w:t>to include</w:t>
      </w:r>
      <w:r w:rsidR="00035B39">
        <w:rPr>
          <w:rFonts w:cs="Arial"/>
        </w:rPr>
        <w:t xml:space="preserve"> </w:t>
      </w:r>
      <w:r w:rsidR="00F80F2E">
        <w:rPr>
          <w:rFonts w:cs="Arial"/>
        </w:rPr>
        <w:t>the June meeting of the Lancashire Chief Executives.</w:t>
      </w:r>
      <w:r w:rsidR="00187468">
        <w:rPr>
          <w:rFonts w:cs="Arial"/>
        </w:rPr>
        <w:t xml:space="preserve"> </w:t>
      </w:r>
      <w:r>
        <w:rPr>
          <w:rFonts w:cs="Arial"/>
        </w:rPr>
        <w:t>Work is also happening</w:t>
      </w:r>
      <w:r w:rsidR="008D4DB2">
        <w:rPr>
          <w:rFonts w:cs="Arial"/>
        </w:rPr>
        <w:t xml:space="preserve"> with the </w:t>
      </w:r>
      <w:r w:rsidR="00187468">
        <w:rPr>
          <w:rFonts w:cs="Arial"/>
        </w:rPr>
        <w:t xml:space="preserve">three other Places </w:t>
      </w:r>
      <w:r w:rsidR="008D4DB2">
        <w:rPr>
          <w:rFonts w:cs="Arial"/>
        </w:rPr>
        <w:t xml:space="preserve">to agree a series of principles, stages and an approach </w:t>
      </w:r>
      <w:r w:rsidR="00501D3C">
        <w:rPr>
          <w:rFonts w:cs="Arial"/>
        </w:rPr>
        <w:t>across</w:t>
      </w:r>
      <w:r w:rsidR="00187468">
        <w:rPr>
          <w:rFonts w:cs="Arial"/>
        </w:rPr>
        <w:t xml:space="preserve"> Lancashire and South Cumbria</w:t>
      </w:r>
      <w:r w:rsidR="008D4DB2">
        <w:rPr>
          <w:rFonts w:cs="Arial"/>
        </w:rPr>
        <w:t xml:space="preserve">. </w:t>
      </w:r>
      <w:r w:rsidR="002E69DF">
        <w:rPr>
          <w:rFonts w:cs="Arial"/>
        </w:rPr>
        <w:t>The</w:t>
      </w:r>
      <w:r w:rsidR="008D4DB2">
        <w:rPr>
          <w:rFonts w:cs="Arial"/>
        </w:rPr>
        <w:t xml:space="preserve"> deadline for this work</w:t>
      </w:r>
      <w:r w:rsidR="00AA25F4">
        <w:rPr>
          <w:rFonts w:cs="Arial"/>
        </w:rPr>
        <w:t xml:space="preserve"> for a decision with the </w:t>
      </w:r>
      <w:r w:rsidR="002E69DF">
        <w:rPr>
          <w:rFonts w:cs="Arial"/>
        </w:rPr>
        <w:t>Integrated Care Board</w:t>
      </w:r>
      <w:r w:rsidR="008D4DB2">
        <w:rPr>
          <w:rFonts w:cs="Arial"/>
        </w:rPr>
        <w:t xml:space="preserve"> is </w:t>
      </w:r>
      <w:r w:rsidR="002E69DF">
        <w:rPr>
          <w:rFonts w:cs="Arial"/>
        </w:rPr>
        <w:t>5</w:t>
      </w:r>
      <w:r w:rsidR="00AA25F4">
        <w:rPr>
          <w:rFonts w:cs="Arial"/>
        </w:rPr>
        <w:t xml:space="preserve"> </w:t>
      </w:r>
      <w:r w:rsidR="00187468">
        <w:rPr>
          <w:rFonts w:cs="Arial"/>
        </w:rPr>
        <w:t xml:space="preserve">July 2023 </w:t>
      </w:r>
      <w:r w:rsidR="00501D3C">
        <w:rPr>
          <w:rFonts w:cs="Arial"/>
        </w:rPr>
        <w:t>(</w:t>
      </w:r>
      <w:r w:rsidR="002E69DF">
        <w:rPr>
          <w:rFonts w:cs="Arial"/>
        </w:rPr>
        <w:t>Integrated Care</w:t>
      </w:r>
      <w:r w:rsidR="00187468">
        <w:rPr>
          <w:rFonts w:cs="Arial"/>
        </w:rPr>
        <w:t xml:space="preserve"> Board</w:t>
      </w:r>
      <w:r w:rsidR="002E69DF">
        <w:rPr>
          <w:rFonts w:cs="Arial"/>
        </w:rPr>
        <w:t xml:space="preserve"> (ICB)</w:t>
      </w:r>
      <w:r w:rsidR="00501D3C">
        <w:rPr>
          <w:rFonts w:cs="Arial"/>
        </w:rPr>
        <w:t>)</w:t>
      </w:r>
      <w:r w:rsidR="00187468">
        <w:rPr>
          <w:rFonts w:cs="Arial"/>
        </w:rPr>
        <w:t xml:space="preserve">. </w:t>
      </w:r>
    </w:p>
    <w:p w14:paraId="248CC6B7" w14:textId="77777777" w:rsidR="00471EA9" w:rsidRDefault="00471EA9" w:rsidP="002937A9">
      <w:pPr>
        <w:jc w:val="both"/>
        <w:rPr>
          <w:rFonts w:cs="Arial"/>
        </w:rPr>
      </w:pPr>
    </w:p>
    <w:p w14:paraId="4C52D0CA" w14:textId="28D5D6BA" w:rsidR="00471EA9" w:rsidRDefault="002E69DF" w:rsidP="002937A9">
      <w:pPr>
        <w:jc w:val="both"/>
        <w:rPr>
          <w:rFonts w:cs="Arial"/>
        </w:rPr>
      </w:pPr>
      <w:r>
        <w:rPr>
          <w:rFonts w:cs="Arial"/>
        </w:rPr>
        <w:t>The approach has been discussed</w:t>
      </w:r>
      <w:r w:rsidR="00471EA9">
        <w:rPr>
          <w:rFonts w:cs="Arial"/>
        </w:rPr>
        <w:t xml:space="preserve"> with </w:t>
      </w:r>
      <w:r>
        <w:rPr>
          <w:rFonts w:cs="Arial"/>
        </w:rPr>
        <w:t>the</w:t>
      </w:r>
      <w:r w:rsidR="00471EA9">
        <w:rPr>
          <w:rFonts w:cs="Arial"/>
        </w:rPr>
        <w:t xml:space="preserve"> Interim Place Board, who have confirmed following principles</w:t>
      </w:r>
      <w:r>
        <w:rPr>
          <w:rFonts w:cs="Arial"/>
        </w:rPr>
        <w:t xml:space="preserve"> should be worked to</w:t>
      </w:r>
      <w:r w:rsidR="00471EA9">
        <w:rPr>
          <w:rFonts w:cs="Arial"/>
        </w:rPr>
        <w:t xml:space="preserve">; </w:t>
      </w:r>
    </w:p>
    <w:p w14:paraId="457E70B8" w14:textId="77777777" w:rsidR="00471EA9" w:rsidRDefault="00471EA9" w:rsidP="002937A9">
      <w:pPr>
        <w:jc w:val="both"/>
        <w:rPr>
          <w:rFonts w:cs="Arial"/>
        </w:rPr>
      </w:pPr>
    </w:p>
    <w:p w14:paraId="543AE00E" w14:textId="1C1A998F" w:rsidR="00471EA9" w:rsidRDefault="002E69DF" w:rsidP="002E69DF">
      <w:pPr>
        <w:pStyle w:val="ListParagraph"/>
        <w:numPr>
          <w:ilvl w:val="0"/>
          <w:numId w:val="36"/>
        </w:numPr>
        <w:spacing w:after="0"/>
        <w:ind w:left="360"/>
        <w:jc w:val="both"/>
        <w:rPr>
          <w:rFonts w:eastAsia="Times New Roman" w:cs="Arial"/>
        </w:rPr>
      </w:pPr>
      <w:r>
        <w:rPr>
          <w:rFonts w:eastAsia="Times New Roman" w:cs="Arial"/>
        </w:rPr>
        <w:t>The</w:t>
      </w:r>
      <w:r w:rsidR="00471EA9">
        <w:rPr>
          <w:rFonts w:eastAsia="Times New Roman" w:cs="Arial"/>
        </w:rPr>
        <w:t xml:space="preserve"> approach needs to be ‘Ambitious but Balanced, Measured and Considered – with people at the front and centre’.</w:t>
      </w:r>
    </w:p>
    <w:p w14:paraId="71B24B0E" w14:textId="44E30745" w:rsidR="00471EA9" w:rsidRDefault="002E69DF" w:rsidP="002E69DF">
      <w:pPr>
        <w:pStyle w:val="ListParagraph"/>
        <w:numPr>
          <w:ilvl w:val="0"/>
          <w:numId w:val="36"/>
        </w:numPr>
        <w:spacing w:after="0"/>
        <w:ind w:left="360"/>
        <w:jc w:val="both"/>
        <w:rPr>
          <w:rFonts w:eastAsia="Times New Roman" w:cs="Arial"/>
        </w:rPr>
      </w:pPr>
      <w:r>
        <w:rPr>
          <w:rFonts w:eastAsia="Times New Roman" w:cs="Arial"/>
        </w:rPr>
        <w:t>It</w:t>
      </w:r>
      <w:r w:rsidR="00471EA9">
        <w:rPr>
          <w:rFonts w:eastAsia="Times New Roman" w:cs="Arial"/>
        </w:rPr>
        <w:t xml:space="preserve"> want</w:t>
      </w:r>
      <w:r>
        <w:rPr>
          <w:rFonts w:eastAsia="Times New Roman" w:cs="Arial"/>
        </w:rPr>
        <w:t>s</w:t>
      </w:r>
      <w:r w:rsidR="00471EA9">
        <w:rPr>
          <w:rFonts w:eastAsia="Times New Roman" w:cs="Arial"/>
        </w:rPr>
        <w:t xml:space="preserve"> to take measured steps, co-designed with partners and people, with legitimacy and freedom to discuss our populations.</w:t>
      </w:r>
    </w:p>
    <w:p w14:paraId="5FF64D59" w14:textId="00BD56D3" w:rsidR="00471EA9" w:rsidRDefault="002E69DF" w:rsidP="002E69DF">
      <w:pPr>
        <w:pStyle w:val="ListParagraph"/>
        <w:numPr>
          <w:ilvl w:val="0"/>
          <w:numId w:val="36"/>
        </w:numPr>
        <w:spacing w:after="0"/>
        <w:ind w:left="360"/>
        <w:jc w:val="both"/>
        <w:rPr>
          <w:rFonts w:eastAsia="Times New Roman" w:cs="Arial"/>
        </w:rPr>
      </w:pPr>
      <w:r>
        <w:rPr>
          <w:rFonts w:eastAsia="Times New Roman" w:cs="Arial"/>
        </w:rPr>
        <w:t>It</w:t>
      </w:r>
      <w:r w:rsidR="00471EA9">
        <w:rPr>
          <w:rFonts w:eastAsia="Times New Roman" w:cs="Arial"/>
        </w:rPr>
        <w:t xml:space="preserve"> want</w:t>
      </w:r>
      <w:r>
        <w:rPr>
          <w:rFonts w:eastAsia="Times New Roman" w:cs="Arial"/>
        </w:rPr>
        <w:t>s an</w:t>
      </w:r>
      <w:r w:rsidR="00471EA9">
        <w:rPr>
          <w:rFonts w:eastAsia="Times New Roman" w:cs="Arial"/>
        </w:rPr>
        <w:t xml:space="preserve"> agile governance that can scale up or down, which supports pockets of excellence to continue and enables them to be upscaled.  </w:t>
      </w:r>
    </w:p>
    <w:p w14:paraId="07023384" w14:textId="679438D1" w:rsidR="00471EA9" w:rsidRDefault="002E69DF" w:rsidP="002E69DF">
      <w:pPr>
        <w:pStyle w:val="ListParagraph"/>
        <w:numPr>
          <w:ilvl w:val="0"/>
          <w:numId w:val="36"/>
        </w:numPr>
        <w:spacing w:after="0"/>
        <w:ind w:left="360"/>
        <w:jc w:val="both"/>
        <w:rPr>
          <w:rFonts w:eastAsia="Times New Roman" w:cs="Arial"/>
        </w:rPr>
      </w:pPr>
      <w:r>
        <w:rPr>
          <w:rFonts w:eastAsia="Times New Roman" w:cs="Arial"/>
        </w:rPr>
        <w:t>It</w:t>
      </w:r>
      <w:r w:rsidR="00471EA9">
        <w:rPr>
          <w:rFonts w:eastAsia="Times New Roman" w:cs="Arial"/>
        </w:rPr>
        <w:t xml:space="preserve"> will need to be cognisant of the wider implications on </w:t>
      </w:r>
      <w:r>
        <w:rPr>
          <w:rFonts w:eastAsia="Times New Roman" w:cs="Arial"/>
        </w:rPr>
        <w:t>the</w:t>
      </w:r>
      <w:r w:rsidR="00471EA9">
        <w:rPr>
          <w:rFonts w:eastAsia="Times New Roman" w:cs="Arial"/>
        </w:rPr>
        <w:t xml:space="preserve"> locality arrangements given </w:t>
      </w:r>
      <w:r>
        <w:rPr>
          <w:rFonts w:eastAsia="Times New Roman" w:cs="Arial"/>
        </w:rPr>
        <w:t>the</w:t>
      </w:r>
      <w:r w:rsidR="00471EA9">
        <w:rPr>
          <w:rFonts w:eastAsia="Times New Roman" w:cs="Arial"/>
        </w:rPr>
        <w:t xml:space="preserve"> geographical size and demographic diversity.</w:t>
      </w:r>
    </w:p>
    <w:p w14:paraId="0B2959D7" w14:textId="0499B7E0" w:rsidR="00471EA9" w:rsidRDefault="00471EA9" w:rsidP="002937A9">
      <w:pPr>
        <w:jc w:val="both"/>
        <w:rPr>
          <w:rFonts w:cs="Arial"/>
        </w:rPr>
      </w:pPr>
    </w:p>
    <w:p w14:paraId="0B9873DF" w14:textId="3C54912D" w:rsidR="00D214FF" w:rsidRDefault="002E69DF" w:rsidP="00D214FF">
      <w:pPr>
        <w:jc w:val="both"/>
        <w:rPr>
          <w:b/>
        </w:rPr>
      </w:pPr>
      <w:r>
        <w:rPr>
          <w:b/>
        </w:rPr>
        <w:br w:type="page"/>
      </w:r>
      <w:r w:rsidR="00D214FF">
        <w:rPr>
          <w:b/>
        </w:rPr>
        <w:lastRenderedPageBreak/>
        <w:t>Appendices</w:t>
      </w:r>
    </w:p>
    <w:p w14:paraId="72A1E077" w14:textId="77777777" w:rsidR="00D214FF" w:rsidRDefault="00D214FF" w:rsidP="00D214FF">
      <w:pPr>
        <w:jc w:val="both"/>
        <w:rPr>
          <w:b/>
        </w:rPr>
      </w:pPr>
    </w:p>
    <w:p w14:paraId="472D26BF" w14:textId="6EDDD42F" w:rsidR="00D214FF" w:rsidRDefault="00D214FF" w:rsidP="00D214FF">
      <w:pPr>
        <w:jc w:val="both"/>
        <w:rPr>
          <w:bCs/>
        </w:rPr>
      </w:pPr>
      <w:r>
        <w:rPr>
          <w:bCs/>
        </w:rPr>
        <w:t>Appendix 'A'</w:t>
      </w:r>
      <w:r>
        <w:rPr>
          <w:bCs/>
        </w:rPr>
        <w:t xml:space="preserve"> and 'B'</w:t>
      </w:r>
      <w:r>
        <w:rPr>
          <w:b/>
        </w:rPr>
        <w:t xml:space="preserve"> </w:t>
      </w:r>
      <w:r>
        <w:rPr>
          <w:bCs/>
        </w:rPr>
        <w:t xml:space="preserve">is attached to this report. </w:t>
      </w:r>
    </w:p>
    <w:p w14:paraId="2A344E6C" w14:textId="77777777" w:rsidR="00D214FF" w:rsidRDefault="00D214FF" w:rsidP="00D214FF">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406"/>
      </w:tblGrid>
      <w:tr w:rsidR="00D214FF" w14:paraId="2A440333" w14:textId="77777777" w:rsidTr="00D214FF">
        <w:tc>
          <w:tcPr>
            <w:tcW w:w="2660" w:type="dxa"/>
            <w:tcBorders>
              <w:top w:val="single" w:sz="4" w:space="0" w:color="auto"/>
              <w:left w:val="single" w:sz="4" w:space="0" w:color="auto"/>
              <w:bottom w:val="single" w:sz="4" w:space="0" w:color="auto"/>
              <w:right w:val="single" w:sz="4" w:space="0" w:color="auto"/>
            </w:tcBorders>
            <w:hideMark/>
          </w:tcPr>
          <w:p w14:paraId="33B14154" w14:textId="77777777" w:rsidR="00D214FF" w:rsidRDefault="00D214FF">
            <w:pPr>
              <w:jc w:val="both"/>
              <w:rPr>
                <w:b/>
              </w:rPr>
            </w:pPr>
            <w:r>
              <w:rPr>
                <w:b/>
              </w:rPr>
              <w:t>Appendix</w:t>
            </w:r>
          </w:p>
        </w:tc>
        <w:tc>
          <w:tcPr>
            <w:tcW w:w="6583" w:type="dxa"/>
            <w:tcBorders>
              <w:top w:val="single" w:sz="4" w:space="0" w:color="auto"/>
              <w:left w:val="single" w:sz="4" w:space="0" w:color="auto"/>
              <w:bottom w:val="single" w:sz="4" w:space="0" w:color="auto"/>
              <w:right w:val="single" w:sz="4" w:space="0" w:color="auto"/>
            </w:tcBorders>
            <w:hideMark/>
          </w:tcPr>
          <w:p w14:paraId="322400EB" w14:textId="77777777" w:rsidR="00D214FF" w:rsidRDefault="00D214FF">
            <w:pPr>
              <w:jc w:val="both"/>
              <w:rPr>
                <w:b/>
              </w:rPr>
            </w:pPr>
            <w:r>
              <w:rPr>
                <w:b/>
              </w:rPr>
              <w:t>Title</w:t>
            </w:r>
          </w:p>
        </w:tc>
      </w:tr>
      <w:tr w:rsidR="00D214FF" w14:paraId="25B72BBD" w14:textId="77777777" w:rsidTr="00D214FF">
        <w:tc>
          <w:tcPr>
            <w:tcW w:w="2660" w:type="dxa"/>
            <w:tcBorders>
              <w:top w:val="single" w:sz="4" w:space="0" w:color="auto"/>
              <w:left w:val="single" w:sz="4" w:space="0" w:color="auto"/>
              <w:bottom w:val="single" w:sz="4" w:space="0" w:color="auto"/>
              <w:right w:val="single" w:sz="4" w:space="0" w:color="auto"/>
            </w:tcBorders>
            <w:hideMark/>
          </w:tcPr>
          <w:p w14:paraId="0E3B8E7A" w14:textId="77777777" w:rsidR="00D214FF" w:rsidRDefault="00D214FF">
            <w:pPr>
              <w:jc w:val="both"/>
              <w:rPr>
                <w:bCs/>
              </w:rPr>
            </w:pPr>
            <w:r>
              <w:rPr>
                <w:bCs/>
              </w:rPr>
              <w:t>Appendix 'A'</w:t>
            </w:r>
          </w:p>
        </w:tc>
        <w:tc>
          <w:tcPr>
            <w:tcW w:w="6583" w:type="dxa"/>
            <w:tcBorders>
              <w:top w:val="single" w:sz="4" w:space="0" w:color="auto"/>
              <w:left w:val="single" w:sz="4" w:space="0" w:color="auto"/>
              <w:bottom w:val="single" w:sz="4" w:space="0" w:color="auto"/>
              <w:right w:val="single" w:sz="4" w:space="0" w:color="auto"/>
            </w:tcBorders>
            <w:hideMark/>
          </w:tcPr>
          <w:p w14:paraId="1DD594B8" w14:textId="20212D63" w:rsidR="00D214FF" w:rsidRDefault="00D214FF">
            <w:pPr>
              <w:jc w:val="both"/>
              <w:rPr>
                <w:bCs/>
              </w:rPr>
            </w:pPr>
            <w:r>
              <w:rPr>
                <w:bCs/>
              </w:rPr>
              <w:t>Workshop Summary Report</w:t>
            </w:r>
          </w:p>
        </w:tc>
      </w:tr>
      <w:tr w:rsidR="00D214FF" w14:paraId="2B5A39B6" w14:textId="77777777" w:rsidTr="00D214FF">
        <w:tc>
          <w:tcPr>
            <w:tcW w:w="2660" w:type="dxa"/>
            <w:tcBorders>
              <w:top w:val="single" w:sz="4" w:space="0" w:color="auto"/>
              <w:left w:val="single" w:sz="4" w:space="0" w:color="auto"/>
              <w:bottom w:val="single" w:sz="4" w:space="0" w:color="auto"/>
              <w:right w:val="single" w:sz="4" w:space="0" w:color="auto"/>
            </w:tcBorders>
          </w:tcPr>
          <w:p w14:paraId="7F15C3C7" w14:textId="7030829E" w:rsidR="00D214FF" w:rsidRDefault="00D214FF">
            <w:pPr>
              <w:jc w:val="both"/>
              <w:rPr>
                <w:bCs/>
              </w:rPr>
            </w:pPr>
            <w:r>
              <w:rPr>
                <w:bCs/>
              </w:rPr>
              <w:t>Appendix 'B'</w:t>
            </w:r>
          </w:p>
        </w:tc>
        <w:tc>
          <w:tcPr>
            <w:tcW w:w="6583" w:type="dxa"/>
            <w:tcBorders>
              <w:top w:val="single" w:sz="4" w:space="0" w:color="auto"/>
              <w:left w:val="single" w:sz="4" w:space="0" w:color="auto"/>
              <w:bottom w:val="single" w:sz="4" w:space="0" w:color="auto"/>
              <w:right w:val="single" w:sz="4" w:space="0" w:color="auto"/>
            </w:tcBorders>
          </w:tcPr>
          <w:p w14:paraId="0104AC7F" w14:textId="0D266427" w:rsidR="00D214FF" w:rsidRDefault="00D214FF">
            <w:pPr>
              <w:jc w:val="both"/>
              <w:rPr>
                <w:bCs/>
              </w:rPr>
            </w:pPr>
            <w:r>
              <w:rPr>
                <w:bCs/>
              </w:rPr>
              <w:t>Locality Arrangements</w:t>
            </w:r>
          </w:p>
        </w:tc>
      </w:tr>
      <w:tr w:rsidR="00D214FF" w14:paraId="3ADBFB88" w14:textId="77777777" w:rsidTr="00D214FF">
        <w:tc>
          <w:tcPr>
            <w:tcW w:w="2660" w:type="dxa"/>
            <w:tcBorders>
              <w:top w:val="single" w:sz="4" w:space="0" w:color="auto"/>
              <w:left w:val="single" w:sz="4" w:space="0" w:color="auto"/>
              <w:bottom w:val="single" w:sz="4" w:space="0" w:color="auto"/>
              <w:right w:val="single" w:sz="4" w:space="0" w:color="auto"/>
            </w:tcBorders>
          </w:tcPr>
          <w:p w14:paraId="3F64D016" w14:textId="77777777" w:rsidR="00D214FF" w:rsidRDefault="00D214FF">
            <w:pPr>
              <w:jc w:val="both"/>
              <w:rPr>
                <w:bCs/>
              </w:rPr>
            </w:pPr>
          </w:p>
        </w:tc>
        <w:tc>
          <w:tcPr>
            <w:tcW w:w="6583" w:type="dxa"/>
            <w:tcBorders>
              <w:top w:val="single" w:sz="4" w:space="0" w:color="auto"/>
              <w:left w:val="single" w:sz="4" w:space="0" w:color="auto"/>
              <w:bottom w:val="single" w:sz="4" w:space="0" w:color="auto"/>
              <w:right w:val="single" w:sz="4" w:space="0" w:color="auto"/>
            </w:tcBorders>
          </w:tcPr>
          <w:p w14:paraId="198FC096" w14:textId="77777777" w:rsidR="00D214FF" w:rsidRDefault="00D214FF">
            <w:pPr>
              <w:jc w:val="both"/>
              <w:rPr>
                <w:bCs/>
              </w:rPr>
            </w:pPr>
          </w:p>
        </w:tc>
      </w:tr>
    </w:tbl>
    <w:p w14:paraId="182FC7CC" w14:textId="77777777" w:rsidR="00D214FF" w:rsidRDefault="00D214FF" w:rsidP="002937A9">
      <w:pPr>
        <w:jc w:val="both"/>
        <w:rPr>
          <w:rFonts w:cs="Arial"/>
        </w:rPr>
      </w:pPr>
    </w:p>
    <w:p w14:paraId="7E536972" w14:textId="77777777" w:rsidR="00D214FF" w:rsidRPr="000A1EEE" w:rsidRDefault="00D214FF" w:rsidP="00D214FF">
      <w:pPr>
        <w:pStyle w:val="Header"/>
        <w:jc w:val="both"/>
        <w:rPr>
          <w:rFonts w:ascii="Arial" w:hAnsi="Arial" w:cs="Arial"/>
          <w:b/>
        </w:rPr>
      </w:pPr>
      <w:r w:rsidRPr="000A1EEE">
        <w:rPr>
          <w:rFonts w:ascii="Arial" w:hAnsi="Arial" w:cs="Arial"/>
          <w:b/>
        </w:rPr>
        <w:t>List of background papers</w:t>
      </w:r>
    </w:p>
    <w:p w14:paraId="61013286" w14:textId="77777777" w:rsidR="00D214FF" w:rsidRDefault="00D214FF" w:rsidP="00D214FF">
      <w:pPr>
        <w:pStyle w:val="Header"/>
        <w:jc w:val="both"/>
        <w:rPr>
          <w:rFonts w:ascii="Arial" w:hAnsi="Arial" w:cs="Arial"/>
        </w:rPr>
      </w:pPr>
      <w:r w:rsidRPr="002C03A3">
        <w:rPr>
          <w:rFonts w:ascii="Arial" w:hAnsi="Arial" w:cs="Arial"/>
        </w:rPr>
        <w:t xml:space="preserve"> </w:t>
      </w:r>
    </w:p>
    <w:p w14:paraId="05FC1F1E" w14:textId="77777777" w:rsidR="00D214FF" w:rsidRDefault="00D214FF" w:rsidP="00D214FF">
      <w:pPr>
        <w:pStyle w:val="Header"/>
        <w:jc w:val="both"/>
        <w:rPr>
          <w:rFonts w:ascii="Arial" w:hAnsi="Arial" w:cs="Arial"/>
        </w:rPr>
      </w:pPr>
      <w:r>
        <w:rPr>
          <w:rFonts w:ascii="Arial" w:hAnsi="Arial" w:cs="Arial"/>
        </w:rPr>
        <w:t>Appendix One – Workshop Summary Report</w:t>
      </w:r>
    </w:p>
    <w:p w14:paraId="34426C9C" w14:textId="77777777" w:rsidR="00D214FF" w:rsidRDefault="00D214FF" w:rsidP="00D214FF">
      <w:pPr>
        <w:pStyle w:val="Header"/>
        <w:jc w:val="both"/>
        <w:rPr>
          <w:rFonts w:ascii="Arial" w:hAnsi="Arial" w:cs="Arial"/>
        </w:rPr>
      </w:pPr>
    </w:p>
    <w:p w14:paraId="734D64AD" w14:textId="77777777" w:rsidR="00D214FF" w:rsidRPr="002C03A3" w:rsidRDefault="00D214FF" w:rsidP="00D214FF">
      <w:pPr>
        <w:pStyle w:val="Header"/>
        <w:jc w:val="both"/>
        <w:rPr>
          <w:rFonts w:ascii="Arial" w:hAnsi="Arial" w:cs="Arial"/>
        </w:rPr>
      </w:pPr>
      <w:r>
        <w:rPr>
          <w:rFonts w:ascii="Arial" w:hAnsi="Arial" w:cs="Arial"/>
        </w:rPr>
        <w:t xml:space="preserve">Appendix Two – Locality Arrangements </w:t>
      </w:r>
    </w:p>
    <w:p w14:paraId="7B1C300A" w14:textId="77777777" w:rsidR="00D214FF" w:rsidRPr="002C03A3" w:rsidRDefault="00D214FF" w:rsidP="00D214FF">
      <w:pPr>
        <w:pStyle w:val="Header"/>
        <w:jc w:val="both"/>
        <w:rPr>
          <w:rFonts w:ascii="Arial" w:hAnsi="Arial" w:cs="Arial"/>
        </w:rPr>
      </w:pPr>
    </w:p>
    <w:tbl>
      <w:tblPr>
        <w:tblW w:w="0" w:type="auto"/>
        <w:tblLayout w:type="fixed"/>
        <w:tblLook w:val="0000" w:firstRow="0" w:lastRow="0" w:firstColumn="0" w:lastColumn="0" w:noHBand="0" w:noVBand="0"/>
      </w:tblPr>
      <w:tblGrid>
        <w:gridCol w:w="9180"/>
      </w:tblGrid>
      <w:tr w:rsidR="00D214FF" w14:paraId="6E591670" w14:textId="77777777" w:rsidTr="002F685C">
        <w:tc>
          <w:tcPr>
            <w:tcW w:w="9180" w:type="dxa"/>
          </w:tcPr>
          <w:p w14:paraId="036BDEC1" w14:textId="77777777" w:rsidR="00D214FF" w:rsidRPr="002C03A3" w:rsidRDefault="00D214FF" w:rsidP="002F685C">
            <w:r w:rsidRPr="002C03A3">
              <w:t>Reason for inclusion in Part II, if appropriate</w:t>
            </w:r>
          </w:p>
          <w:p w14:paraId="0BBBC960" w14:textId="77777777" w:rsidR="00D214FF" w:rsidRDefault="00D214FF" w:rsidP="002F685C">
            <w:pPr>
              <w:rPr>
                <w:i/>
                <w:iCs/>
              </w:rPr>
            </w:pPr>
          </w:p>
          <w:p w14:paraId="5C4D53F9" w14:textId="6D179382" w:rsidR="00D214FF" w:rsidRPr="00D214FF" w:rsidRDefault="00D214FF" w:rsidP="002F685C">
            <w:r>
              <w:t>N/A</w:t>
            </w:r>
          </w:p>
          <w:p w14:paraId="1D9B6AB3" w14:textId="77777777" w:rsidR="00D214FF" w:rsidRDefault="00D214FF" w:rsidP="002F685C"/>
        </w:tc>
      </w:tr>
    </w:tbl>
    <w:p w14:paraId="5BC70D3B" w14:textId="77777777" w:rsidR="00D214FF" w:rsidRPr="001B1A1D" w:rsidRDefault="00D214FF" w:rsidP="00470657">
      <w:pPr>
        <w:jc w:val="both"/>
        <w:rPr>
          <w:rFonts w:cs="Arial"/>
        </w:rPr>
      </w:pPr>
    </w:p>
    <w:sectPr w:rsidR="00D214FF" w:rsidRPr="001B1A1D" w:rsidSect="000F5AB6">
      <w:footerReference w:type="default" r:id="rId9"/>
      <w:headerReference w:type="first" r:id="rId10"/>
      <w:footerReference w:type="first" r:id="rId11"/>
      <w:type w:val="continuous"/>
      <w:pgSz w:w="11907" w:h="16840" w:code="9"/>
      <w:pgMar w:top="1276"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C312" w14:textId="77777777" w:rsidR="00065136" w:rsidRDefault="00065136">
      <w:r>
        <w:separator/>
      </w:r>
    </w:p>
  </w:endnote>
  <w:endnote w:type="continuationSeparator" w:id="0">
    <w:p w14:paraId="6DFD869E" w14:textId="77777777" w:rsidR="00065136" w:rsidRDefault="0006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C15FE" w14:paraId="02863FB3" w14:textId="77777777">
      <w:tc>
        <w:tcPr>
          <w:tcW w:w="9243" w:type="dxa"/>
          <w:tcBorders>
            <w:top w:val="nil"/>
            <w:left w:val="nil"/>
            <w:bottom w:val="nil"/>
            <w:right w:val="nil"/>
          </w:tcBorders>
        </w:tcPr>
        <w:p w14:paraId="15CD5D70" w14:textId="1A2D8B38" w:rsidR="00DF043B" w:rsidRDefault="002E69DF">
          <w:pPr>
            <w:pStyle w:val="Footer"/>
            <w:tabs>
              <w:tab w:val="clear" w:pos="4153"/>
            </w:tabs>
            <w:ind w:right="-45"/>
            <w:jc w:val="right"/>
          </w:pPr>
          <w:r>
            <w:rPr>
              <w:noProof/>
            </w:rPr>
            <w:drawing>
              <wp:anchor distT="0" distB="0" distL="114300" distR="114300" simplePos="0" relativeHeight="251656192" behindDoc="1" locked="0" layoutInCell="1" allowOverlap="1" wp14:anchorId="584B9D55" wp14:editId="17119FD6">
                <wp:simplePos x="0" y="0"/>
                <wp:positionH relativeFrom="column">
                  <wp:posOffset>-914400</wp:posOffset>
                </wp:positionH>
                <wp:positionV relativeFrom="paragraph">
                  <wp:posOffset>-148590</wp:posOffset>
                </wp:positionV>
                <wp:extent cx="7548245" cy="62103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7346575E" w14:textId="13403EB1" w:rsidR="00DF043B" w:rsidRDefault="002E69DF">
    <w:pPr>
      <w:pStyle w:val="Footer"/>
      <w:tabs>
        <w:tab w:val="clear" w:pos="4153"/>
      </w:tabs>
      <w:ind w:right="-45"/>
      <w:jc w:val="right"/>
      <w:rPr>
        <w:sz w:val="16"/>
      </w:rPr>
    </w:pPr>
    <w:r>
      <w:rPr>
        <w:noProof/>
      </w:rPr>
      <w:drawing>
        <wp:anchor distT="0" distB="0" distL="114300" distR="114300" simplePos="0" relativeHeight="251659264" behindDoc="1" locked="0" layoutInCell="1" allowOverlap="1" wp14:anchorId="67DF9AD9" wp14:editId="3AC0D88C">
          <wp:simplePos x="0" y="0"/>
          <wp:positionH relativeFrom="column">
            <wp:posOffset>-914400</wp:posOffset>
          </wp:positionH>
          <wp:positionV relativeFrom="paragraph">
            <wp:posOffset>-331470</wp:posOffset>
          </wp:positionV>
          <wp:extent cx="7548245" cy="621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C15FE" w14:paraId="37200691" w14:textId="77777777">
      <w:tc>
        <w:tcPr>
          <w:tcW w:w="9243" w:type="dxa"/>
          <w:tcBorders>
            <w:top w:val="nil"/>
            <w:left w:val="nil"/>
            <w:bottom w:val="nil"/>
            <w:right w:val="nil"/>
          </w:tcBorders>
        </w:tcPr>
        <w:p w14:paraId="029206EB" w14:textId="77777777" w:rsidR="0036487C" w:rsidRDefault="0036487C" w:rsidP="004D419B">
          <w:pPr>
            <w:pStyle w:val="Footer"/>
            <w:tabs>
              <w:tab w:val="clear" w:pos="4153"/>
            </w:tabs>
            <w:ind w:right="-45"/>
            <w:jc w:val="right"/>
          </w:pPr>
        </w:p>
      </w:tc>
    </w:tr>
  </w:tbl>
  <w:p w14:paraId="62A8AE0F" w14:textId="3B16A9B6" w:rsidR="00DF043B" w:rsidRPr="0036487C" w:rsidRDefault="002E69DF" w:rsidP="0036487C">
    <w:pPr>
      <w:pStyle w:val="Footer"/>
    </w:pPr>
    <w:r>
      <w:rPr>
        <w:noProof/>
      </w:rPr>
      <w:drawing>
        <wp:anchor distT="0" distB="0" distL="114300" distR="114300" simplePos="0" relativeHeight="251657216" behindDoc="1" locked="0" layoutInCell="1" allowOverlap="1" wp14:anchorId="432D61BF" wp14:editId="3F4E54C4">
          <wp:simplePos x="0" y="0"/>
          <wp:positionH relativeFrom="column">
            <wp:posOffset>-908685</wp:posOffset>
          </wp:positionH>
          <wp:positionV relativeFrom="paragraph">
            <wp:posOffset>-255270</wp:posOffset>
          </wp:positionV>
          <wp:extent cx="7548245" cy="62103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3F02" w14:textId="77777777" w:rsidR="00065136" w:rsidRDefault="00065136">
      <w:r>
        <w:separator/>
      </w:r>
    </w:p>
  </w:footnote>
  <w:footnote w:type="continuationSeparator" w:id="0">
    <w:p w14:paraId="022BC5EA" w14:textId="77777777" w:rsidR="00065136" w:rsidRDefault="00065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9DB2" w14:textId="03EE0839" w:rsidR="00841033" w:rsidRDefault="002E69DF">
    <w:pPr>
      <w:pStyle w:val="Header"/>
    </w:pPr>
    <w:r>
      <w:rPr>
        <w:noProof/>
      </w:rPr>
      <w:drawing>
        <wp:anchor distT="0" distB="0" distL="114300" distR="114300" simplePos="0" relativeHeight="251658240" behindDoc="1" locked="0" layoutInCell="1" allowOverlap="1" wp14:anchorId="084466EE" wp14:editId="04BDE45A">
          <wp:simplePos x="0" y="0"/>
          <wp:positionH relativeFrom="column">
            <wp:posOffset>-911860</wp:posOffset>
          </wp:positionH>
          <wp:positionV relativeFrom="paragraph">
            <wp:posOffset>-457200</wp:posOffset>
          </wp:positionV>
          <wp:extent cx="7549515" cy="2004695"/>
          <wp:effectExtent l="0" t="0" r="0" b="0"/>
          <wp:wrapNone/>
          <wp:docPr id="3"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2004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15B"/>
    <w:multiLevelType w:val="hybridMultilevel"/>
    <w:tmpl w:val="169C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8766D"/>
    <w:multiLevelType w:val="multilevel"/>
    <w:tmpl w:val="E36AE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4E78A4"/>
    <w:multiLevelType w:val="hybridMultilevel"/>
    <w:tmpl w:val="35EE576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E586B71"/>
    <w:multiLevelType w:val="hybridMultilevel"/>
    <w:tmpl w:val="3512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D3948"/>
    <w:multiLevelType w:val="hybridMultilevel"/>
    <w:tmpl w:val="DA661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623BE"/>
    <w:multiLevelType w:val="hybridMultilevel"/>
    <w:tmpl w:val="C218CEB2"/>
    <w:lvl w:ilvl="0" w:tplc="FC166000">
      <w:start w:val="1"/>
      <w:numFmt w:val="bullet"/>
      <w:lvlText w:val="•"/>
      <w:lvlJc w:val="left"/>
      <w:pPr>
        <w:tabs>
          <w:tab w:val="num" w:pos="720"/>
        </w:tabs>
        <w:ind w:left="720" w:hanging="360"/>
      </w:pPr>
      <w:rPr>
        <w:rFonts w:ascii="Arial" w:hAnsi="Arial" w:hint="default"/>
      </w:rPr>
    </w:lvl>
    <w:lvl w:ilvl="1" w:tplc="45900850" w:tentative="1">
      <w:start w:val="1"/>
      <w:numFmt w:val="bullet"/>
      <w:lvlText w:val="•"/>
      <w:lvlJc w:val="left"/>
      <w:pPr>
        <w:tabs>
          <w:tab w:val="num" w:pos="1440"/>
        </w:tabs>
        <w:ind w:left="1440" w:hanging="360"/>
      </w:pPr>
      <w:rPr>
        <w:rFonts w:ascii="Arial" w:hAnsi="Arial" w:hint="default"/>
      </w:rPr>
    </w:lvl>
    <w:lvl w:ilvl="2" w:tplc="4F6C798C" w:tentative="1">
      <w:start w:val="1"/>
      <w:numFmt w:val="bullet"/>
      <w:lvlText w:val="•"/>
      <w:lvlJc w:val="left"/>
      <w:pPr>
        <w:tabs>
          <w:tab w:val="num" w:pos="2160"/>
        </w:tabs>
        <w:ind w:left="2160" w:hanging="360"/>
      </w:pPr>
      <w:rPr>
        <w:rFonts w:ascii="Arial" w:hAnsi="Arial" w:hint="default"/>
      </w:rPr>
    </w:lvl>
    <w:lvl w:ilvl="3" w:tplc="4BCEA68A" w:tentative="1">
      <w:start w:val="1"/>
      <w:numFmt w:val="bullet"/>
      <w:lvlText w:val="•"/>
      <w:lvlJc w:val="left"/>
      <w:pPr>
        <w:tabs>
          <w:tab w:val="num" w:pos="2880"/>
        </w:tabs>
        <w:ind w:left="2880" w:hanging="360"/>
      </w:pPr>
      <w:rPr>
        <w:rFonts w:ascii="Arial" w:hAnsi="Arial" w:hint="default"/>
      </w:rPr>
    </w:lvl>
    <w:lvl w:ilvl="4" w:tplc="8182B526" w:tentative="1">
      <w:start w:val="1"/>
      <w:numFmt w:val="bullet"/>
      <w:lvlText w:val="•"/>
      <w:lvlJc w:val="left"/>
      <w:pPr>
        <w:tabs>
          <w:tab w:val="num" w:pos="3600"/>
        </w:tabs>
        <w:ind w:left="3600" w:hanging="360"/>
      </w:pPr>
      <w:rPr>
        <w:rFonts w:ascii="Arial" w:hAnsi="Arial" w:hint="default"/>
      </w:rPr>
    </w:lvl>
    <w:lvl w:ilvl="5" w:tplc="E76EF242" w:tentative="1">
      <w:start w:val="1"/>
      <w:numFmt w:val="bullet"/>
      <w:lvlText w:val="•"/>
      <w:lvlJc w:val="left"/>
      <w:pPr>
        <w:tabs>
          <w:tab w:val="num" w:pos="4320"/>
        </w:tabs>
        <w:ind w:left="4320" w:hanging="360"/>
      </w:pPr>
      <w:rPr>
        <w:rFonts w:ascii="Arial" w:hAnsi="Arial" w:hint="default"/>
      </w:rPr>
    </w:lvl>
    <w:lvl w:ilvl="6" w:tplc="55121190" w:tentative="1">
      <w:start w:val="1"/>
      <w:numFmt w:val="bullet"/>
      <w:lvlText w:val="•"/>
      <w:lvlJc w:val="left"/>
      <w:pPr>
        <w:tabs>
          <w:tab w:val="num" w:pos="5040"/>
        </w:tabs>
        <w:ind w:left="5040" w:hanging="360"/>
      </w:pPr>
      <w:rPr>
        <w:rFonts w:ascii="Arial" w:hAnsi="Arial" w:hint="default"/>
      </w:rPr>
    </w:lvl>
    <w:lvl w:ilvl="7" w:tplc="2594FFEE" w:tentative="1">
      <w:start w:val="1"/>
      <w:numFmt w:val="bullet"/>
      <w:lvlText w:val="•"/>
      <w:lvlJc w:val="left"/>
      <w:pPr>
        <w:tabs>
          <w:tab w:val="num" w:pos="5760"/>
        </w:tabs>
        <w:ind w:left="5760" w:hanging="360"/>
      </w:pPr>
      <w:rPr>
        <w:rFonts w:ascii="Arial" w:hAnsi="Arial" w:hint="default"/>
      </w:rPr>
    </w:lvl>
    <w:lvl w:ilvl="8" w:tplc="1276B8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95183D"/>
    <w:multiLevelType w:val="hybridMultilevel"/>
    <w:tmpl w:val="AA0C3A3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3B3BA7"/>
    <w:multiLevelType w:val="hybridMultilevel"/>
    <w:tmpl w:val="7D8833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8314E9"/>
    <w:multiLevelType w:val="hybridMultilevel"/>
    <w:tmpl w:val="BFFA85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282034E"/>
    <w:multiLevelType w:val="hybridMultilevel"/>
    <w:tmpl w:val="0164A684"/>
    <w:lvl w:ilvl="0" w:tplc="C678A688">
      <w:start w:val="1"/>
      <w:numFmt w:val="decimal"/>
      <w:lvlText w:val="%1)"/>
      <w:lvlJc w:val="left"/>
      <w:pPr>
        <w:tabs>
          <w:tab w:val="num" w:pos="720"/>
        </w:tabs>
        <w:ind w:left="720" w:hanging="360"/>
      </w:pPr>
    </w:lvl>
    <w:lvl w:ilvl="1" w:tplc="60FAC700" w:tentative="1">
      <w:start w:val="1"/>
      <w:numFmt w:val="decimal"/>
      <w:lvlText w:val="%2)"/>
      <w:lvlJc w:val="left"/>
      <w:pPr>
        <w:tabs>
          <w:tab w:val="num" w:pos="1440"/>
        </w:tabs>
        <w:ind w:left="1440" w:hanging="360"/>
      </w:pPr>
    </w:lvl>
    <w:lvl w:ilvl="2" w:tplc="01B4A32C" w:tentative="1">
      <w:start w:val="1"/>
      <w:numFmt w:val="decimal"/>
      <w:lvlText w:val="%3)"/>
      <w:lvlJc w:val="left"/>
      <w:pPr>
        <w:tabs>
          <w:tab w:val="num" w:pos="2160"/>
        </w:tabs>
        <w:ind w:left="2160" w:hanging="360"/>
      </w:pPr>
    </w:lvl>
    <w:lvl w:ilvl="3" w:tplc="647ECDDA" w:tentative="1">
      <w:start w:val="1"/>
      <w:numFmt w:val="decimal"/>
      <w:lvlText w:val="%4)"/>
      <w:lvlJc w:val="left"/>
      <w:pPr>
        <w:tabs>
          <w:tab w:val="num" w:pos="2880"/>
        </w:tabs>
        <w:ind w:left="2880" w:hanging="360"/>
      </w:pPr>
    </w:lvl>
    <w:lvl w:ilvl="4" w:tplc="AE963408" w:tentative="1">
      <w:start w:val="1"/>
      <w:numFmt w:val="decimal"/>
      <w:lvlText w:val="%5)"/>
      <w:lvlJc w:val="left"/>
      <w:pPr>
        <w:tabs>
          <w:tab w:val="num" w:pos="3600"/>
        </w:tabs>
        <w:ind w:left="3600" w:hanging="360"/>
      </w:pPr>
    </w:lvl>
    <w:lvl w:ilvl="5" w:tplc="853007D2" w:tentative="1">
      <w:start w:val="1"/>
      <w:numFmt w:val="decimal"/>
      <w:lvlText w:val="%6)"/>
      <w:lvlJc w:val="left"/>
      <w:pPr>
        <w:tabs>
          <w:tab w:val="num" w:pos="4320"/>
        </w:tabs>
        <w:ind w:left="4320" w:hanging="360"/>
      </w:pPr>
    </w:lvl>
    <w:lvl w:ilvl="6" w:tplc="65469C28" w:tentative="1">
      <w:start w:val="1"/>
      <w:numFmt w:val="decimal"/>
      <w:lvlText w:val="%7)"/>
      <w:lvlJc w:val="left"/>
      <w:pPr>
        <w:tabs>
          <w:tab w:val="num" w:pos="5040"/>
        </w:tabs>
        <w:ind w:left="5040" w:hanging="360"/>
      </w:pPr>
    </w:lvl>
    <w:lvl w:ilvl="7" w:tplc="5922F52E" w:tentative="1">
      <w:start w:val="1"/>
      <w:numFmt w:val="decimal"/>
      <w:lvlText w:val="%8)"/>
      <w:lvlJc w:val="left"/>
      <w:pPr>
        <w:tabs>
          <w:tab w:val="num" w:pos="5760"/>
        </w:tabs>
        <w:ind w:left="5760" w:hanging="360"/>
      </w:pPr>
    </w:lvl>
    <w:lvl w:ilvl="8" w:tplc="AD62F47C" w:tentative="1">
      <w:start w:val="1"/>
      <w:numFmt w:val="decimal"/>
      <w:lvlText w:val="%9)"/>
      <w:lvlJc w:val="left"/>
      <w:pPr>
        <w:tabs>
          <w:tab w:val="num" w:pos="6480"/>
        </w:tabs>
        <w:ind w:left="6480" w:hanging="360"/>
      </w:pPr>
    </w:lvl>
  </w:abstractNum>
  <w:abstractNum w:abstractNumId="10" w15:restartNumberingAfterBreak="0">
    <w:nsid w:val="22932180"/>
    <w:multiLevelType w:val="hybridMultilevel"/>
    <w:tmpl w:val="83026B2E"/>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030DC7"/>
    <w:multiLevelType w:val="multilevel"/>
    <w:tmpl w:val="E36AE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4A092C"/>
    <w:multiLevelType w:val="multilevel"/>
    <w:tmpl w:val="E36AE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831988"/>
    <w:multiLevelType w:val="hybridMultilevel"/>
    <w:tmpl w:val="ED2EA5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ascii="Univers" w:eastAsia="Times New Roman" w:hAnsi="Univer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DE378D"/>
    <w:multiLevelType w:val="hybridMultilevel"/>
    <w:tmpl w:val="531E3516"/>
    <w:lvl w:ilvl="0" w:tplc="EB862A90">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32D75"/>
    <w:multiLevelType w:val="multilevel"/>
    <w:tmpl w:val="E36AE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8E5295"/>
    <w:multiLevelType w:val="hybridMultilevel"/>
    <w:tmpl w:val="3476DDB0"/>
    <w:lvl w:ilvl="0" w:tplc="CA70A328">
      <w:start w:val="1"/>
      <w:numFmt w:val="lowerRoman"/>
      <w:lvlText w:val="(%1)"/>
      <w:lvlJc w:val="left"/>
      <w:pPr>
        <w:ind w:left="720" w:hanging="360"/>
      </w:pPr>
      <w:rPr>
        <w:rFonts w:hint="default"/>
      </w:rPr>
    </w:lvl>
    <w:lvl w:ilvl="1" w:tplc="BBCABF34" w:tentative="1">
      <w:start w:val="1"/>
      <w:numFmt w:val="lowerLetter"/>
      <w:lvlText w:val="%2."/>
      <w:lvlJc w:val="left"/>
      <w:pPr>
        <w:ind w:left="1440" w:hanging="360"/>
      </w:pPr>
    </w:lvl>
    <w:lvl w:ilvl="2" w:tplc="E9DC3576" w:tentative="1">
      <w:start w:val="1"/>
      <w:numFmt w:val="lowerRoman"/>
      <w:lvlText w:val="%3."/>
      <w:lvlJc w:val="right"/>
      <w:pPr>
        <w:ind w:left="2160" w:hanging="180"/>
      </w:pPr>
    </w:lvl>
    <w:lvl w:ilvl="3" w:tplc="7048D896" w:tentative="1">
      <w:start w:val="1"/>
      <w:numFmt w:val="decimal"/>
      <w:lvlText w:val="%4."/>
      <w:lvlJc w:val="left"/>
      <w:pPr>
        <w:ind w:left="2880" w:hanging="360"/>
      </w:pPr>
    </w:lvl>
    <w:lvl w:ilvl="4" w:tplc="783C0DC2" w:tentative="1">
      <w:start w:val="1"/>
      <w:numFmt w:val="lowerLetter"/>
      <w:lvlText w:val="%5."/>
      <w:lvlJc w:val="left"/>
      <w:pPr>
        <w:ind w:left="3600" w:hanging="360"/>
      </w:pPr>
    </w:lvl>
    <w:lvl w:ilvl="5" w:tplc="082015D8" w:tentative="1">
      <w:start w:val="1"/>
      <w:numFmt w:val="lowerRoman"/>
      <w:lvlText w:val="%6."/>
      <w:lvlJc w:val="right"/>
      <w:pPr>
        <w:ind w:left="4320" w:hanging="180"/>
      </w:pPr>
    </w:lvl>
    <w:lvl w:ilvl="6" w:tplc="3E1C25E8" w:tentative="1">
      <w:start w:val="1"/>
      <w:numFmt w:val="decimal"/>
      <w:lvlText w:val="%7."/>
      <w:lvlJc w:val="left"/>
      <w:pPr>
        <w:ind w:left="5040" w:hanging="360"/>
      </w:pPr>
    </w:lvl>
    <w:lvl w:ilvl="7" w:tplc="8FB45ABC" w:tentative="1">
      <w:start w:val="1"/>
      <w:numFmt w:val="lowerLetter"/>
      <w:lvlText w:val="%8."/>
      <w:lvlJc w:val="left"/>
      <w:pPr>
        <w:ind w:left="5760" w:hanging="360"/>
      </w:pPr>
    </w:lvl>
    <w:lvl w:ilvl="8" w:tplc="4028A96C" w:tentative="1">
      <w:start w:val="1"/>
      <w:numFmt w:val="lowerRoman"/>
      <w:lvlText w:val="%9."/>
      <w:lvlJc w:val="right"/>
      <w:pPr>
        <w:ind w:left="6480" w:hanging="180"/>
      </w:pPr>
    </w:lvl>
  </w:abstractNum>
  <w:abstractNum w:abstractNumId="17" w15:restartNumberingAfterBreak="0">
    <w:nsid w:val="46207092"/>
    <w:multiLevelType w:val="hybridMultilevel"/>
    <w:tmpl w:val="B408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F3F43"/>
    <w:multiLevelType w:val="multilevel"/>
    <w:tmpl w:val="4176CC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6F06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67218E"/>
    <w:multiLevelType w:val="hybridMultilevel"/>
    <w:tmpl w:val="E89C3C0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DCE1A05"/>
    <w:multiLevelType w:val="hybridMultilevel"/>
    <w:tmpl w:val="ED2EA51C"/>
    <w:lvl w:ilvl="0" w:tplc="0809000F">
      <w:start w:val="1"/>
      <w:numFmt w:val="decimal"/>
      <w:lvlText w:val="%1."/>
      <w:lvlJc w:val="left"/>
      <w:pPr>
        <w:ind w:left="720" w:hanging="360"/>
      </w:pPr>
      <w:rPr>
        <w:rFonts w:hint="default"/>
      </w:rPr>
    </w:lvl>
    <w:lvl w:ilvl="1" w:tplc="AF329784">
      <w:start w:val="1"/>
      <w:numFmt w:val="lowerLetter"/>
      <w:lvlText w:val="%2)"/>
      <w:lvlJc w:val="left"/>
      <w:pPr>
        <w:ind w:left="1440" w:hanging="360"/>
      </w:pPr>
      <w:rPr>
        <w:rFonts w:ascii="Univers" w:eastAsia="Times New Roman" w:hAnsi="Univer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842797"/>
    <w:multiLevelType w:val="multilevel"/>
    <w:tmpl w:val="F88826A2"/>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C8349A"/>
    <w:multiLevelType w:val="hybridMultilevel"/>
    <w:tmpl w:val="8C809D5A"/>
    <w:lvl w:ilvl="0" w:tplc="117AB862">
      <w:start w:val="1"/>
      <w:numFmt w:val="bullet"/>
      <w:lvlText w:val="•"/>
      <w:lvlJc w:val="left"/>
      <w:pPr>
        <w:tabs>
          <w:tab w:val="num" w:pos="720"/>
        </w:tabs>
        <w:ind w:left="720" w:hanging="360"/>
      </w:pPr>
      <w:rPr>
        <w:rFonts w:ascii="Arial" w:hAnsi="Arial" w:hint="default"/>
      </w:rPr>
    </w:lvl>
    <w:lvl w:ilvl="1" w:tplc="2D5EEC2E" w:tentative="1">
      <w:start w:val="1"/>
      <w:numFmt w:val="bullet"/>
      <w:lvlText w:val="•"/>
      <w:lvlJc w:val="left"/>
      <w:pPr>
        <w:tabs>
          <w:tab w:val="num" w:pos="1440"/>
        </w:tabs>
        <w:ind w:left="1440" w:hanging="360"/>
      </w:pPr>
      <w:rPr>
        <w:rFonts w:ascii="Arial" w:hAnsi="Arial" w:hint="default"/>
      </w:rPr>
    </w:lvl>
    <w:lvl w:ilvl="2" w:tplc="3606133C" w:tentative="1">
      <w:start w:val="1"/>
      <w:numFmt w:val="bullet"/>
      <w:lvlText w:val="•"/>
      <w:lvlJc w:val="left"/>
      <w:pPr>
        <w:tabs>
          <w:tab w:val="num" w:pos="2160"/>
        </w:tabs>
        <w:ind w:left="2160" w:hanging="360"/>
      </w:pPr>
      <w:rPr>
        <w:rFonts w:ascii="Arial" w:hAnsi="Arial" w:hint="default"/>
      </w:rPr>
    </w:lvl>
    <w:lvl w:ilvl="3" w:tplc="43BE53B6" w:tentative="1">
      <w:start w:val="1"/>
      <w:numFmt w:val="bullet"/>
      <w:lvlText w:val="•"/>
      <w:lvlJc w:val="left"/>
      <w:pPr>
        <w:tabs>
          <w:tab w:val="num" w:pos="2880"/>
        </w:tabs>
        <w:ind w:left="2880" w:hanging="360"/>
      </w:pPr>
      <w:rPr>
        <w:rFonts w:ascii="Arial" w:hAnsi="Arial" w:hint="default"/>
      </w:rPr>
    </w:lvl>
    <w:lvl w:ilvl="4" w:tplc="C8BA16A0" w:tentative="1">
      <w:start w:val="1"/>
      <w:numFmt w:val="bullet"/>
      <w:lvlText w:val="•"/>
      <w:lvlJc w:val="left"/>
      <w:pPr>
        <w:tabs>
          <w:tab w:val="num" w:pos="3600"/>
        </w:tabs>
        <w:ind w:left="3600" w:hanging="360"/>
      </w:pPr>
      <w:rPr>
        <w:rFonts w:ascii="Arial" w:hAnsi="Arial" w:hint="default"/>
      </w:rPr>
    </w:lvl>
    <w:lvl w:ilvl="5" w:tplc="79A89062" w:tentative="1">
      <w:start w:val="1"/>
      <w:numFmt w:val="bullet"/>
      <w:lvlText w:val="•"/>
      <w:lvlJc w:val="left"/>
      <w:pPr>
        <w:tabs>
          <w:tab w:val="num" w:pos="4320"/>
        </w:tabs>
        <w:ind w:left="4320" w:hanging="360"/>
      </w:pPr>
      <w:rPr>
        <w:rFonts w:ascii="Arial" w:hAnsi="Arial" w:hint="default"/>
      </w:rPr>
    </w:lvl>
    <w:lvl w:ilvl="6" w:tplc="A7D2D662" w:tentative="1">
      <w:start w:val="1"/>
      <w:numFmt w:val="bullet"/>
      <w:lvlText w:val="•"/>
      <w:lvlJc w:val="left"/>
      <w:pPr>
        <w:tabs>
          <w:tab w:val="num" w:pos="5040"/>
        </w:tabs>
        <w:ind w:left="5040" w:hanging="360"/>
      </w:pPr>
      <w:rPr>
        <w:rFonts w:ascii="Arial" w:hAnsi="Arial" w:hint="default"/>
      </w:rPr>
    </w:lvl>
    <w:lvl w:ilvl="7" w:tplc="1B92F6CE" w:tentative="1">
      <w:start w:val="1"/>
      <w:numFmt w:val="bullet"/>
      <w:lvlText w:val="•"/>
      <w:lvlJc w:val="left"/>
      <w:pPr>
        <w:tabs>
          <w:tab w:val="num" w:pos="5760"/>
        </w:tabs>
        <w:ind w:left="5760" w:hanging="360"/>
      </w:pPr>
      <w:rPr>
        <w:rFonts w:ascii="Arial" w:hAnsi="Arial" w:hint="default"/>
      </w:rPr>
    </w:lvl>
    <w:lvl w:ilvl="8" w:tplc="DFAA2F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8E1AB2"/>
    <w:multiLevelType w:val="hybridMultilevel"/>
    <w:tmpl w:val="AA0C3A3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5974FB3"/>
    <w:multiLevelType w:val="hybridMultilevel"/>
    <w:tmpl w:val="F54E7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4C50FB"/>
    <w:multiLevelType w:val="hybridMultilevel"/>
    <w:tmpl w:val="AEF44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8F714D"/>
    <w:multiLevelType w:val="hybridMultilevel"/>
    <w:tmpl w:val="CC16FB0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AB528E"/>
    <w:multiLevelType w:val="hybridMultilevel"/>
    <w:tmpl w:val="AA0C3A3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5CE6D88"/>
    <w:multiLevelType w:val="hybridMultilevel"/>
    <w:tmpl w:val="C23E6566"/>
    <w:lvl w:ilvl="0" w:tplc="6E203464">
      <w:start w:val="3"/>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564CC0"/>
    <w:multiLevelType w:val="hybridMultilevel"/>
    <w:tmpl w:val="302C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E817E2"/>
    <w:multiLevelType w:val="hybridMultilevel"/>
    <w:tmpl w:val="F618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430E8"/>
    <w:multiLevelType w:val="hybridMultilevel"/>
    <w:tmpl w:val="C69E20F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75E1ED0"/>
    <w:multiLevelType w:val="hybridMultilevel"/>
    <w:tmpl w:val="FDA417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BA257B3"/>
    <w:multiLevelType w:val="hybridMultilevel"/>
    <w:tmpl w:val="53647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DCF39BF"/>
    <w:multiLevelType w:val="hybridMultilevel"/>
    <w:tmpl w:val="11BE14AA"/>
    <w:lvl w:ilvl="0" w:tplc="B5A4D59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1039060">
    <w:abstractNumId w:val="16"/>
  </w:num>
  <w:num w:numId="2" w16cid:durableId="1893930724">
    <w:abstractNumId w:val="1"/>
  </w:num>
  <w:num w:numId="3" w16cid:durableId="1533614029">
    <w:abstractNumId w:val="27"/>
  </w:num>
  <w:num w:numId="4" w16cid:durableId="1414547249">
    <w:abstractNumId w:val="18"/>
  </w:num>
  <w:num w:numId="5" w16cid:durableId="1775133029">
    <w:abstractNumId w:val="17"/>
  </w:num>
  <w:num w:numId="6" w16cid:durableId="697703049">
    <w:abstractNumId w:val="14"/>
  </w:num>
  <w:num w:numId="7" w16cid:durableId="534393613">
    <w:abstractNumId w:val="22"/>
  </w:num>
  <w:num w:numId="8" w16cid:durableId="683941505">
    <w:abstractNumId w:val="15"/>
  </w:num>
  <w:num w:numId="9" w16cid:durableId="1729566654">
    <w:abstractNumId w:val="12"/>
  </w:num>
  <w:num w:numId="10" w16cid:durableId="38827541">
    <w:abstractNumId w:val="11"/>
  </w:num>
  <w:num w:numId="11" w16cid:durableId="1619993804">
    <w:abstractNumId w:val="19"/>
  </w:num>
  <w:num w:numId="12" w16cid:durableId="626200771">
    <w:abstractNumId w:val="8"/>
  </w:num>
  <w:num w:numId="13" w16cid:durableId="1322466186">
    <w:abstractNumId w:val="31"/>
  </w:num>
  <w:num w:numId="14" w16cid:durableId="1661427312">
    <w:abstractNumId w:val="24"/>
  </w:num>
  <w:num w:numId="15" w16cid:durableId="1661498985">
    <w:abstractNumId w:val="28"/>
  </w:num>
  <w:num w:numId="16" w16cid:durableId="1956709477">
    <w:abstractNumId w:val="26"/>
  </w:num>
  <w:num w:numId="17" w16cid:durableId="1352606607">
    <w:abstractNumId w:val="32"/>
  </w:num>
  <w:num w:numId="18" w16cid:durableId="1928417763">
    <w:abstractNumId w:val="35"/>
  </w:num>
  <w:num w:numId="19" w16cid:durableId="945431355">
    <w:abstractNumId w:val="30"/>
  </w:num>
  <w:num w:numId="20" w16cid:durableId="1536650554">
    <w:abstractNumId w:val="25"/>
  </w:num>
  <w:num w:numId="21" w16cid:durableId="1461805727">
    <w:abstractNumId w:val="10"/>
  </w:num>
  <w:num w:numId="22" w16cid:durableId="649360745">
    <w:abstractNumId w:val="33"/>
  </w:num>
  <w:num w:numId="23" w16cid:durableId="27148838">
    <w:abstractNumId w:val="6"/>
  </w:num>
  <w:num w:numId="24" w16cid:durableId="788743808">
    <w:abstractNumId w:val="29"/>
  </w:num>
  <w:num w:numId="25" w16cid:durableId="716665881">
    <w:abstractNumId w:val="21"/>
  </w:num>
  <w:num w:numId="26" w16cid:durableId="1499806489">
    <w:abstractNumId w:val="9"/>
  </w:num>
  <w:num w:numId="27" w16cid:durableId="168718948">
    <w:abstractNumId w:val="23"/>
  </w:num>
  <w:num w:numId="28" w16cid:durableId="1864174770">
    <w:abstractNumId w:val="5"/>
  </w:num>
  <w:num w:numId="29" w16cid:durableId="1949316472">
    <w:abstractNumId w:val="4"/>
  </w:num>
  <w:num w:numId="30" w16cid:durableId="137500653">
    <w:abstractNumId w:val="7"/>
  </w:num>
  <w:num w:numId="31" w16cid:durableId="2104186037">
    <w:abstractNumId w:val="20"/>
  </w:num>
  <w:num w:numId="32" w16cid:durableId="769550012">
    <w:abstractNumId w:val="13"/>
  </w:num>
  <w:num w:numId="33" w16cid:durableId="1466309349">
    <w:abstractNumId w:val="0"/>
  </w:num>
  <w:num w:numId="34" w16cid:durableId="1190610421">
    <w:abstractNumId w:val="3"/>
  </w:num>
  <w:num w:numId="35" w16cid:durableId="1636764048">
    <w:abstractNumId w:val="34"/>
  </w:num>
  <w:num w:numId="36" w16cid:durableId="132413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4B"/>
    <w:rsid w:val="00002719"/>
    <w:rsid w:val="00011BD6"/>
    <w:rsid w:val="00014119"/>
    <w:rsid w:val="00021FF6"/>
    <w:rsid w:val="00035B39"/>
    <w:rsid w:val="00040A4F"/>
    <w:rsid w:val="0005252A"/>
    <w:rsid w:val="00065136"/>
    <w:rsid w:val="000955FB"/>
    <w:rsid w:val="000A1EEE"/>
    <w:rsid w:val="000E201D"/>
    <w:rsid w:val="000E24D7"/>
    <w:rsid w:val="000F5AB6"/>
    <w:rsid w:val="00136344"/>
    <w:rsid w:val="00171233"/>
    <w:rsid w:val="00187468"/>
    <w:rsid w:val="00192EE0"/>
    <w:rsid w:val="001953D2"/>
    <w:rsid w:val="001B1A1D"/>
    <w:rsid w:val="001B6793"/>
    <w:rsid w:val="001D16F0"/>
    <w:rsid w:val="001D30EE"/>
    <w:rsid w:val="001E7609"/>
    <w:rsid w:val="001F0152"/>
    <w:rsid w:val="002024CD"/>
    <w:rsid w:val="00224416"/>
    <w:rsid w:val="00227B18"/>
    <w:rsid w:val="00245113"/>
    <w:rsid w:val="00245237"/>
    <w:rsid w:val="00254728"/>
    <w:rsid w:val="00276D5D"/>
    <w:rsid w:val="002937A9"/>
    <w:rsid w:val="00295A1D"/>
    <w:rsid w:val="002A44DA"/>
    <w:rsid w:val="002B01EB"/>
    <w:rsid w:val="002B462E"/>
    <w:rsid w:val="002B773F"/>
    <w:rsid w:val="002B7F8E"/>
    <w:rsid w:val="002C03A3"/>
    <w:rsid w:val="002D1B24"/>
    <w:rsid w:val="002D34B0"/>
    <w:rsid w:val="002E3C77"/>
    <w:rsid w:val="002E69DF"/>
    <w:rsid w:val="002E6C49"/>
    <w:rsid w:val="002F5BBF"/>
    <w:rsid w:val="003209AD"/>
    <w:rsid w:val="003254F5"/>
    <w:rsid w:val="00326918"/>
    <w:rsid w:val="00335D86"/>
    <w:rsid w:val="003404A4"/>
    <w:rsid w:val="003467A0"/>
    <w:rsid w:val="0036387E"/>
    <w:rsid w:val="0036487C"/>
    <w:rsid w:val="003673AB"/>
    <w:rsid w:val="00385E16"/>
    <w:rsid w:val="00396089"/>
    <w:rsid w:val="003A045A"/>
    <w:rsid w:val="003A0AFD"/>
    <w:rsid w:val="003C41BE"/>
    <w:rsid w:val="003C45C1"/>
    <w:rsid w:val="003C5360"/>
    <w:rsid w:val="003C6B5F"/>
    <w:rsid w:val="00401E99"/>
    <w:rsid w:val="004034CD"/>
    <w:rsid w:val="00414272"/>
    <w:rsid w:val="0041634F"/>
    <w:rsid w:val="004227B7"/>
    <w:rsid w:val="00426315"/>
    <w:rsid w:val="00426441"/>
    <w:rsid w:val="0042724B"/>
    <w:rsid w:val="004278BA"/>
    <w:rsid w:val="00434DFE"/>
    <w:rsid w:val="00470657"/>
    <w:rsid w:val="00471EA9"/>
    <w:rsid w:val="00474A0F"/>
    <w:rsid w:val="0048664B"/>
    <w:rsid w:val="0048685D"/>
    <w:rsid w:val="004B4931"/>
    <w:rsid w:val="004C5A17"/>
    <w:rsid w:val="004D419B"/>
    <w:rsid w:val="004E138E"/>
    <w:rsid w:val="004F0E44"/>
    <w:rsid w:val="0050027E"/>
    <w:rsid w:val="00501D3C"/>
    <w:rsid w:val="005058AE"/>
    <w:rsid w:val="00526F14"/>
    <w:rsid w:val="005417DA"/>
    <w:rsid w:val="00571E5E"/>
    <w:rsid w:val="005961E6"/>
    <w:rsid w:val="005A016B"/>
    <w:rsid w:val="005A1ABE"/>
    <w:rsid w:val="005A359C"/>
    <w:rsid w:val="005B1C73"/>
    <w:rsid w:val="005B27F9"/>
    <w:rsid w:val="005B3A7B"/>
    <w:rsid w:val="005B7190"/>
    <w:rsid w:val="0060036F"/>
    <w:rsid w:val="00626387"/>
    <w:rsid w:val="00626F7D"/>
    <w:rsid w:val="006349E5"/>
    <w:rsid w:val="00651433"/>
    <w:rsid w:val="00655131"/>
    <w:rsid w:val="00655E9C"/>
    <w:rsid w:val="00670BC1"/>
    <w:rsid w:val="006F0238"/>
    <w:rsid w:val="006F3547"/>
    <w:rsid w:val="006F4387"/>
    <w:rsid w:val="006F5976"/>
    <w:rsid w:val="00701D64"/>
    <w:rsid w:val="00707981"/>
    <w:rsid w:val="00716C5C"/>
    <w:rsid w:val="00721DD3"/>
    <w:rsid w:val="00750BF5"/>
    <w:rsid w:val="0075601D"/>
    <w:rsid w:val="00777E5E"/>
    <w:rsid w:val="00782B20"/>
    <w:rsid w:val="007A6F8F"/>
    <w:rsid w:val="007B57A9"/>
    <w:rsid w:val="007E3A56"/>
    <w:rsid w:val="007F4C52"/>
    <w:rsid w:val="008155A9"/>
    <w:rsid w:val="0082242C"/>
    <w:rsid w:val="00841033"/>
    <w:rsid w:val="00846540"/>
    <w:rsid w:val="00857703"/>
    <w:rsid w:val="00864579"/>
    <w:rsid w:val="0088697C"/>
    <w:rsid w:val="00894E08"/>
    <w:rsid w:val="00896449"/>
    <w:rsid w:val="008A4C14"/>
    <w:rsid w:val="008B1D24"/>
    <w:rsid w:val="008B7F63"/>
    <w:rsid w:val="008D24AD"/>
    <w:rsid w:val="008D4DB2"/>
    <w:rsid w:val="008E0318"/>
    <w:rsid w:val="008E3BC3"/>
    <w:rsid w:val="008E55C3"/>
    <w:rsid w:val="008E6A6F"/>
    <w:rsid w:val="008F5D1B"/>
    <w:rsid w:val="00911715"/>
    <w:rsid w:val="00920B31"/>
    <w:rsid w:val="00922073"/>
    <w:rsid w:val="00926943"/>
    <w:rsid w:val="00926A26"/>
    <w:rsid w:val="00935687"/>
    <w:rsid w:val="009800FB"/>
    <w:rsid w:val="009873AD"/>
    <w:rsid w:val="009F3183"/>
    <w:rsid w:val="00A2745C"/>
    <w:rsid w:val="00A434EC"/>
    <w:rsid w:val="00A47B14"/>
    <w:rsid w:val="00A5468D"/>
    <w:rsid w:val="00A71CC6"/>
    <w:rsid w:val="00A97AA0"/>
    <w:rsid w:val="00AA25F4"/>
    <w:rsid w:val="00AC37A1"/>
    <w:rsid w:val="00AF3574"/>
    <w:rsid w:val="00AF3C5C"/>
    <w:rsid w:val="00AF4525"/>
    <w:rsid w:val="00B04376"/>
    <w:rsid w:val="00B32C55"/>
    <w:rsid w:val="00B51A14"/>
    <w:rsid w:val="00B52950"/>
    <w:rsid w:val="00B56AD1"/>
    <w:rsid w:val="00B70B10"/>
    <w:rsid w:val="00B92467"/>
    <w:rsid w:val="00B92E21"/>
    <w:rsid w:val="00BA5465"/>
    <w:rsid w:val="00BB4003"/>
    <w:rsid w:val="00BC3C62"/>
    <w:rsid w:val="00BC6390"/>
    <w:rsid w:val="00BE4FED"/>
    <w:rsid w:val="00C04FEA"/>
    <w:rsid w:val="00C110B2"/>
    <w:rsid w:val="00C12BB5"/>
    <w:rsid w:val="00C45BF7"/>
    <w:rsid w:val="00C520A5"/>
    <w:rsid w:val="00C60DF3"/>
    <w:rsid w:val="00C72C2E"/>
    <w:rsid w:val="00C808C1"/>
    <w:rsid w:val="00CB5B4B"/>
    <w:rsid w:val="00CC567C"/>
    <w:rsid w:val="00CE05D5"/>
    <w:rsid w:val="00CE2C12"/>
    <w:rsid w:val="00CF7BC0"/>
    <w:rsid w:val="00D002CC"/>
    <w:rsid w:val="00D214FF"/>
    <w:rsid w:val="00D2696C"/>
    <w:rsid w:val="00D4255B"/>
    <w:rsid w:val="00D55866"/>
    <w:rsid w:val="00D60B1A"/>
    <w:rsid w:val="00D648E4"/>
    <w:rsid w:val="00D7521D"/>
    <w:rsid w:val="00D7557F"/>
    <w:rsid w:val="00D83647"/>
    <w:rsid w:val="00D96E8C"/>
    <w:rsid w:val="00DA2EEA"/>
    <w:rsid w:val="00DA6F1A"/>
    <w:rsid w:val="00DB2BF1"/>
    <w:rsid w:val="00DC5683"/>
    <w:rsid w:val="00DE5DDC"/>
    <w:rsid w:val="00DF043B"/>
    <w:rsid w:val="00DF2594"/>
    <w:rsid w:val="00E04D90"/>
    <w:rsid w:val="00E20250"/>
    <w:rsid w:val="00E5514B"/>
    <w:rsid w:val="00E94C96"/>
    <w:rsid w:val="00EA4A3C"/>
    <w:rsid w:val="00EC15FE"/>
    <w:rsid w:val="00EE2064"/>
    <w:rsid w:val="00EF2A39"/>
    <w:rsid w:val="00EF4E11"/>
    <w:rsid w:val="00F10D2C"/>
    <w:rsid w:val="00F1468B"/>
    <w:rsid w:val="00F44BF8"/>
    <w:rsid w:val="00F57435"/>
    <w:rsid w:val="00F80F2E"/>
    <w:rsid w:val="00F968EF"/>
    <w:rsid w:val="00FB0AA1"/>
    <w:rsid w:val="00FB0C96"/>
    <w:rsid w:val="00FC04A2"/>
    <w:rsid w:val="00FD59A4"/>
    <w:rsid w:val="00FE15EC"/>
    <w:rsid w:val="00FF7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63B2E"/>
  <w15:chartTrackingRefBased/>
  <w15:docId w15:val="{D50FAD3D-548F-4508-A0B0-4803C0FF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rsid w:val="001D16F0"/>
    <w:pPr>
      <w:keepNext/>
      <w:spacing w:before="240" w:after="60"/>
      <w:outlineLvl w:val="0"/>
    </w:pPr>
    <w:rPr>
      <w:rFonts w:ascii="Calibri Light" w:hAnsi="Calibri Light"/>
      <w:b/>
      <w:bCs/>
      <w:kern w:val="32"/>
      <w:sz w:val="32"/>
      <w:szCs w:val="32"/>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link w:val="Heading5Char"/>
    <w:qFormat/>
    <w:pPr>
      <w:keepNext/>
      <w:outlineLvl w:val="4"/>
    </w:pPr>
    <w:rPr>
      <w:rFonts w:ascii="Univers" w:hAnsi="Univers"/>
      <w:b/>
      <w:u w:val="single"/>
    </w:rPr>
  </w:style>
  <w:style w:type="paragraph" w:styleId="Heading6">
    <w:name w:val="heading 6"/>
    <w:basedOn w:val="Normal"/>
    <w:next w:val="Normal"/>
    <w:link w:val="Heading6Char"/>
    <w:qFormat/>
    <w:pPr>
      <w:keepNext/>
      <w:outlineLvl w:val="5"/>
    </w:pPr>
    <w:rPr>
      <w:rFonts w:ascii="Univers" w:hAnsi="Univers"/>
      <w:b/>
    </w:rPr>
  </w:style>
  <w:style w:type="paragraph" w:styleId="Heading7">
    <w:name w:val="heading 7"/>
    <w:basedOn w:val="Normal"/>
    <w:next w:val="Normal"/>
    <w:link w:val="Heading7Char"/>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171233"/>
    <w:rPr>
      <w:rFonts w:ascii="Univers" w:hAnsi="Univers"/>
      <w:b/>
      <w:sz w:val="24"/>
      <w:u w:val="single"/>
    </w:rPr>
  </w:style>
  <w:style w:type="character" w:customStyle="1" w:styleId="Heading6Char">
    <w:name w:val="Heading 6 Char"/>
    <w:link w:val="Heading6"/>
    <w:rsid w:val="00171233"/>
    <w:rPr>
      <w:rFonts w:ascii="Univers" w:hAnsi="Univers"/>
      <w:b/>
      <w:sz w:val="24"/>
    </w:rPr>
  </w:style>
  <w:style w:type="character" w:customStyle="1" w:styleId="Heading7Char">
    <w:name w:val="Heading 7 Char"/>
    <w:link w:val="Heading7"/>
    <w:rsid w:val="00171233"/>
    <w:rPr>
      <w:rFonts w:ascii="Univers" w:hAnsi="Univers"/>
      <w:sz w:val="24"/>
      <w:u w:val="single"/>
    </w:rPr>
  </w:style>
  <w:style w:type="character" w:customStyle="1" w:styleId="BodyTextChar">
    <w:name w:val="Body Text Char"/>
    <w:link w:val="BodyText"/>
    <w:rsid w:val="00171233"/>
    <w:rPr>
      <w:rFonts w:ascii="Arial" w:hAnsi="Arial"/>
      <w:sz w:val="24"/>
    </w:rPr>
  </w:style>
  <w:style w:type="paragraph" w:customStyle="1" w:styleId="Default">
    <w:name w:val="Default"/>
    <w:rsid w:val="00171233"/>
    <w:pPr>
      <w:autoSpaceDE w:val="0"/>
      <w:autoSpaceDN w:val="0"/>
      <w:adjustRightInd w:val="0"/>
    </w:pPr>
    <w:rPr>
      <w:rFonts w:ascii="Univers" w:hAnsi="Univers" w:cs="Univers"/>
      <w:color w:val="000000"/>
      <w:sz w:val="24"/>
      <w:szCs w:val="24"/>
    </w:rPr>
  </w:style>
  <w:style w:type="character" w:customStyle="1" w:styleId="Heading1Char">
    <w:name w:val="Heading 1 Char"/>
    <w:link w:val="Heading1"/>
    <w:uiPriority w:val="9"/>
    <w:rsid w:val="001D16F0"/>
    <w:rPr>
      <w:rFonts w:ascii="Calibri Light" w:eastAsia="Times New Roman" w:hAnsi="Calibri Light" w:cs="Times New Roman"/>
      <w:b/>
      <w:bCs/>
      <w:kern w:val="32"/>
      <w:sz w:val="32"/>
      <w:szCs w:val="32"/>
    </w:rPr>
  </w:style>
  <w:style w:type="character" w:customStyle="1" w:styleId="HeaderChar">
    <w:name w:val="Header Char"/>
    <w:link w:val="Header"/>
    <w:rsid w:val="001D16F0"/>
    <w:rPr>
      <w:rFonts w:ascii="Universal" w:hAnsi="Universal"/>
      <w:sz w:val="24"/>
    </w:rPr>
  </w:style>
  <w:style w:type="character" w:styleId="Hyperlink">
    <w:name w:val="Hyperlink"/>
    <w:uiPriority w:val="99"/>
    <w:unhideWhenUsed/>
    <w:rsid w:val="00FF70CA"/>
    <w:rPr>
      <w:color w:val="0563C1"/>
      <w:u w:val="single"/>
    </w:rPr>
  </w:style>
  <w:style w:type="character" w:styleId="UnresolvedMention">
    <w:name w:val="Unresolved Mention"/>
    <w:uiPriority w:val="99"/>
    <w:semiHidden/>
    <w:unhideWhenUsed/>
    <w:rsid w:val="00FF70CA"/>
    <w:rPr>
      <w:color w:val="605E5C"/>
      <w:shd w:val="clear" w:color="auto" w:fill="E1DFDD"/>
    </w:rPr>
  </w:style>
  <w:style w:type="paragraph" w:styleId="ListParagraph">
    <w:name w:val="List Paragraph"/>
    <w:basedOn w:val="Normal"/>
    <w:uiPriority w:val="34"/>
    <w:unhideWhenUsed/>
    <w:qFormat/>
    <w:rsid w:val="00FF70CA"/>
    <w:pPr>
      <w:spacing w:after="200"/>
      <w:ind w:left="720"/>
      <w:contextualSpacing/>
    </w:pPr>
    <w:rPr>
      <w:rFonts w:eastAsia="Cambria"/>
      <w:color w:val="000000"/>
      <w:szCs w:val="24"/>
      <w:lang w:eastAsia="en-US"/>
    </w:rPr>
  </w:style>
  <w:style w:type="character" w:customStyle="1" w:styleId="FooterChar">
    <w:name w:val="Footer Char"/>
    <w:link w:val="Footer"/>
    <w:uiPriority w:val="99"/>
    <w:rsid w:val="00896449"/>
    <w:rPr>
      <w:rFonts w:ascii="Arial" w:hAnsi="Arial"/>
      <w:sz w:val="24"/>
    </w:rPr>
  </w:style>
  <w:style w:type="paragraph" w:customStyle="1" w:styleId="Bullet">
    <w:name w:val="Bullet"/>
    <w:basedOn w:val="ListParagraph"/>
    <w:qFormat/>
    <w:rsid w:val="00896449"/>
    <w:pPr>
      <w:numPr>
        <w:numId w:val="6"/>
      </w:numPr>
      <w:spacing w:after="12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5576">
      <w:bodyDiv w:val="1"/>
      <w:marLeft w:val="0"/>
      <w:marRight w:val="0"/>
      <w:marTop w:val="0"/>
      <w:marBottom w:val="0"/>
      <w:divBdr>
        <w:top w:val="none" w:sz="0" w:space="0" w:color="auto"/>
        <w:left w:val="none" w:sz="0" w:space="0" w:color="auto"/>
        <w:bottom w:val="none" w:sz="0" w:space="0" w:color="auto"/>
        <w:right w:val="none" w:sz="0" w:space="0" w:color="auto"/>
      </w:divBdr>
      <w:divsChild>
        <w:div w:id="2117284552">
          <w:marLeft w:val="360"/>
          <w:marRight w:val="0"/>
          <w:marTop w:val="200"/>
          <w:marBottom w:val="0"/>
          <w:divBdr>
            <w:top w:val="none" w:sz="0" w:space="0" w:color="auto"/>
            <w:left w:val="none" w:sz="0" w:space="0" w:color="auto"/>
            <w:bottom w:val="none" w:sz="0" w:space="0" w:color="auto"/>
            <w:right w:val="none" w:sz="0" w:space="0" w:color="auto"/>
          </w:divBdr>
        </w:div>
        <w:div w:id="630672190">
          <w:marLeft w:val="360"/>
          <w:marRight w:val="0"/>
          <w:marTop w:val="200"/>
          <w:marBottom w:val="0"/>
          <w:divBdr>
            <w:top w:val="none" w:sz="0" w:space="0" w:color="auto"/>
            <w:left w:val="none" w:sz="0" w:space="0" w:color="auto"/>
            <w:bottom w:val="none" w:sz="0" w:space="0" w:color="auto"/>
            <w:right w:val="none" w:sz="0" w:space="0" w:color="auto"/>
          </w:divBdr>
        </w:div>
        <w:div w:id="1406956802">
          <w:marLeft w:val="360"/>
          <w:marRight w:val="0"/>
          <w:marTop w:val="200"/>
          <w:marBottom w:val="0"/>
          <w:divBdr>
            <w:top w:val="none" w:sz="0" w:space="0" w:color="auto"/>
            <w:left w:val="none" w:sz="0" w:space="0" w:color="auto"/>
            <w:bottom w:val="none" w:sz="0" w:space="0" w:color="auto"/>
            <w:right w:val="none" w:sz="0" w:space="0" w:color="auto"/>
          </w:divBdr>
        </w:div>
      </w:divsChild>
    </w:div>
    <w:div w:id="70083993">
      <w:bodyDiv w:val="1"/>
      <w:marLeft w:val="0"/>
      <w:marRight w:val="0"/>
      <w:marTop w:val="0"/>
      <w:marBottom w:val="0"/>
      <w:divBdr>
        <w:top w:val="none" w:sz="0" w:space="0" w:color="auto"/>
        <w:left w:val="none" w:sz="0" w:space="0" w:color="auto"/>
        <w:bottom w:val="none" w:sz="0" w:space="0" w:color="auto"/>
        <w:right w:val="none" w:sz="0" w:space="0" w:color="auto"/>
      </w:divBdr>
    </w:div>
    <w:div w:id="126902384">
      <w:bodyDiv w:val="1"/>
      <w:marLeft w:val="0"/>
      <w:marRight w:val="0"/>
      <w:marTop w:val="0"/>
      <w:marBottom w:val="0"/>
      <w:divBdr>
        <w:top w:val="none" w:sz="0" w:space="0" w:color="auto"/>
        <w:left w:val="none" w:sz="0" w:space="0" w:color="auto"/>
        <w:bottom w:val="none" w:sz="0" w:space="0" w:color="auto"/>
        <w:right w:val="none" w:sz="0" w:space="0" w:color="auto"/>
      </w:divBdr>
    </w:div>
    <w:div w:id="261450546">
      <w:bodyDiv w:val="1"/>
      <w:marLeft w:val="0"/>
      <w:marRight w:val="0"/>
      <w:marTop w:val="0"/>
      <w:marBottom w:val="0"/>
      <w:divBdr>
        <w:top w:val="none" w:sz="0" w:space="0" w:color="auto"/>
        <w:left w:val="none" w:sz="0" w:space="0" w:color="auto"/>
        <w:bottom w:val="none" w:sz="0" w:space="0" w:color="auto"/>
        <w:right w:val="none" w:sz="0" w:space="0" w:color="auto"/>
      </w:divBdr>
    </w:div>
    <w:div w:id="383020367">
      <w:bodyDiv w:val="1"/>
      <w:marLeft w:val="0"/>
      <w:marRight w:val="0"/>
      <w:marTop w:val="0"/>
      <w:marBottom w:val="0"/>
      <w:divBdr>
        <w:top w:val="none" w:sz="0" w:space="0" w:color="auto"/>
        <w:left w:val="none" w:sz="0" w:space="0" w:color="auto"/>
        <w:bottom w:val="none" w:sz="0" w:space="0" w:color="auto"/>
        <w:right w:val="none" w:sz="0" w:space="0" w:color="auto"/>
      </w:divBdr>
    </w:div>
    <w:div w:id="623775749">
      <w:bodyDiv w:val="1"/>
      <w:marLeft w:val="0"/>
      <w:marRight w:val="0"/>
      <w:marTop w:val="0"/>
      <w:marBottom w:val="0"/>
      <w:divBdr>
        <w:top w:val="none" w:sz="0" w:space="0" w:color="auto"/>
        <w:left w:val="none" w:sz="0" w:space="0" w:color="auto"/>
        <w:bottom w:val="none" w:sz="0" w:space="0" w:color="auto"/>
        <w:right w:val="none" w:sz="0" w:space="0" w:color="auto"/>
      </w:divBdr>
    </w:div>
    <w:div w:id="694624020">
      <w:bodyDiv w:val="1"/>
      <w:marLeft w:val="0"/>
      <w:marRight w:val="0"/>
      <w:marTop w:val="0"/>
      <w:marBottom w:val="0"/>
      <w:divBdr>
        <w:top w:val="none" w:sz="0" w:space="0" w:color="auto"/>
        <w:left w:val="none" w:sz="0" w:space="0" w:color="auto"/>
        <w:bottom w:val="none" w:sz="0" w:space="0" w:color="auto"/>
        <w:right w:val="none" w:sz="0" w:space="0" w:color="auto"/>
      </w:divBdr>
      <w:divsChild>
        <w:div w:id="791485088">
          <w:marLeft w:val="274"/>
          <w:marRight w:val="0"/>
          <w:marTop w:val="200"/>
          <w:marBottom w:val="0"/>
          <w:divBdr>
            <w:top w:val="none" w:sz="0" w:space="0" w:color="auto"/>
            <w:left w:val="none" w:sz="0" w:space="0" w:color="auto"/>
            <w:bottom w:val="none" w:sz="0" w:space="0" w:color="auto"/>
            <w:right w:val="none" w:sz="0" w:space="0" w:color="auto"/>
          </w:divBdr>
        </w:div>
        <w:div w:id="1376468820">
          <w:marLeft w:val="274"/>
          <w:marRight w:val="0"/>
          <w:marTop w:val="200"/>
          <w:marBottom w:val="0"/>
          <w:divBdr>
            <w:top w:val="none" w:sz="0" w:space="0" w:color="auto"/>
            <w:left w:val="none" w:sz="0" w:space="0" w:color="auto"/>
            <w:bottom w:val="none" w:sz="0" w:space="0" w:color="auto"/>
            <w:right w:val="none" w:sz="0" w:space="0" w:color="auto"/>
          </w:divBdr>
        </w:div>
        <w:div w:id="1638605090">
          <w:marLeft w:val="274"/>
          <w:marRight w:val="0"/>
          <w:marTop w:val="200"/>
          <w:marBottom w:val="0"/>
          <w:divBdr>
            <w:top w:val="none" w:sz="0" w:space="0" w:color="auto"/>
            <w:left w:val="none" w:sz="0" w:space="0" w:color="auto"/>
            <w:bottom w:val="none" w:sz="0" w:space="0" w:color="auto"/>
            <w:right w:val="none" w:sz="0" w:space="0" w:color="auto"/>
          </w:divBdr>
        </w:div>
        <w:div w:id="1083647494">
          <w:marLeft w:val="274"/>
          <w:marRight w:val="0"/>
          <w:marTop w:val="200"/>
          <w:marBottom w:val="0"/>
          <w:divBdr>
            <w:top w:val="none" w:sz="0" w:space="0" w:color="auto"/>
            <w:left w:val="none" w:sz="0" w:space="0" w:color="auto"/>
            <w:bottom w:val="none" w:sz="0" w:space="0" w:color="auto"/>
            <w:right w:val="none" w:sz="0" w:space="0" w:color="auto"/>
          </w:divBdr>
        </w:div>
        <w:div w:id="525753798">
          <w:marLeft w:val="274"/>
          <w:marRight w:val="0"/>
          <w:marTop w:val="200"/>
          <w:marBottom w:val="0"/>
          <w:divBdr>
            <w:top w:val="none" w:sz="0" w:space="0" w:color="auto"/>
            <w:left w:val="none" w:sz="0" w:space="0" w:color="auto"/>
            <w:bottom w:val="none" w:sz="0" w:space="0" w:color="auto"/>
            <w:right w:val="none" w:sz="0" w:space="0" w:color="auto"/>
          </w:divBdr>
        </w:div>
        <w:div w:id="470829611">
          <w:marLeft w:val="274"/>
          <w:marRight w:val="0"/>
          <w:marTop w:val="200"/>
          <w:marBottom w:val="0"/>
          <w:divBdr>
            <w:top w:val="none" w:sz="0" w:space="0" w:color="auto"/>
            <w:left w:val="none" w:sz="0" w:space="0" w:color="auto"/>
            <w:bottom w:val="none" w:sz="0" w:space="0" w:color="auto"/>
            <w:right w:val="none" w:sz="0" w:space="0" w:color="auto"/>
          </w:divBdr>
        </w:div>
        <w:div w:id="1867980540">
          <w:marLeft w:val="274"/>
          <w:marRight w:val="0"/>
          <w:marTop w:val="200"/>
          <w:marBottom w:val="0"/>
          <w:divBdr>
            <w:top w:val="none" w:sz="0" w:space="0" w:color="auto"/>
            <w:left w:val="none" w:sz="0" w:space="0" w:color="auto"/>
            <w:bottom w:val="none" w:sz="0" w:space="0" w:color="auto"/>
            <w:right w:val="none" w:sz="0" w:space="0" w:color="auto"/>
          </w:divBdr>
        </w:div>
        <w:div w:id="113600781">
          <w:marLeft w:val="274"/>
          <w:marRight w:val="0"/>
          <w:marTop w:val="200"/>
          <w:marBottom w:val="0"/>
          <w:divBdr>
            <w:top w:val="none" w:sz="0" w:space="0" w:color="auto"/>
            <w:left w:val="none" w:sz="0" w:space="0" w:color="auto"/>
            <w:bottom w:val="none" w:sz="0" w:space="0" w:color="auto"/>
            <w:right w:val="none" w:sz="0" w:space="0" w:color="auto"/>
          </w:divBdr>
        </w:div>
        <w:div w:id="1773738683">
          <w:marLeft w:val="274"/>
          <w:marRight w:val="0"/>
          <w:marTop w:val="200"/>
          <w:marBottom w:val="0"/>
          <w:divBdr>
            <w:top w:val="none" w:sz="0" w:space="0" w:color="auto"/>
            <w:left w:val="none" w:sz="0" w:space="0" w:color="auto"/>
            <w:bottom w:val="none" w:sz="0" w:space="0" w:color="auto"/>
            <w:right w:val="none" w:sz="0" w:space="0" w:color="auto"/>
          </w:divBdr>
        </w:div>
        <w:div w:id="156924622">
          <w:marLeft w:val="274"/>
          <w:marRight w:val="0"/>
          <w:marTop w:val="200"/>
          <w:marBottom w:val="0"/>
          <w:divBdr>
            <w:top w:val="none" w:sz="0" w:space="0" w:color="auto"/>
            <w:left w:val="none" w:sz="0" w:space="0" w:color="auto"/>
            <w:bottom w:val="none" w:sz="0" w:space="0" w:color="auto"/>
            <w:right w:val="none" w:sz="0" w:space="0" w:color="auto"/>
          </w:divBdr>
        </w:div>
        <w:div w:id="934745128">
          <w:marLeft w:val="274"/>
          <w:marRight w:val="0"/>
          <w:marTop w:val="200"/>
          <w:marBottom w:val="0"/>
          <w:divBdr>
            <w:top w:val="none" w:sz="0" w:space="0" w:color="auto"/>
            <w:left w:val="none" w:sz="0" w:space="0" w:color="auto"/>
            <w:bottom w:val="none" w:sz="0" w:space="0" w:color="auto"/>
            <w:right w:val="none" w:sz="0" w:space="0" w:color="auto"/>
          </w:divBdr>
        </w:div>
        <w:div w:id="1528132280">
          <w:marLeft w:val="274"/>
          <w:marRight w:val="0"/>
          <w:marTop w:val="200"/>
          <w:marBottom w:val="0"/>
          <w:divBdr>
            <w:top w:val="none" w:sz="0" w:space="0" w:color="auto"/>
            <w:left w:val="none" w:sz="0" w:space="0" w:color="auto"/>
            <w:bottom w:val="none" w:sz="0" w:space="0" w:color="auto"/>
            <w:right w:val="none" w:sz="0" w:space="0" w:color="auto"/>
          </w:divBdr>
        </w:div>
        <w:div w:id="1782841355">
          <w:marLeft w:val="274"/>
          <w:marRight w:val="0"/>
          <w:marTop w:val="200"/>
          <w:marBottom w:val="0"/>
          <w:divBdr>
            <w:top w:val="none" w:sz="0" w:space="0" w:color="auto"/>
            <w:left w:val="none" w:sz="0" w:space="0" w:color="auto"/>
            <w:bottom w:val="none" w:sz="0" w:space="0" w:color="auto"/>
            <w:right w:val="none" w:sz="0" w:space="0" w:color="auto"/>
          </w:divBdr>
        </w:div>
        <w:div w:id="877160803">
          <w:marLeft w:val="274"/>
          <w:marRight w:val="0"/>
          <w:marTop w:val="200"/>
          <w:marBottom w:val="0"/>
          <w:divBdr>
            <w:top w:val="none" w:sz="0" w:space="0" w:color="auto"/>
            <w:left w:val="none" w:sz="0" w:space="0" w:color="auto"/>
            <w:bottom w:val="none" w:sz="0" w:space="0" w:color="auto"/>
            <w:right w:val="none" w:sz="0" w:space="0" w:color="auto"/>
          </w:divBdr>
        </w:div>
      </w:divsChild>
    </w:div>
    <w:div w:id="874469695">
      <w:bodyDiv w:val="1"/>
      <w:marLeft w:val="0"/>
      <w:marRight w:val="0"/>
      <w:marTop w:val="0"/>
      <w:marBottom w:val="0"/>
      <w:divBdr>
        <w:top w:val="none" w:sz="0" w:space="0" w:color="auto"/>
        <w:left w:val="none" w:sz="0" w:space="0" w:color="auto"/>
        <w:bottom w:val="none" w:sz="0" w:space="0" w:color="auto"/>
        <w:right w:val="none" w:sz="0" w:space="0" w:color="auto"/>
      </w:divBdr>
    </w:div>
    <w:div w:id="896890210">
      <w:bodyDiv w:val="1"/>
      <w:marLeft w:val="0"/>
      <w:marRight w:val="0"/>
      <w:marTop w:val="0"/>
      <w:marBottom w:val="0"/>
      <w:divBdr>
        <w:top w:val="none" w:sz="0" w:space="0" w:color="auto"/>
        <w:left w:val="none" w:sz="0" w:space="0" w:color="auto"/>
        <w:bottom w:val="none" w:sz="0" w:space="0" w:color="auto"/>
        <w:right w:val="none" w:sz="0" w:space="0" w:color="auto"/>
      </w:divBdr>
    </w:div>
    <w:div w:id="920219514">
      <w:bodyDiv w:val="1"/>
      <w:marLeft w:val="0"/>
      <w:marRight w:val="0"/>
      <w:marTop w:val="0"/>
      <w:marBottom w:val="0"/>
      <w:divBdr>
        <w:top w:val="none" w:sz="0" w:space="0" w:color="auto"/>
        <w:left w:val="none" w:sz="0" w:space="0" w:color="auto"/>
        <w:bottom w:val="none" w:sz="0" w:space="0" w:color="auto"/>
        <w:right w:val="none" w:sz="0" w:space="0" w:color="auto"/>
      </w:divBdr>
    </w:div>
    <w:div w:id="993336103">
      <w:bodyDiv w:val="1"/>
      <w:marLeft w:val="0"/>
      <w:marRight w:val="0"/>
      <w:marTop w:val="0"/>
      <w:marBottom w:val="0"/>
      <w:divBdr>
        <w:top w:val="none" w:sz="0" w:space="0" w:color="auto"/>
        <w:left w:val="none" w:sz="0" w:space="0" w:color="auto"/>
        <w:bottom w:val="none" w:sz="0" w:space="0" w:color="auto"/>
        <w:right w:val="none" w:sz="0" w:space="0" w:color="auto"/>
      </w:divBdr>
      <w:divsChild>
        <w:div w:id="1315528197">
          <w:marLeft w:val="360"/>
          <w:marRight w:val="0"/>
          <w:marTop w:val="200"/>
          <w:marBottom w:val="0"/>
          <w:divBdr>
            <w:top w:val="none" w:sz="0" w:space="0" w:color="auto"/>
            <w:left w:val="none" w:sz="0" w:space="0" w:color="auto"/>
            <w:bottom w:val="none" w:sz="0" w:space="0" w:color="auto"/>
            <w:right w:val="none" w:sz="0" w:space="0" w:color="auto"/>
          </w:divBdr>
        </w:div>
        <w:div w:id="2004384597">
          <w:marLeft w:val="360"/>
          <w:marRight w:val="0"/>
          <w:marTop w:val="200"/>
          <w:marBottom w:val="0"/>
          <w:divBdr>
            <w:top w:val="none" w:sz="0" w:space="0" w:color="auto"/>
            <w:left w:val="none" w:sz="0" w:space="0" w:color="auto"/>
            <w:bottom w:val="none" w:sz="0" w:space="0" w:color="auto"/>
            <w:right w:val="none" w:sz="0" w:space="0" w:color="auto"/>
          </w:divBdr>
        </w:div>
        <w:div w:id="1215697801">
          <w:marLeft w:val="360"/>
          <w:marRight w:val="0"/>
          <w:marTop w:val="200"/>
          <w:marBottom w:val="0"/>
          <w:divBdr>
            <w:top w:val="none" w:sz="0" w:space="0" w:color="auto"/>
            <w:left w:val="none" w:sz="0" w:space="0" w:color="auto"/>
            <w:bottom w:val="none" w:sz="0" w:space="0" w:color="auto"/>
            <w:right w:val="none" w:sz="0" w:space="0" w:color="auto"/>
          </w:divBdr>
        </w:div>
        <w:div w:id="1051005229">
          <w:marLeft w:val="360"/>
          <w:marRight w:val="0"/>
          <w:marTop w:val="200"/>
          <w:marBottom w:val="0"/>
          <w:divBdr>
            <w:top w:val="none" w:sz="0" w:space="0" w:color="auto"/>
            <w:left w:val="none" w:sz="0" w:space="0" w:color="auto"/>
            <w:bottom w:val="none" w:sz="0" w:space="0" w:color="auto"/>
            <w:right w:val="none" w:sz="0" w:space="0" w:color="auto"/>
          </w:divBdr>
        </w:div>
        <w:div w:id="1064185876">
          <w:marLeft w:val="360"/>
          <w:marRight w:val="0"/>
          <w:marTop w:val="200"/>
          <w:marBottom w:val="0"/>
          <w:divBdr>
            <w:top w:val="none" w:sz="0" w:space="0" w:color="auto"/>
            <w:left w:val="none" w:sz="0" w:space="0" w:color="auto"/>
            <w:bottom w:val="none" w:sz="0" w:space="0" w:color="auto"/>
            <w:right w:val="none" w:sz="0" w:space="0" w:color="auto"/>
          </w:divBdr>
        </w:div>
        <w:div w:id="1116674531">
          <w:marLeft w:val="360"/>
          <w:marRight w:val="0"/>
          <w:marTop w:val="200"/>
          <w:marBottom w:val="0"/>
          <w:divBdr>
            <w:top w:val="none" w:sz="0" w:space="0" w:color="auto"/>
            <w:left w:val="none" w:sz="0" w:space="0" w:color="auto"/>
            <w:bottom w:val="none" w:sz="0" w:space="0" w:color="auto"/>
            <w:right w:val="none" w:sz="0" w:space="0" w:color="auto"/>
          </w:divBdr>
        </w:div>
      </w:divsChild>
    </w:div>
    <w:div w:id="1050421461">
      <w:bodyDiv w:val="1"/>
      <w:marLeft w:val="0"/>
      <w:marRight w:val="0"/>
      <w:marTop w:val="0"/>
      <w:marBottom w:val="0"/>
      <w:divBdr>
        <w:top w:val="none" w:sz="0" w:space="0" w:color="auto"/>
        <w:left w:val="none" w:sz="0" w:space="0" w:color="auto"/>
        <w:bottom w:val="none" w:sz="0" w:space="0" w:color="auto"/>
        <w:right w:val="none" w:sz="0" w:space="0" w:color="auto"/>
      </w:divBdr>
    </w:div>
    <w:div w:id="1185511502">
      <w:bodyDiv w:val="1"/>
      <w:marLeft w:val="0"/>
      <w:marRight w:val="0"/>
      <w:marTop w:val="0"/>
      <w:marBottom w:val="0"/>
      <w:divBdr>
        <w:top w:val="none" w:sz="0" w:space="0" w:color="auto"/>
        <w:left w:val="none" w:sz="0" w:space="0" w:color="auto"/>
        <w:bottom w:val="none" w:sz="0" w:space="0" w:color="auto"/>
        <w:right w:val="none" w:sz="0" w:space="0" w:color="auto"/>
      </w:divBdr>
    </w:div>
    <w:div w:id="1208836971">
      <w:bodyDiv w:val="1"/>
      <w:marLeft w:val="0"/>
      <w:marRight w:val="0"/>
      <w:marTop w:val="0"/>
      <w:marBottom w:val="0"/>
      <w:divBdr>
        <w:top w:val="none" w:sz="0" w:space="0" w:color="auto"/>
        <w:left w:val="none" w:sz="0" w:space="0" w:color="auto"/>
        <w:bottom w:val="none" w:sz="0" w:space="0" w:color="auto"/>
        <w:right w:val="none" w:sz="0" w:space="0" w:color="auto"/>
      </w:divBdr>
    </w:div>
    <w:div w:id="1264610054">
      <w:bodyDiv w:val="1"/>
      <w:marLeft w:val="0"/>
      <w:marRight w:val="0"/>
      <w:marTop w:val="0"/>
      <w:marBottom w:val="0"/>
      <w:divBdr>
        <w:top w:val="none" w:sz="0" w:space="0" w:color="auto"/>
        <w:left w:val="none" w:sz="0" w:space="0" w:color="auto"/>
        <w:bottom w:val="none" w:sz="0" w:space="0" w:color="auto"/>
        <w:right w:val="none" w:sz="0" w:space="0" w:color="auto"/>
      </w:divBdr>
    </w:div>
    <w:div w:id="138578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james79@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3</TotalTime>
  <Pages>4</Pages>
  <Words>1136</Words>
  <Characters>6479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
  <LinksUpToDate>false</LinksUpToDate>
  <CharactersWithSpaces>7600</CharactersWithSpaces>
  <SharedDoc>false</SharedDoc>
  <HLinks>
    <vt:vector size="6" baseType="variant">
      <vt:variant>
        <vt:i4>4259892</vt:i4>
      </vt:variant>
      <vt:variant>
        <vt:i4>0</vt:i4>
      </vt:variant>
      <vt:variant>
        <vt:i4>0</vt:i4>
      </vt:variant>
      <vt:variant>
        <vt:i4>5</vt:i4>
      </vt:variant>
      <vt:variant>
        <vt:lpwstr>mailto:sarah.james79@nhs.net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Gorton, Sam</dc:creator>
  <cp:keywords/>
  <dc:description/>
  <cp:lastModifiedBy>Gorton, Sam</cp:lastModifiedBy>
  <cp:revision>2</cp:revision>
  <cp:lastPrinted>2002-06-26T11:27:00Z</cp:lastPrinted>
  <dcterms:created xsi:type="dcterms:W3CDTF">2023-04-27T14:22:00Z</dcterms:created>
  <dcterms:modified xsi:type="dcterms:W3CDTF">2023-04-27T14:22:00Z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Lancashire Health and Wellbeing Board</vt:lpwstr>
  </property>
  <property fmtid="{D5CDD505-2E9C-101B-9397-08002B2CF9AE}" pid="3" name="IssueExemptionClassTitle">
    <vt:lpwstr>Part I</vt:lpwstr>
  </property>
  <property fmtid="{D5CDD505-2E9C-101B-9397-08002B2CF9AE}" pid="4" name="IssueTitle">
    <vt:lpwstr>Test</vt:lpwstr>
  </property>
  <property fmtid="{D5CDD505-2E9C-101B-9397-08002B2CF9AE}" pid="5" name="LeadDirector">
    <vt:lpwstr>Director of Corporate Services</vt:lpwstr>
  </property>
  <property fmtid="{D5CDD505-2E9C-101B-9397-08002B2CF9AE}" pid="6" name="LeadOfficer">
    <vt:lpwstr>Sam Gorton</vt:lpwstr>
  </property>
  <property fmtid="{D5CDD505-2E9C-101B-9397-08002B2CF9AE}" pid="7" name="LeadOfficerEmail">
    <vt:lpwstr>sam.gorton@lancashire.gov.uk</vt:lpwstr>
  </property>
  <property fmtid="{D5CDD505-2E9C-101B-9397-08002B2CF9AE}" pid="8" name="LeadOfficerTel">
    <vt:lpwstr>Tel: 01772 532471</vt:lpwstr>
  </property>
  <property fmtid="{D5CDD505-2E9C-101B-9397-08002B2CF9AE}" pid="9" name="MeetingDate">
    <vt:lpwstr>Tuesday, 15 November 2022</vt:lpwstr>
  </property>
  <property fmtid="{D5CDD505-2E9C-101B-9397-08002B2CF9AE}" pid="10" name="priority">
    <vt:lpwstr>Delivering better services;</vt:lpwstr>
  </property>
  <property fmtid="{D5CDD505-2E9C-101B-9397-08002B2CF9AE}" pid="11" name="Wards">
    <vt:lpwstr>(All Divisions);</vt:lpwstr>
  </property>
</Properties>
</file>