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D07" w:rsidRDefault="00F21D07" w:rsidP="00D941C8">
      <w:pPr>
        <w:rPr>
          <w:b/>
        </w:rPr>
      </w:pPr>
    </w:p>
    <w:p w:rsidR="00DE05FA" w:rsidRDefault="00DE05FA" w:rsidP="00D941C8">
      <w:pPr>
        <w:rPr>
          <w:b/>
        </w:rPr>
      </w:pPr>
    </w:p>
    <w:p w:rsidR="00E75840" w:rsidRPr="00FF4BC0" w:rsidRDefault="00E75840" w:rsidP="00D941C8">
      <w:pPr>
        <w:rPr>
          <w:rFonts w:cs="Arial"/>
          <w:b/>
          <w:szCs w:val="24"/>
        </w:rPr>
      </w:pPr>
      <w:r w:rsidRPr="00FF4BC0">
        <w:rPr>
          <w:rFonts w:cs="Arial"/>
          <w:b/>
          <w:szCs w:val="24"/>
        </w:rPr>
        <w:t xml:space="preserve">Report to the </w:t>
      </w:r>
      <w:r w:rsidR="00B23B2E" w:rsidRPr="00FF4BC0">
        <w:rPr>
          <w:rFonts w:cs="Arial"/>
          <w:b/>
          <w:szCs w:val="24"/>
        </w:rPr>
        <w:t>Cabinet Member for Children, Young People and Schools</w:t>
      </w:r>
    </w:p>
    <w:p w:rsidR="00E75840" w:rsidRPr="00FF4BC0" w:rsidRDefault="00E75840">
      <w:pPr>
        <w:rPr>
          <w:rFonts w:cs="Arial"/>
          <w:b/>
          <w:szCs w:val="24"/>
        </w:rPr>
      </w:pPr>
      <w:r w:rsidRPr="00FF4BC0">
        <w:rPr>
          <w:rFonts w:cs="Arial"/>
          <w:b/>
          <w:szCs w:val="24"/>
        </w:rPr>
        <w:t>Report submitted by</w:t>
      </w:r>
      <w:r w:rsidRPr="00FF4BC0">
        <w:rPr>
          <w:rFonts w:cs="Arial"/>
          <w:szCs w:val="24"/>
        </w:rPr>
        <w:t xml:space="preserve">: </w:t>
      </w:r>
      <w:r w:rsidR="00B23B2E" w:rsidRPr="00FF4BC0">
        <w:rPr>
          <w:rFonts w:cs="Arial"/>
          <w:b/>
          <w:szCs w:val="24"/>
        </w:rPr>
        <w:t>Interim Executive Director for Children and Young People</w:t>
      </w:r>
    </w:p>
    <w:p w:rsidR="00E75840" w:rsidRPr="00FF4BC0" w:rsidRDefault="00E75840">
      <w:pPr>
        <w:rPr>
          <w:rFonts w:cs="Arial"/>
          <w:b/>
          <w:szCs w:val="24"/>
        </w:rPr>
      </w:pPr>
      <w:r w:rsidRPr="00FF4BC0">
        <w:rPr>
          <w:rFonts w:cs="Arial"/>
          <w:b/>
          <w:szCs w:val="24"/>
        </w:rPr>
        <w:t xml:space="preserve">Date </w:t>
      </w:r>
      <w:r w:rsidR="00B23B2E" w:rsidRPr="00FF4BC0">
        <w:rPr>
          <w:rFonts w:cs="Arial"/>
          <w:b/>
          <w:szCs w:val="24"/>
        </w:rPr>
        <w:t>6 February 2014</w:t>
      </w:r>
    </w:p>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0"/>
      </w:tblGrid>
      <w:tr w:rsidR="00FC0274" w:rsidRPr="00FF4BC0" w:rsidTr="00FC0274">
        <w:tc>
          <w:tcPr>
            <w:tcW w:w="3260" w:type="dxa"/>
            <w:tcBorders>
              <w:top w:val="single" w:sz="4" w:space="0" w:color="auto"/>
              <w:left w:val="single" w:sz="4" w:space="0" w:color="auto"/>
              <w:bottom w:val="single" w:sz="4" w:space="0" w:color="auto"/>
              <w:right w:val="single" w:sz="4" w:space="0" w:color="auto"/>
            </w:tcBorders>
          </w:tcPr>
          <w:p w:rsidR="00FC0274" w:rsidRPr="00FF4BC0" w:rsidRDefault="00FC0274" w:rsidP="00415421">
            <w:pPr>
              <w:pStyle w:val="BodyText"/>
              <w:rPr>
                <w:rFonts w:cs="Arial"/>
                <w:b/>
                <w:szCs w:val="24"/>
              </w:rPr>
            </w:pPr>
            <w:r w:rsidRPr="00FF4BC0">
              <w:rPr>
                <w:rFonts w:cs="Arial"/>
                <w:b/>
                <w:szCs w:val="24"/>
              </w:rPr>
              <w:t xml:space="preserve">Part </w:t>
            </w:r>
            <w:r w:rsidR="00415421">
              <w:rPr>
                <w:rFonts w:cs="Arial"/>
                <w:b/>
                <w:szCs w:val="24"/>
              </w:rPr>
              <w:t>I</w:t>
            </w:r>
          </w:p>
        </w:tc>
      </w:tr>
      <w:tr w:rsidR="00FC0274" w:rsidRPr="00FF4BC0" w:rsidTr="00FC0274">
        <w:tc>
          <w:tcPr>
            <w:tcW w:w="3260" w:type="dxa"/>
            <w:tcBorders>
              <w:top w:val="single" w:sz="4" w:space="0" w:color="auto"/>
              <w:left w:val="nil"/>
              <w:bottom w:val="single" w:sz="4" w:space="0" w:color="auto"/>
              <w:right w:val="nil"/>
            </w:tcBorders>
          </w:tcPr>
          <w:p w:rsidR="00FC0274" w:rsidRPr="00FF4BC0" w:rsidRDefault="00FC0274" w:rsidP="00FC0274">
            <w:pPr>
              <w:pStyle w:val="BodyText"/>
              <w:rPr>
                <w:rFonts w:cs="Arial"/>
                <w:szCs w:val="24"/>
              </w:rPr>
            </w:pPr>
          </w:p>
        </w:tc>
      </w:tr>
      <w:tr w:rsidR="00E75840" w:rsidRPr="00FF4BC0" w:rsidTr="00FC0274">
        <w:tc>
          <w:tcPr>
            <w:tcW w:w="3260" w:type="dxa"/>
            <w:tcBorders>
              <w:top w:val="single" w:sz="4" w:space="0" w:color="auto"/>
            </w:tcBorders>
          </w:tcPr>
          <w:p w:rsidR="00E75840" w:rsidRPr="00FF4BC0" w:rsidRDefault="00E75840">
            <w:pPr>
              <w:pStyle w:val="BodyText"/>
              <w:rPr>
                <w:rFonts w:cs="Arial"/>
                <w:szCs w:val="24"/>
              </w:rPr>
            </w:pPr>
            <w:r w:rsidRPr="00FF4BC0">
              <w:rPr>
                <w:rFonts w:cs="Arial"/>
                <w:szCs w:val="24"/>
              </w:rPr>
              <w:t>Electoral Division</w:t>
            </w:r>
            <w:r w:rsidR="00D208C5">
              <w:rPr>
                <w:rFonts w:cs="Arial"/>
                <w:szCs w:val="24"/>
              </w:rPr>
              <w:t>s</w:t>
            </w:r>
            <w:r w:rsidRPr="00FF4BC0">
              <w:rPr>
                <w:rFonts w:cs="Arial"/>
                <w:szCs w:val="24"/>
              </w:rPr>
              <w:t xml:space="preserve"> affected:</w:t>
            </w:r>
          </w:p>
          <w:p w:rsidR="00B23B2E" w:rsidRPr="00FF4BC0" w:rsidRDefault="00B23B2E" w:rsidP="00B23B2E">
            <w:pPr>
              <w:autoSpaceDE w:val="0"/>
              <w:autoSpaceDN w:val="0"/>
              <w:adjustRightInd w:val="0"/>
              <w:rPr>
                <w:rFonts w:cs="Arial"/>
                <w:szCs w:val="24"/>
              </w:rPr>
            </w:pPr>
            <w:r w:rsidRPr="00FF4BC0">
              <w:rPr>
                <w:rFonts w:cs="Arial"/>
                <w:szCs w:val="24"/>
              </w:rPr>
              <w:t>Burnley Central East;</w:t>
            </w:r>
          </w:p>
          <w:p w:rsidR="00E75840" w:rsidRPr="00FF4BC0" w:rsidRDefault="00B23B2E" w:rsidP="00B23B2E">
            <w:pPr>
              <w:rPr>
                <w:rFonts w:cs="Arial"/>
                <w:szCs w:val="24"/>
                <w:u w:val="single"/>
              </w:rPr>
            </w:pPr>
            <w:r w:rsidRPr="00FF4BC0">
              <w:rPr>
                <w:rFonts w:cs="Arial"/>
                <w:szCs w:val="24"/>
              </w:rPr>
              <w:t>Burnley North East</w:t>
            </w:r>
          </w:p>
        </w:tc>
      </w:tr>
    </w:tbl>
    <w:p w:rsidR="00E75840" w:rsidRPr="00FF4BC0" w:rsidRDefault="00E75840">
      <w:pPr>
        <w:ind w:left="709" w:hanging="709"/>
        <w:rPr>
          <w:rFonts w:cs="Arial"/>
          <w:b/>
          <w:szCs w:val="24"/>
        </w:rPr>
      </w:pPr>
    </w:p>
    <w:p w:rsidR="00E75840" w:rsidRPr="00FF4BC0" w:rsidRDefault="00B23B2E">
      <w:pPr>
        <w:ind w:left="709" w:hanging="709"/>
        <w:rPr>
          <w:rFonts w:cs="Arial"/>
          <w:b/>
          <w:szCs w:val="24"/>
        </w:rPr>
      </w:pPr>
      <w:r w:rsidRPr="00FF4BC0">
        <w:rPr>
          <w:rFonts w:cs="Arial"/>
          <w:b/>
          <w:szCs w:val="24"/>
        </w:rPr>
        <w:t>Proposal to Enlarge Holly Grove School, Burnley</w:t>
      </w:r>
    </w:p>
    <w:p w:rsidR="00E75840" w:rsidRPr="00FF4BC0" w:rsidRDefault="00967036">
      <w:pPr>
        <w:rPr>
          <w:rFonts w:cs="Arial"/>
          <w:szCs w:val="24"/>
        </w:rPr>
      </w:pPr>
      <w:r>
        <w:rPr>
          <w:rFonts w:cs="Arial"/>
          <w:szCs w:val="24"/>
        </w:rPr>
        <w:t>(</w:t>
      </w:r>
      <w:r w:rsidR="00246CB6" w:rsidRPr="00FF4BC0">
        <w:rPr>
          <w:rFonts w:cs="Arial"/>
          <w:szCs w:val="24"/>
        </w:rPr>
        <w:t>Appendi</w:t>
      </w:r>
      <w:r>
        <w:rPr>
          <w:rFonts w:cs="Arial"/>
          <w:szCs w:val="24"/>
        </w:rPr>
        <w:t>ces</w:t>
      </w:r>
      <w:r w:rsidR="00246CB6" w:rsidRPr="00FF4BC0">
        <w:rPr>
          <w:rFonts w:cs="Arial"/>
          <w:szCs w:val="24"/>
        </w:rPr>
        <w:t xml:space="preserve"> 'A' </w:t>
      </w:r>
      <w:r w:rsidR="00990C2C">
        <w:rPr>
          <w:rFonts w:cs="Arial"/>
          <w:szCs w:val="24"/>
        </w:rPr>
        <w:t xml:space="preserve">and 'B' </w:t>
      </w:r>
      <w:r>
        <w:rPr>
          <w:rFonts w:cs="Arial"/>
          <w:szCs w:val="24"/>
        </w:rPr>
        <w:t>refer)</w:t>
      </w:r>
    </w:p>
    <w:p w:rsidR="00246CB6" w:rsidRPr="00FF4BC0" w:rsidRDefault="00246CB6">
      <w:pPr>
        <w:rPr>
          <w:rFonts w:cs="Arial"/>
          <w:szCs w:val="24"/>
        </w:rPr>
      </w:pPr>
    </w:p>
    <w:p w:rsidR="00E75840" w:rsidRPr="00FF4BC0" w:rsidRDefault="00E75840">
      <w:pPr>
        <w:rPr>
          <w:rFonts w:cs="Arial"/>
          <w:szCs w:val="24"/>
        </w:rPr>
      </w:pPr>
      <w:r w:rsidRPr="00FF4BC0">
        <w:rPr>
          <w:rFonts w:cs="Arial"/>
          <w:szCs w:val="24"/>
        </w:rPr>
        <w:t>Contact for further information:</w:t>
      </w:r>
    </w:p>
    <w:p w:rsidR="00B23B2E" w:rsidRPr="00FF4BC0" w:rsidRDefault="00B23B2E" w:rsidP="00B23B2E">
      <w:pPr>
        <w:autoSpaceDE w:val="0"/>
        <w:autoSpaceDN w:val="0"/>
        <w:adjustRightInd w:val="0"/>
        <w:rPr>
          <w:rFonts w:cs="Arial"/>
          <w:color w:val="000000"/>
          <w:szCs w:val="24"/>
        </w:rPr>
      </w:pPr>
      <w:r w:rsidRPr="00FF4BC0">
        <w:rPr>
          <w:rFonts w:cs="Arial"/>
          <w:color w:val="000000"/>
          <w:szCs w:val="24"/>
        </w:rPr>
        <w:t>Lynn Mappin; (01772) 531951</w:t>
      </w:r>
      <w:r w:rsidR="00967036">
        <w:rPr>
          <w:rFonts w:cs="Arial"/>
          <w:color w:val="000000"/>
          <w:szCs w:val="24"/>
        </w:rPr>
        <w:t xml:space="preserve">, Directorate for </w:t>
      </w:r>
      <w:r w:rsidRPr="00FF4BC0">
        <w:rPr>
          <w:rFonts w:cs="Arial"/>
          <w:color w:val="000000"/>
          <w:szCs w:val="24"/>
        </w:rPr>
        <w:t>Childr</w:t>
      </w:r>
      <w:r w:rsidR="00967036">
        <w:rPr>
          <w:rFonts w:cs="Arial"/>
          <w:color w:val="000000"/>
          <w:szCs w:val="24"/>
        </w:rPr>
        <w:t>en and Young People</w:t>
      </w:r>
    </w:p>
    <w:p w:rsidR="00967036" w:rsidRDefault="001B514F" w:rsidP="00B23B2E">
      <w:pPr>
        <w:rPr>
          <w:rFonts w:cs="Arial"/>
          <w:color w:val="0000FF"/>
          <w:szCs w:val="24"/>
        </w:rPr>
      </w:pPr>
      <w:hyperlink r:id="rId8" w:history="1">
        <w:r w:rsidR="00967036" w:rsidRPr="00DF19CD">
          <w:rPr>
            <w:rStyle w:val="Hyperlink"/>
            <w:rFonts w:cs="Arial"/>
            <w:szCs w:val="24"/>
          </w:rPr>
          <w:t>lynn.mappin@lancashire.gov.uk</w:t>
        </w:r>
      </w:hyperlink>
    </w:p>
    <w:p w:rsidR="00E75840" w:rsidRPr="00FF4BC0" w:rsidRDefault="00E75840">
      <w:pPr>
        <w:ind w:left="709" w:hanging="709"/>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80"/>
      </w:tblGrid>
      <w:tr w:rsidR="00E75840" w:rsidRPr="00FF4BC0">
        <w:tc>
          <w:tcPr>
            <w:tcW w:w="9180" w:type="dxa"/>
          </w:tcPr>
          <w:p w:rsidR="00E75840" w:rsidRPr="00FF4BC0" w:rsidRDefault="00E75840">
            <w:pPr>
              <w:pStyle w:val="Heading6"/>
              <w:rPr>
                <w:rFonts w:ascii="Arial" w:hAnsi="Arial" w:cs="Arial"/>
                <w:szCs w:val="24"/>
              </w:rPr>
            </w:pPr>
          </w:p>
          <w:p w:rsidR="00E75840" w:rsidRPr="00FF4BC0" w:rsidRDefault="00E75840">
            <w:pPr>
              <w:pStyle w:val="Heading6"/>
              <w:rPr>
                <w:rFonts w:ascii="Arial" w:hAnsi="Arial" w:cs="Arial"/>
                <w:szCs w:val="24"/>
              </w:rPr>
            </w:pPr>
            <w:r w:rsidRPr="00FF4BC0">
              <w:rPr>
                <w:rFonts w:ascii="Arial" w:hAnsi="Arial" w:cs="Arial"/>
                <w:szCs w:val="24"/>
              </w:rPr>
              <w:t>Executive Summary</w:t>
            </w:r>
          </w:p>
          <w:p w:rsidR="00E75840" w:rsidRPr="00FF4BC0" w:rsidRDefault="00E75840">
            <w:pPr>
              <w:rPr>
                <w:rFonts w:cs="Arial"/>
                <w:szCs w:val="24"/>
              </w:rPr>
            </w:pPr>
          </w:p>
          <w:p w:rsidR="0046168B" w:rsidRPr="00FF4BC0" w:rsidRDefault="00A32652">
            <w:pPr>
              <w:rPr>
                <w:rFonts w:cs="Arial"/>
                <w:szCs w:val="24"/>
              </w:rPr>
            </w:pPr>
            <w:r w:rsidRPr="00FF4BC0">
              <w:rPr>
                <w:rFonts w:cs="Arial"/>
                <w:szCs w:val="24"/>
              </w:rPr>
              <w:t xml:space="preserve">On 7 November 2013, Cabinet Member for Children, Young People and Schools approved the undertaking of stage 1 consultation on a proposal to enlarge Holly Grove School, Burnley.  Between </w:t>
            </w:r>
            <w:r w:rsidR="00FF1C33" w:rsidRPr="00FF4BC0">
              <w:rPr>
                <w:rFonts w:cs="Arial"/>
                <w:szCs w:val="24"/>
              </w:rPr>
              <w:t xml:space="preserve">18 </w:t>
            </w:r>
            <w:r w:rsidR="0046168B" w:rsidRPr="00FF4BC0">
              <w:rPr>
                <w:rFonts w:cs="Arial"/>
                <w:szCs w:val="24"/>
              </w:rPr>
              <w:t xml:space="preserve">November and 20 December 2013, the authority consulted on the proposal to formally expand Holly Grove School from 50 places to 70 places with effect from September 2014.  </w:t>
            </w:r>
          </w:p>
          <w:p w:rsidR="0046168B" w:rsidRPr="00FF4BC0" w:rsidRDefault="0046168B">
            <w:pPr>
              <w:rPr>
                <w:rFonts w:cs="Arial"/>
                <w:szCs w:val="24"/>
              </w:rPr>
            </w:pPr>
          </w:p>
          <w:p w:rsidR="0046168B" w:rsidRPr="00FF4BC0" w:rsidRDefault="0046168B" w:rsidP="0046168B">
            <w:pPr>
              <w:autoSpaceDE w:val="0"/>
              <w:autoSpaceDN w:val="0"/>
              <w:adjustRightInd w:val="0"/>
              <w:rPr>
                <w:rFonts w:cs="Arial"/>
                <w:szCs w:val="24"/>
              </w:rPr>
            </w:pPr>
            <w:r w:rsidRPr="00FF4BC0">
              <w:rPr>
                <w:rFonts w:cs="Arial"/>
                <w:szCs w:val="24"/>
              </w:rPr>
              <w:t>Under the statutory process, the authority is now required to consider the responses to</w:t>
            </w:r>
            <w:r w:rsidR="00A66CA7" w:rsidRPr="00FF4BC0">
              <w:rPr>
                <w:rFonts w:cs="Arial"/>
                <w:szCs w:val="24"/>
              </w:rPr>
              <w:t xml:space="preserve"> the consultation and to decide</w:t>
            </w:r>
            <w:r w:rsidRPr="00FF4BC0">
              <w:rPr>
                <w:rFonts w:cs="Arial"/>
                <w:szCs w:val="24"/>
              </w:rPr>
              <w:t xml:space="preserve"> whether to proceed to the next stage and publish statutory notices. The purpose of this report is to provide the information necessary for that decision to be taken.</w:t>
            </w:r>
          </w:p>
          <w:p w:rsidR="0046168B" w:rsidRPr="00FF4BC0" w:rsidRDefault="0046168B" w:rsidP="0046168B">
            <w:pPr>
              <w:autoSpaceDE w:val="0"/>
              <w:autoSpaceDN w:val="0"/>
              <w:adjustRightInd w:val="0"/>
              <w:rPr>
                <w:rFonts w:cs="Arial"/>
                <w:szCs w:val="24"/>
              </w:rPr>
            </w:pPr>
          </w:p>
          <w:p w:rsidR="0046168B" w:rsidRPr="00FF4BC0" w:rsidRDefault="0046168B" w:rsidP="0046168B">
            <w:pPr>
              <w:autoSpaceDE w:val="0"/>
              <w:autoSpaceDN w:val="0"/>
              <w:adjustRightInd w:val="0"/>
              <w:rPr>
                <w:rFonts w:cs="Arial"/>
                <w:b/>
                <w:szCs w:val="24"/>
              </w:rPr>
            </w:pPr>
            <w:r w:rsidRPr="00FF4BC0">
              <w:rPr>
                <w:rFonts w:cs="Arial"/>
                <w:b/>
                <w:szCs w:val="24"/>
              </w:rPr>
              <w:t>Recommendation</w:t>
            </w:r>
          </w:p>
          <w:p w:rsidR="0046168B" w:rsidRPr="00FF4BC0" w:rsidRDefault="0046168B" w:rsidP="0046168B">
            <w:pPr>
              <w:autoSpaceDE w:val="0"/>
              <w:autoSpaceDN w:val="0"/>
              <w:adjustRightInd w:val="0"/>
              <w:rPr>
                <w:rFonts w:cs="Arial"/>
                <w:b/>
                <w:szCs w:val="24"/>
              </w:rPr>
            </w:pPr>
          </w:p>
          <w:p w:rsidR="0046168B" w:rsidRPr="00FF4BC0" w:rsidRDefault="0046168B" w:rsidP="0046168B">
            <w:pPr>
              <w:autoSpaceDE w:val="0"/>
              <w:autoSpaceDN w:val="0"/>
              <w:adjustRightInd w:val="0"/>
              <w:rPr>
                <w:rFonts w:cs="Arial"/>
                <w:szCs w:val="24"/>
              </w:rPr>
            </w:pPr>
            <w:r w:rsidRPr="00FF4BC0">
              <w:rPr>
                <w:rFonts w:cs="Arial"/>
                <w:szCs w:val="24"/>
              </w:rPr>
              <w:t>The Cabinet Member for Children, Young People and Schools is recommended to:</w:t>
            </w:r>
          </w:p>
          <w:p w:rsidR="0046168B" w:rsidRPr="00FF4BC0" w:rsidRDefault="0046168B" w:rsidP="0046168B">
            <w:pPr>
              <w:autoSpaceDE w:val="0"/>
              <w:autoSpaceDN w:val="0"/>
              <w:adjustRightInd w:val="0"/>
              <w:rPr>
                <w:rFonts w:cs="Arial"/>
                <w:szCs w:val="24"/>
              </w:rPr>
            </w:pPr>
          </w:p>
          <w:p w:rsidR="0046168B" w:rsidRPr="00FF4BC0" w:rsidRDefault="0046168B" w:rsidP="0046168B">
            <w:pPr>
              <w:autoSpaceDE w:val="0"/>
              <w:autoSpaceDN w:val="0"/>
              <w:adjustRightInd w:val="0"/>
              <w:rPr>
                <w:rFonts w:cs="Arial"/>
                <w:szCs w:val="24"/>
              </w:rPr>
            </w:pPr>
            <w:r w:rsidRPr="00FF4BC0">
              <w:rPr>
                <w:rFonts w:cs="Arial"/>
                <w:szCs w:val="24"/>
              </w:rPr>
              <w:t>(i) note the consultation arrangements which were undertaken and the</w:t>
            </w:r>
          </w:p>
          <w:p w:rsidR="0046168B" w:rsidRPr="00FF4BC0" w:rsidRDefault="0046168B" w:rsidP="0046168B">
            <w:pPr>
              <w:autoSpaceDE w:val="0"/>
              <w:autoSpaceDN w:val="0"/>
              <w:adjustRightInd w:val="0"/>
              <w:rPr>
                <w:rFonts w:cs="Arial"/>
                <w:szCs w:val="24"/>
              </w:rPr>
            </w:pPr>
            <w:r w:rsidRPr="00FF4BC0">
              <w:rPr>
                <w:rFonts w:cs="Arial"/>
                <w:szCs w:val="24"/>
              </w:rPr>
              <w:t>responses that were received in respect of the authority's proposals; and</w:t>
            </w:r>
          </w:p>
          <w:p w:rsidR="0046168B" w:rsidRPr="00FF4BC0" w:rsidRDefault="0046168B" w:rsidP="0046168B">
            <w:pPr>
              <w:autoSpaceDE w:val="0"/>
              <w:autoSpaceDN w:val="0"/>
              <w:adjustRightInd w:val="0"/>
              <w:rPr>
                <w:rFonts w:cs="Arial"/>
                <w:szCs w:val="24"/>
              </w:rPr>
            </w:pPr>
          </w:p>
          <w:p w:rsidR="00E75840" w:rsidRPr="00FF4BC0" w:rsidRDefault="0046168B" w:rsidP="0046168B">
            <w:pPr>
              <w:autoSpaceDE w:val="0"/>
              <w:autoSpaceDN w:val="0"/>
              <w:adjustRightInd w:val="0"/>
              <w:rPr>
                <w:rFonts w:cs="Arial"/>
                <w:szCs w:val="24"/>
              </w:rPr>
            </w:pPr>
            <w:r w:rsidRPr="00FF4BC0">
              <w:rPr>
                <w:rFonts w:cs="Arial"/>
                <w:szCs w:val="24"/>
              </w:rPr>
              <w:t xml:space="preserve">(ii) </w:t>
            </w:r>
            <w:proofErr w:type="gramStart"/>
            <w:r w:rsidRPr="00FF4BC0">
              <w:rPr>
                <w:rFonts w:cs="Arial"/>
                <w:szCs w:val="24"/>
              </w:rPr>
              <w:t>agree</w:t>
            </w:r>
            <w:proofErr w:type="gramEnd"/>
            <w:r w:rsidRPr="00FF4BC0">
              <w:rPr>
                <w:rFonts w:cs="Arial"/>
                <w:szCs w:val="24"/>
              </w:rPr>
              <w:t xml:space="preserve"> to the authority publishing a statutory notice to formally expand the number of approved places available at Holly Grove School, Burnley from 50 to 70 places with effect from 1 September 2014.</w:t>
            </w:r>
          </w:p>
          <w:p w:rsidR="00E75840" w:rsidRPr="00FF4BC0" w:rsidRDefault="00E75840" w:rsidP="00B23B2E">
            <w:pPr>
              <w:rPr>
                <w:rFonts w:cs="Arial"/>
                <w:szCs w:val="24"/>
              </w:rPr>
            </w:pPr>
          </w:p>
        </w:tc>
      </w:tr>
    </w:tbl>
    <w:p w:rsidR="00E75840" w:rsidRPr="00FF4BC0" w:rsidRDefault="00E75840">
      <w:pPr>
        <w:rPr>
          <w:rFonts w:cs="Arial"/>
          <w:b/>
          <w:szCs w:val="24"/>
        </w:rPr>
      </w:pPr>
    </w:p>
    <w:p w:rsidR="00E75840" w:rsidRPr="00FF4BC0" w:rsidRDefault="00E75840">
      <w:pPr>
        <w:rPr>
          <w:rFonts w:cs="Arial"/>
          <w:b/>
          <w:szCs w:val="24"/>
        </w:rPr>
      </w:pPr>
      <w:r w:rsidRPr="00FF4BC0">
        <w:rPr>
          <w:rFonts w:cs="Arial"/>
          <w:b/>
          <w:szCs w:val="24"/>
        </w:rPr>
        <w:t xml:space="preserve">Background and Advice </w:t>
      </w:r>
    </w:p>
    <w:p w:rsidR="00E75840" w:rsidRPr="00FF4BC0" w:rsidRDefault="00E75840">
      <w:pPr>
        <w:rPr>
          <w:rFonts w:cs="Arial"/>
          <w:b/>
          <w:szCs w:val="24"/>
        </w:rPr>
      </w:pPr>
    </w:p>
    <w:p w:rsidR="008C5020" w:rsidRPr="00FF4BC0" w:rsidRDefault="008C5020" w:rsidP="008C5020">
      <w:pPr>
        <w:autoSpaceDE w:val="0"/>
        <w:autoSpaceDN w:val="0"/>
        <w:adjustRightInd w:val="0"/>
        <w:rPr>
          <w:rFonts w:cs="Arial"/>
          <w:szCs w:val="24"/>
        </w:rPr>
      </w:pPr>
      <w:r w:rsidRPr="00FF4BC0">
        <w:rPr>
          <w:rFonts w:cs="Arial"/>
          <w:szCs w:val="24"/>
        </w:rPr>
        <w:t>On 7 November 2013, the Cabinet Member for Children, Young People and Schools approved the commencement of a consultation exercise to formally expand the number of places available at Holly Grove School, Burnley.</w:t>
      </w:r>
    </w:p>
    <w:p w:rsidR="008C5020" w:rsidRPr="00FF4BC0" w:rsidRDefault="008C5020" w:rsidP="008C5020">
      <w:pPr>
        <w:autoSpaceDE w:val="0"/>
        <w:autoSpaceDN w:val="0"/>
        <w:adjustRightInd w:val="0"/>
        <w:rPr>
          <w:rFonts w:cs="Arial"/>
          <w:szCs w:val="24"/>
        </w:rPr>
      </w:pPr>
    </w:p>
    <w:p w:rsidR="008C5020" w:rsidRPr="00FF4BC0" w:rsidRDefault="008C5020" w:rsidP="008C5020">
      <w:pPr>
        <w:autoSpaceDE w:val="0"/>
        <w:autoSpaceDN w:val="0"/>
        <w:adjustRightInd w:val="0"/>
        <w:rPr>
          <w:rFonts w:cs="Arial"/>
          <w:szCs w:val="24"/>
        </w:rPr>
      </w:pPr>
      <w:r w:rsidRPr="00FF4BC0">
        <w:rPr>
          <w:rFonts w:cs="Arial"/>
          <w:szCs w:val="24"/>
        </w:rPr>
        <w:lastRenderedPageBreak/>
        <w:t>Holly Grove School is currently officially designated as a 50 place school for</w:t>
      </w:r>
      <w:r w:rsidR="00321C91" w:rsidRPr="00FF4BC0">
        <w:rPr>
          <w:rFonts w:cs="Arial"/>
          <w:szCs w:val="24"/>
        </w:rPr>
        <w:t xml:space="preserve"> </w:t>
      </w:r>
      <w:r w:rsidRPr="00FF4BC0">
        <w:rPr>
          <w:rFonts w:cs="Arial"/>
          <w:szCs w:val="24"/>
        </w:rPr>
        <w:t>pupils with generic learning difficulties (GLD) aged 2 – 11. However, over rec</w:t>
      </w:r>
      <w:r w:rsidR="00321C91" w:rsidRPr="00FF4BC0">
        <w:rPr>
          <w:rFonts w:cs="Arial"/>
          <w:szCs w:val="24"/>
        </w:rPr>
        <w:t xml:space="preserve">ent years, there has been an increase of children with GLD who also present challenging behaviour, complex health needs and autism.  Pupil numbers at Holly Grove School have been well over 50 for a number of years and, during the autumn term 2013, the school had 65 pupils on roll. It is anticipated that this demand will continue to increase and, therefore, a revision in the approved number of the school is proposed. </w:t>
      </w:r>
    </w:p>
    <w:p w:rsidR="00EF41AC" w:rsidRPr="00FF4BC0" w:rsidRDefault="008C5020" w:rsidP="008C5020">
      <w:pPr>
        <w:autoSpaceDE w:val="0"/>
        <w:autoSpaceDN w:val="0"/>
        <w:adjustRightInd w:val="0"/>
        <w:rPr>
          <w:rFonts w:cs="Arial"/>
          <w:szCs w:val="24"/>
        </w:rPr>
      </w:pPr>
      <w:r w:rsidRPr="00FF4BC0">
        <w:rPr>
          <w:rFonts w:cs="Arial"/>
          <w:szCs w:val="24"/>
        </w:rPr>
        <w:t xml:space="preserve"> </w:t>
      </w:r>
    </w:p>
    <w:p w:rsidR="008C5020" w:rsidRPr="00FF4BC0" w:rsidRDefault="008C5020" w:rsidP="008C5020">
      <w:pPr>
        <w:autoSpaceDE w:val="0"/>
        <w:autoSpaceDN w:val="0"/>
        <w:adjustRightInd w:val="0"/>
        <w:rPr>
          <w:rFonts w:cs="Arial"/>
          <w:szCs w:val="24"/>
        </w:rPr>
      </w:pPr>
      <w:r w:rsidRPr="00FF4BC0">
        <w:rPr>
          <w:rFonts w:cs="Arial"/>
          <w:szCs w:val="24"/>
        </w:rPr>
        <w:t xml:space="preserve">The current proposal is to </w:t>
      </w:r>
      <w:r w:rsidR="00C10B27" w:rsidRPr="00FF4BC0">
        <w:rPr>
          <w:rFonts w:cs="Arial"/>
          <w:szCs w:val="24"/>
        </w:rPr>
        <w:t>expand the approved number to 70</w:t>
      </w:r>
      <w:r w:rsidRPr="00FF4BC0">
        <w:rPr>
          <w:rFonts w:cs="Arial"/>
          <w:szCs w:val="24"/>
        </w:rPr>
        <w:t xml:space="preserve"> </w:t>
      </w:r>
      <w:r w:rsidR="00321C91" w:rsidRPr="00FF4BC0">
        <w:rPr>
          <w:rFonts w:cs="Arial"/>
          <w:szCs w:val="24"/>
        </w:rPr>
        <w:t xml:space="preserve">and provide additional accommodation </w:t>
      </w:r>
      <w:r w:rsidRPr="00FF4BC0">
        <w:rPr>
          <w:rFonts w:cs="Arial"/>
          <w:szCs w:val="24"/>
        </w:rPr>
        <w:t>at the school.</w:t>
      </w:r>
    </w:p>
    <w:p w:rsidR="00E75840" w:rsidRPr="00FF4BC0" w:rsidRDefault="00E75840">
      <w:pPr>
        <w:rPr>
          <w:rFonts w:cs="Arial"/>
          <w:szCs w:val="24"/>
        </w:rPr>
      </w:pPr>
    </w:p>
    <w:p w:rsidR="00E75840" w:rsidRPr="00FF4BC0" w:rsidRDefault="004C564C">
      <w:pPr>
        <w:rPr>
          <w:rFonts w:cs="Arial"/>
          <w:b/>
          <w:szCs w:val="24"/>
        </w:rPr>
      </w:pPr>
      <w:r w:rsidRPr="00FF4BC0">
        <w:rPr>
          <w:rFonts w:cs="Arial"/>
          <w:b/>
          <w:szCs w:val="24"/>
        </w:rPr>
        <w:t>The Consultation Process</w:t>
      </w:r>
    </w:p>
    <w:p w:rsidR="001B7426" w:rsidRPr="00FF4BC0" w:rsidRDefault="001B7426">
      <w:pPr>
        <w:rPr>
          <w:rFonts w:cs="Arial"/>
          <w:b/>
          <w:szCs w:val="24"/>
        </w:rPr>
      </w:pPr>
    </w:p>
    <w:p w:rsidR="001B7426" w:rsidRPr="00FF4BC0" w:rsidRDefault="001B7426" w:rsidP="001B7426">
      <w:pPr>
        <w:autoSpaceDE w:val="0"/>
        <w:autoSpaceDN w:val="0"/>
        <w:adjustRightInd w:val="0"/>
        <w:rPr>
          <w:rFonts w:cs="Arial"/>
          <w:szCs w:val="24"/>
        </w:rPr>
      </w:pPr>
      <w:r w:rsidRPr="00FF4BC0">
        <w:rPr>
          <w:rFonts w:cs="Arial"/>
          <w:szCs w:val="24"/>
        </w:rPr>
        <w:t>For a proposal to expand a maintained community special school there is a five</w:t>
      </w:r>
    </w:p>
    <w:p w:rsidR="001B7426" w:rsidRPr="00FF4BC0" w:rsidRDefault="001B7426" w:rsidP="001B7426">
      <w:pPr>
        <w:autoSpaceDE w:val="0"/>
        <w:autoSpaceDN w:val="0"/>
        <w:adjustRightInd w:val="0"/>
        <w:rPr>
          <w:rFonts w:cs="Arial"/>
          <w:szCs w:val="24"/>
        </w:rPr>
      </w:pPr>
      <w:proofErr w:type="gramStart"/>
      <w:r w:rsidRPr="00FF4BC0">
        <w:rPr>
          <w:rFonts w:cs="Arial"/>
          <w:szCs w:val="24"/>
        </w:rPr>
        <w:t>stage</w:t>
      </w:r>
      <w:proofErr w:type="gramEnd"/>
      <w:r w:rsidRPr="00FF4BC0">
        <w:rPr>
          <w:rFonts w:cs="Arial"/>
          <w:szCs w:val="24"/>
        </w:rPr>
        <w:t xml:space="preserve"> statutory process that the authority, as the proposer, must follow:</w:t>
      </w:r>
    </w:p>
    <w:p w:rsidR="001B7426" w:rsidRPr="00FF4BC0" w:rsidRDefault="001B7426">
      <w:pPr>
        <w:rPr>
          <w:rFonts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21"/>
        <w:gridCol w:w="4622"/>
      </w:tblGrid>
      <w:tr w:rsidR="001B7426" w:rsidRPr="00FF4BC0" w:rsidTr="004C564C">
        <w:tc>
          <w:tcPr>
            <w:tcW w:w="4621" w:type="dxa"/>
            <w:tcBorders>
              <w:top w:val="single" w:sz="4" w:space="0" w:color="auto"/>
              <w:left w:val="single" w:sz="4" w:space="0" w:color="auto"/>
              <w:bottom w:val="single" w:sz="4" w:space="0" w:color="auto"/>
              <w:right w:val="single" w:sz="4" w:space="0" w:color="auto"/>
            </w:tcBorders>
            <w:shd w:val="clear" w:color="auto" w:fill="D9D9D9"/>
          </w:tcPr>
          <w:p w:rsidR="001B7426" w:rsidRPr="00FF4BC0" w:rsidRDefault="001B7426" w:rsidP="004C564C">
            <w:pPr>
              <w:jc w:val="both"/>
              <w:rPr>
                <w:rFonts w:cs="Arial"/>
                <w:b/>
                <w:szCs w:val="24"/>
              </w:rPr>
            </w:pPr>
            <w:r w:rsidRPr="00FF4BC0">
              <w:rPr>
                <w:rFonts w:cs="Arial"/>
                <w:b/>
                <w:szCs w:val="24"/>
              </w:rPr>
              <w:t>Action</w:t>
            </w:r>
          </w:p>
        </w:tc>
        <w:tc>
          <w:tcPr>
            <w:tcW w:w="4622" w:type="dxa"/>
            <w:tcBorders>
              <w:top w:val="single" w:sz="4" w:space="0" w:color="auto"/>
              <w:left w:val="single" w:sz="4" w:space="0" w:color="auto"/>
              <w:bottom w:val="single" w:sz="4" w:space="0" w:color="auto"/>
              <w:right w:val="single" w:sz="4" w:space="0" w:color="auto"/>
            </w:tcBorders>
            <w:shd w:val="clear" w:color="auto" w:fill="D9D9D9"/>
          </w:tcPr>
          <w:p w:rsidR="001B7426" w:rsidRPr="00FF4BC0" w:rsidRDefault="001B7426" w:rsidP="004C564C">
            <w:pPr>
              <w:jc w:val="both"/>
              <w:rPr>
                <w:rFonts w:cs="Arial"/>
                <w:b/>
                <w:szCs w:val="24"/>
              </w:rPr>
            </w:pPr>
            <w:r w:rsidRPr="00FF4BC0">
              <w:rPr>
                <w:rFonts w:cs="Arial"/>
                <w:b/>
                <w:szCs w:val="24"/>
              </w:rPr>
              <w:t>Timescale</w:t>
            </w:r>
          </w:p>
        </w:tc>
      </w:tr>
      <w:tr w:rsidR="001B7426" w:rsidRPr="00FF4BC0" w:rsidTr="004C564C">
        <w:tc>
          <w:tcPr>
            <w:tcW w:w="4621" w:type="dxa"/>
            <w:tcBorders>
              <w:top w:val="single" w:sz="4" w:space="0" w:color="auto"/>
              <w:left w:val="single" w:sz="4" w:space="0" w:color="auto"/>
              <w:bottom w:val="single" w:sz="4" w:space="0" w:color="auto"/>
              <w:right w:val="single" w:sz="4" w:space="0" w:color="auto"/>
            </w:tcBorders>
            <w:shd w:val="pct15" w:color="auto" w:fill="auto"/>
          </w:tcPr>
          <w:p w:rsidR="001B7426" w:rsidRPr="00FF4BC0" w:rsidRDefault="001B7426" w:rsidP="004C564C">
            <w:pPr>
              <w:jc w:val="both"/>
              <w:rPr>
                <w:rFonts w:cs="Arial"/>
                <w:szCs w:val="24"/>
              </w:rPr>
            </w:pPr>
            <w:r w:rsidRPr="00FF4BC0">
              <w:rPr>
                <w:rFonts w:cs="Arial"/>
                <w:szCs w:val="24"/>
              </w:rPr>
              <w:t xml:space="preserve">Consultation on the proposal to expand Holly Grove School </w:t>
            </w:r>
          </w:p>
        </w:tc>
        <w:tc>
          <w:tcPr>
            <w:tcW w:w="4622" w:type="dxa"/>
            <w:tcBorders>
              <w:top w:val="single" w:sz="4" w:space="0" w:color="auto"/>
              <w:left w:val="single" w:sz="4" w:space="0" w:color="auto"/>
              <w:bottom w:val="single" w:sz="4" w:space="0" w:color="auto"/>
              <w:right w:val="single" w:sz="4" w:space="0" w:color="auto"/>
            </w:tcBorders>
            <w:shd w:val="pct15" w:color="auto" w:fill="auto"/>
          </w:tcPr>
          <w:p w:rsidR="001B7426" w:rsidRPr="00FF4BC0" w:rsidRDefault="001B7426" w:rsidP="004C564C">
            <w:pPr>
              <w:jc w:val="both"/>
              <w:rPr>
                <w:rFonts w:cs="Arial"/>
                <w:szCs w:val="24"/>
              </w:rPr>
            </w:pPr>
            <w:r w:rsidRPr="00FF4BC0">
              <w:rPr>
                <w:rFonts w:cs="Arial"/>
                <w:szCs w:val="24"/>
              </w:rPr>
              <w:t>18 November 2013 to 20 December 2013</w:t>
            </w:r>
          </w:p>
        </w:tc>
      </w:tr>
      <w:tr w:rsidR="001B7426" w:rsidRPr="00FF4BC0" w:rsidTr="004C564C">
        <w:tc>
          <w:tcPr>
            <w:tcW w:w="4621" w:type="dxa"/>
            <w:tcBorders>
              <w:top w:val="single" w:sz="4" w:space="0" w:color="auto"/>
              <w:left w:val="single" w:sz="4" w:space="0" w:color="auto"/>
              <w:bottom w:val="single" w:sz="4" w:space="0" w:color="auto"/>
              <w:right w:val="single" w:sz="4" w:space="0" w:color="auto"/>
            </w:tcBorders>
          </w:tcPr>
          <w:p w:rsidR="001B7426" w:rsidRPr="00FF4BC0" w:rsidRDefault="001B7426" w:rsidP="004C564C">
            <w:pPr>
              <w:jc w:val="both"/>
              <w:rPr>
                <w:rFonts w:cs="Arial"/>
                <w:szCs w:val="24"/>
              </w:rPr>
            </w:pPr>
            <w:r w:rsidRPr="00FF4BC0">
              <w:rPr>
                <w:rFonts w:cs="Arial"/>
                <w:szCs w:val="24"/>
              </w:rPr>
              <w:t>Report to Cabinet Member on the responses to the consultation and permission to publish notices</w:t>
            </w:r>
          </w:p>
        </w:tc>
        <w:tc>
          <w:tcPr>
            <w:tcW w:w="4622" w:type="dxa"/>
            <w:tcBorders>
              <w:top w:val="single" w:sz="4" w:space="0" w:color="auto"/>
              <w:left w:val="single" w:sz="4" w:space="0" w:color="auto"/>
              <w:bottom w:val="single" w:sz="4" w:space="0" w:color="auto"/>
              <w:right w:val="single" w:sz="4" w:space="0" w:color="auto"/>
            </w:tcBorders>
          </w:tcPr>
          <w:p w:rsidR="001B7426" w:rsidRPr="00FF4BC0" w:rsidRDefault="001B7426" w:rsidP="004C564C">
            <w:pPr>
              <w:jc w:val="both"/>
              <w:rPr>
                <w:rFonts w:cs="Arial"/>
                <w:b/>
                <w:szCs w:val="24"/>
              </w:rPr>
            </w:pPr>
            <w:r w:rsidRPr="00FF4BC0">
              <w:rPr>
                <w:rFonts w:cs="Arial"/>
                <w:b/>
                <w:szCs w:val="24"/>
              </w:rPr>
              <w:t>Current stage</w:t>
            </w:r>
          </w:p>
        </w:tc>
      </w:tr>
      <w:tr w:rsidR="001B7426" w:rsidRPr="00FF4BC0" w:rsidTr="004C564C">
        <w:tc>
          <w:tcPr>
            <w:tcW w:w="4621" w:type="dxa"/>
            <w:tcBorders>
              <w:top w:val="single" w:sz="4" w:space="0" w:color="auto"/>
              <w:left w:val="single" w:sz="4" w:space="0" w:color="auto"/>
              <w:bottom w:val="single" w:sz="4" w:space="0" w:color="auto"/>
              <w:right w:val="single" w:sz="4" w:space="0" w:color="auto"/>
            </w:tcBorders>
          </w:tcPr>
          <w:p w:rsidR="001B7426" w:rsidRPr="00FF4BC0" w:rsidRDefault="001B7426" w:rsidP="004C564C">
            <w:pPr>
              <w:jc w:val="both"/>
              <w:rPr>
                <w:rFonts w:cs="Arial"/>
                <w:szCs w:val="24"/>
              </w:rPr>
            </w:pPr>
            <w:r w:rsidRPr="00FF4BC0">
              <w:rPr>
                <w:rFonts w:cs="Arial"/>
                <w:szCs w:val="24"/>
              </w:rPr>
              <w:t>Publish Statutory Notices</w:t>
            </w:r>
          </w:p>
        </w:tc>
        <w:tc>
          <w:tcPr>
            <w:tcW w:w="4622" w:type="dxa"/>
            <w:tcBorders>
              <w:top w:val="single" w:sz="4" w:space="0" w:color="auto"/>
              <w:left w:val="single" w:sz="4" w:space="0" w:color="auto"/>
              <w:bottom w:val="single" w:sz="4" w:space="0" w:color="auto"/>
              <w:right w:val="single" w:sz="4" w:space="0" w:color="auto"/>
            </w:tcBorders>
          </w:tcPr>
          <w:p w:rsidR="001B7426" w:rsidRPr="00FF4BC0" w:rsidRDefault="004C564C" w:rsidP="004C564C">
            <w:pPr>
              <w:jc w:val="both"/>
              <w:rPr>
                <w:rFonts w:cs="Arial"/>
                <w:szCs w:val="24"/>
              </w:rPr>
            </w:pPr>
            <w:r w:rsidRPr="00FF4BC0">
              <w:rPr>
                <w:rFonts w:cs="Arial"/>
                <w:szCs w:val="24"/>
              </w:rPr>
              <w:t>17 February 2014</w:t>
            </w:r>
          </w:p>
        </w:tc>
      </w:tr>
      <w:tr w:rsidR="001B7426" w:rsidRPr="00FF4BC0" w:rsidTr="004C564C">
        <w:tc>
          <w:tcPr>
            <w:tcW w:w="4621" w:type="dxa"/>
            <w:tcBorders>
              <w:top w:val="single" w:sz="4" w:space="0" w:color="auto"/>
              <w:left w:val="single" w:sz="4" w:space="0" w:color="auto"/>
              <w:bottom w:val="single" w:sz="4" w:space="0" w:color="auto"/>
              <w:right w:val="single" w:sz="4" w:space="0" w:color="auto"/>
            </w:tcBorders>
          </w:tcPr>
          <w:p w:rsidR="001B7426" w:rsidRPr="00FF4BC0" w:rsidRDefault="001B7426" w:rsidP="004C564C">
            <w:pPr>
              <w:jc w:val="both"/>
              <w:rPr>
                <w:rFonts w:cs="Arial"/>
                <w:szCs w:val="24"/>
              </w:rPr>
            </w:pPr>
            <w:r w:rsidRPr="00FF4BC0">
              <w:rPr>
                <w:rFonts w:cs="Arial"/>
                <w:szCs w:val="24"/>
              </w:rPr>
              <w:t>Representation Period</w:t>
            </w:r>
          </w:p>
        </w:tc>
        <w:tc>
          <w:tcPr>
            <w:tcW w:w="4622" w:type="dxa"/>
            <w:tcBorders>
              <w:top w:val="single" w:sz="4" w:space="0" w:color="auto"/>
              <w:left w:val="single" w:sz="4" w:space="0" w:color="auto"/>
              <w:bottom w:val="single" w:sz="4" w:space="0" w:color="auto"/>
              <w:right w:val="single" w:sz="4" w:space="0" w:color="auto"/>
            </w:tcBorders>
          </w:tcPr>
          <w:p w:rsidR="001B7426" w:rsidRPr="00FF4BC0" w:rsidRDefault="004C564C" w:rsidP="004C564C">
            <w:pPr>
              <w:jc w:val="both"/>
              <w:rPr>
                <w:rFonts w:cs="Arial"/>
                <w:szCs w:val="24"/>
              </w:rPr>
            </w:pPr>
            <w:r w:rsidRPr="00FF4BC0">
              <w:rPr>
                <w:rFonts w:cs="Arial"/>
                <w:szCs w:val="24"/>
              </w:rPr>
              <w:t>17 February to 30 March 2014 inclusive (six weeks)</w:t>
            </w:r>
          </w:p>
        </w:tc>
      </w:tr>
      <w:tr w:rsidR="001B7426" w:rsidRPr="00FF4BC0" w:rsidTr="004C564C">
        <w:tc>
          <w:tcPr>
            <w:tcW w:w="4621" w:type="dxa"/>
            <w:tcBorders>
              <w:top w:val="single" w:sz="4" w:space="0" w:color="auto"/>
              <w:left w:val="single" w:sz="4" w:space="0" w:color="auto"/>
              <w:bottom w:val="single" w:sz="4" w:space="0" w:color="auto"/>
              <w:right w:val="single" w:sz="4" w:space="0" w:color="auto"/>
            </w:tcBorders>
          </w:tcPr>
          <w:p w:rsidR="001B7426" w:rsidRPr="00FF4BC0" w:rsidRDefault="001B7426" w:rsidP="004C564C">
            <w:pPr>
              <w:jc w:val="both"/>
              <w:rPr>
                <w:rFonts w:cs="Arial"/>
                <w:szCs w:val="24"/>
              </w:rPr>
            </w:pPr>
            <w:r w:rsidRPr="00FF4BC0">
              <w:rPr>
                <w:rFonts w:cs="Arial"/>
                <w:szCs w:val="24"/>
              </w:rPr>
              <w:t xml:space="preserve">Decision </w:t>
            </w:r>
          </w:p>
        </w:tc>
        <w:tc>
          <w:tcPr>
            <w:tcW w:w="4622" w:type="dxa"/>
            <w:tcBorders>
              <w:top w:val="single" w:sz="4" w:space="0" w:color="auto"/>
              <w:left w:val="single" w:sz="4" w:space="0" w:color="auto"/>
              <w:bottom w:val="single" w:sz="4" w:space="0" w:color="auto"/>
              <w:right w:val="single" w:sz="4" w:space="0" w:color="auto"/>
            </w:tcBorders>
          </w:tcPr>
          <w:p w:rsidR="001B7426" w:rsidRPr="00FF4BC0" w:rsidRDefault="004C564C" w:rsidP="004C564C">
            <w:pPr>
              <w:jc w:val="both"/>
              <w:rPr>
                <w:rFonts w:cs="Arial"/>
                <w:szCs w:val="24"/>
              </w:rPr>
            </w:pPr>
            <w:r w:rsidRPr="00FF4BC0">
              <w:rPr>
                <w:rFonts w:cs="Arial"/>
                <w:szCs w:val="24"/>
              </w:rPr>
              <w:t>8 May 2014</w:t>
            </w:r>
          </w:p>
        </w:tc>
      </w:tr>
    </w:tbl>
    <w:p w:rsidR="001B7426" w:rsidRPr="00FF4BC0" w:rsidRDefault="001B7426">
      <w:pPr>
        <w:rPr>
          <w:rFonts w:cs="Arial"/>
          <w:b/>
          <w:szCs w:val="24"/>
        </w:rPr>
      </w:pPr>
    </w:p>
    <w:p w:rsidR="004C564C" w:rsidRPr="00FF4BC0" w:rsidRDefault="004C564C" w:rsidP="004C564C">
      <w:pPr>
        <w:autoSpaceDE w:val="0"/>
        <w:autoSpaceDN w:val="0"/>
        <w:adjustRightInd w:val="0"/>
        <w:rPr>
          <w:rFonts w:cs="Arial"/>
          <w:b/>
          <w:szCs w:val="24"/>
        </w:rPr>
      </w:pPr>
      <w:r w:rsidRPr="00FF4BC0">
        <w:rPr>
          <w:rFonts w:cs="Arial"/>
          <w:b/>
          <w:szCs w:val="24"/>
        </w:rPr>
        <w:t>Statutory Requirements for Consultation</w:t>
      </w:r>
    </w:p>
    <w:p w:rsidR="004C564C" w:rsidRPr="00FF4BC0" w:rsidRDefault="004C564C" w:rsidP="004C564C">
      <w:pPr>
        <w:autoSpaceDE w:val="0"/>
        <w:autoSpaceDN w:val="0"/>
        <w:adjustRightInd w:val="0"/>
        <w:rPr>
          <w:rFonts w:cs="Arial"/>
          <w:szCs w:val="24"/>
        </w:rPr>
      </w:pPr>
    </w:p>
    <w:p w:rsidR="004C564C" w:rsidRPr="00FF4BC0" w:rsidRDefault="004C564C" w:rsidP="004C564C">
      <w:pPr>
        <w:autoSpaceDE w:val="0"/>
        <w:autoSpaceDN w:val="0"/>
        <w:adjustRightInd w:val="0"/>
        <w:rPr>
          <w:rFonts w:cs="Arial"/>
          <w:szCs w:val="24"/>
        </w:rPr>
      </w:pPr>
      <w:r w:rsidRPr="00FF4BC0">
        <w:rPr>
          <w:rFonts w:cs="Arial"/>
          <w:szCs w:val="24"/>
        </w:rPr>
        <w:t>Department for Education (DfE) guidance relating to stage 1 of the consultation process is contained within 'Expanding a Maintained Mainstream School by</w:t>
      </w:r>
    </w:p>
    <w:p w:rsidR="004C564C" w:rsidRPr="00FF4BC0" w:rsidRDefault="004C564C" w:rsidP="004C564C">
      <w:pPr>
        <w:autoSpaceDE w:val="0"/>
        <w:autoSpaceDN w:val="0"/>
        <w:adjustRightInd w:val="0"/>
        <w:rPr>
          <w:rFonts w:cs="Arial"/>
          <w:szCs w:val="24"/>
        </w:rPr>
      </w:pPr>
      <w:r w:rsidRPr="00FF4BC0">
        <w:rPr>
          <w:rFonts w:cs="Arial"/>
          <w:szCs w:val="24"/>
        </w:rPr>
        <w:t>Enlargement or Adding a Sixth Form' published by the then named Department for</w:t>
      </w:r>
    </w:p>
    <w:p w:rsidR="004C564C" w:rsidRPr="00FF4BC0" w:rsidRDefault="004C564C" w:rsidP="004C564C">
      <w:pPr>
        <w:autoSpaceDE w:val="0"/>
        <w:autoSpaceDN w:val="0"/>
        <w:adjustRightInd w:val="0"/>
        <w:rPr>
          <w:rFonts w:cs="Arial"/>
          <w:szCs w:val="24"/>
        </w:rPr>
      </w:pPr>
      <w:r w:rsidRPr="00FF4BC0">
        <w:rPr>
          <w:rFonts w:cs="Arial"/>
          <w:szCs w:val="24"/>
        </w:rPr>
        <w:t>Children, Schools and Families. The guidance relates to special schools as well as</w:t>
      </w:r>
    </w:p>
    <w:p w:rsidR="004C564C" w:rsidRPr="00FF4BC0" w:rsidRDefault="009C2D17" w:rsidP="004C564C">
      <w:pPr>
        <w:autoSpaceDE w:val="0"/>
        <w:autoSpaceDN w:val="0"/>
        <w:adjustRightInd w:val="0"/>
        <w:rPr>
          <w:rFonts w:cs="Arial"/>
          <w:szCs w:val="24"/>
        </w:rPr>
      </w:pPr>
      <w:proofErr w:type="gramStart"/>
      <w:r>
        <w:rPr>
          <w:rFonts w:cs="Arial"/>
          <w:szCs w:val="24"/>
        </w:rPr>
        <w:t>m</w:t>
      </w:r>
      <w:r w:rsidRPr="00FF4BC0">
        <w:rPr>
          <w:rFonts w:cs="Arial"/>
          <w:szCs w:val="24"/>
        </w:rPr>
        <w:t>ainstream</w:t>
      </w:r>
      <w:proofErr w:type="gramEnd"/>
      <w:r w:rsidR="004C564C" w:rsidRPr="00FF4BC0">
        <w:rPr>
          <w:rFonts w:cs="Arial"/>
          <w:szCs w:val="24"/>
        </w:rPr>
        <w:t xml:space="preserve"> schools. The proposers (in this case the Local Authority (LA)) must</w:t>
      </w:r>
    </w:p>
    <w:p w:rsidR="004C564C" w:rsidRPr="00FF4BC0" w:rsidRDefault="009C2D17" w:rsidP="004C564C">
      <w:pPr>
        <w:autoSpaceDE w:val="0"/>
        <w:autoSpaceDN w:val="0"/>
        <w:adjustRightInd w:val="0"/>
        <w:rPr>
          <w:rFonts w:cs="Arial"/>
          <w:szCs w:val="24"/>
        </w:rPr>
      </w:pPr>
      <w:r w:rsidRPr="00FF4BC0">
        <w:rPr>
          <w:rFonts w:cs="Arial"/>
          <w:szCs w:val="24"/>
        </w:rPr>
        <w:t>Consult</w:t>
      </w:r>
      <w:r w:rsidR="004C564C" w:rsidRPr="00FF4BC0">
        <w:rPr>
          <w:rFonts w:cs="Arial"/>
          <w:szCs w:val="24"/>
        </w:rPr>
        <w:t xml:space="preserve"> interested parties and in so doing must have regard to the Secretary of</w:t>
      </w:r>
    </w:p>
    <w:p w:rsidR="004C564C" w:rsidRPr="00FF4BC0" w:rsidRDefault="004C564C" w:rsidP="004C564C">
      <w:pPr>
        <w:autoSpaceDE w:val="0"/>
        <w:autoSpaceDN w:val="0"/>
        <w:adjustRightInd w:val="0"/>
        <w:rPr>
          <w:rFonts w:cs="Arial"/>
          <w:szCs w:val="24"/>
        </w:rPr>
      </w:pPr>
      <w:r w:rsidRPr="00FF4BC0">
        <w:rPr>
          <w:rFonts w:cs="Arial"/>
          <w:szCs w:val="24"/>
        </w:rPr>
        <w:t>State's guidance. The relevant guidance is listed below together with the action the</w:t>
      </w:r>
    </w:p>
    <w:p w:rsidR="004C564C" w:rsidRPr="00FF4BC0" w:rsidRDefault="004C564C" w:rsidP="004C564C">
      <w:pPr>
        <w:autoSpaceDE w:val="0"/>
        <w:autoSpaceDN w:val="0"/>
        <w:adjustRightInd w:val="0"/>
        <w:rPr>
          <w:rFonts w:cs="Arial"/>
          <w:szCs w:val="24"/>
        </w:rPr>
      </w:pPr>
      <w:r w:rsidRPr="00FF4BC0">
        <w:rPr>
          <w:rFonts w:cs="Arial"/>
          <w:szCs w:val="24"/>
        </w:rPr>
        <w:t>LA has taken in compliance:</w:t>
      </w:r>
    </w:p>
    <w:p w:rsidR="004C564C" w:rsidRPr="00FF4BC0" w:rsidRDefault="004C564C" w:rsidP="004C564C">
      <w:pPr>
        <w:autoSpaceDE w:val="0"/>
        <w:autoSpaceDN w:val="0"/>
        <w:adjustRightInd w:val="0"/>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3"/>
      </w:tblGrid>
      <w:tr w:rsidR="004C564C" w:rsidRPr="00FF4BC0" w:rsidTr="004C564C">
        <w:tc>
          <w:tcPr>
            <w:tcW w:w="9243" w:type="dxa"/>
          </w:tcPr>
          <w:p w:rsidR="004C564C" w:rsidRPr="00FF4BC0" w:rsidRDefault="004C564C" w:rsidP="004C564C">
            <w:pPr>
              <w:pStyle w:val="BodyText"/>
              <w:rPr>
                <w:rFonts w:cs="Arial"/>
                <w:szCs w:val="24"/>
              </w:rPr>
            </w:pPr>
            <w:r w:rsidRPr="00FF4BC0">
              <w:rPr>
                <w:rFonts w:cs="Arial"/>
                <w:b/>
                <w:szCs w:val="24"/>
              </w:rPr>
              <w:t>(Para 1.1)</w:t>
            </w:r>
            <w:r w:rsidRPr="00FF4BC0">
              <w:rPr>
                <w:rFonts w:cs="Arial"/>
                <w:szCs w:val="24"/>
              </w:rPr>
              <w:t xml:space="preserve"> The proposal should be specific, not a range of options, for the consultation to qualify under the terms the Education and Inspections Act 2006. </w:t>
            </w:r>
          </w:p>
          <w:p w:rsidR="004C564C" w:rsidRPr="00FF4BC0" w:rsidRDefault="004C564C" w:rsidP="004C564C">
            <w:pPr>
              <w:pStyle w:val="BodyText"/>
              <w:rPr>
                <w:rFonts w:cs="Arial"/>
                <w:szCs w:val="24"/>
              </w:rPr>
            </w:pPr>
          </w:p>
          <w:p w:rsidR="004C564C" w:rsidRPr="00FF4BC0" w:rsidRDefault="004C564C" w:rsidP="004C564C">
            <w:pPr>
              <w:pStyle w:val="BodyText"/>
              <w:rPr>
                <w:rFonts w:cs="Arial"/>
                <w:bCs/>
                <w:szCs w:val="24"/>
              </w:rPr>
            </w:pPr>
            <w:r w:rsidRPr="00FF4BC0">
              <w:rPr>
                <w:rFonts w:cs="Arial"/>
                <w:b/>
                <w:szCs w:val="24"/>
              </w:rPr>
              <w:t xml:space="preserve">Arrangements: </w:t>
            </w:r>
            <w:r w:rsidRPr="00FF4BC0">
              <w:rPr>
                <w:rFonts w:cs="Arial"/>
                <w:szCs w:val="24"/>
              </w:rPr>
              <w:t xml:space="preserve">  </w:t>
            </w:r>
            <w:r w:rsidRPr="00FF4BC0">
              <w:rPr>
                <w:rFonts w:cs="Arial"/>
                <w:bCs/>
                <w:szCs w:val="24"/>
              </w:rPr>
              <w:t>The consultation information provided a specific proposal.</w:t>
            </w:r>
          </w:p>
          <w:p w:rsidR="004C564C" w:rsidRPr="00FF4BC0" w:rsidRDefault="004C564C" w:rsidP="004C564C">
            <w:pPr>
              <w:pStyle w:val="BodyText"/>
              <w:rPr>
                <w:rFonts w:cs="Arial"/>
                <w:szCs w:val="24"/>
              </w:rPr>
            </w:pPr>
          </w:p>
        </w:tc>
      </w:tr>
      <w:tr w:rsidR="004C564C" w:rsidRPr="00FF4BC0" w:rsidTr="004C564C">
        <w:tc>
          <w:tcPr>
            <w:tcW w:w="9243" w:type="dxa"/>
          </w:tcPr>
          <w:p w:rsidR="004C564C" w:rsidRPr="00FF4BC0" w:rsidRDefault="004C564C" w:rsidP="004C564C">
            <w:pPr>
              <w:rPr>
                <w:rFonts w:cs="Arial"/>
                <w:szCs w:val="24"/>
              </w:rPr>
            </w:pPr>
            <w:r w:rsidRPr="00FF4BC0">
              <w:rPr>
                <w:rFonts w:cs="Arial"/>
                <w:b/>
                <w:szCs w:val="24"/>
              </w:rPr>
              <w:t>(Para 1.2)</w:t>
            </w:r>
            <w:r w:rsidRPr="00FF4BC0">
              <w:rPr>
                <w:rFonts w:cs="Arial"/>
                <w:szCs w:val="24"/>
              </w:rPr>
              <w:t xml:space="preserve"> Proposers should (a) allow adequate time; (b) provide sufficient information for those being consulted to form a considered view on the matters on which they are being consulted; (c) make clear how their views can be made known; and (d) be able to demonstrate how they have taken into account the views expressed during consultation in reaching any subsequent decision as to the publication of proposals. </w:t>
            </w:r>
          </w:p>
          <w:p w:rsidR="004C564C" w:rsidRPr="00FF4BC0" w:rsidRDefault="004C564C" w:rsidP="004C564C">
            <w:pPr>
              <w:jc w:val="both"/>
              <w:rPr>
                <w:rFonts w:cs="Arial"/>
                <w:bCs/>
                <w:szCs w:val="24"/>
              </w:rPr>
            </w:pPr>
            <w:r w:rsidRPr="00FF4BC0">
              <w:rPr>
                <w:rFonts w:cs="Arial"/>
                <w:b/>
                <w:bCs/>
                <w:szCs w:val="24"/>
              </w:rPr>
              <w:t>Arrangements</w:t>
            </w:r>
            <w:r w:rsidRPr="00FF4BC0">
              <w:rPr>
                <w:rFonts w:cs="Arial"/>
                <w:b/>
                <w:bCs/>
                <w:i/>
                <w:iCs/>
                <w:szCs w:val="24"/>
              </w:rPr>
              <w:t>:</w:t>
            </w:r>
            <w:r w:rsidRPr="00FF4BC0">
              <w:rPr>
                <w:rFonts w:cs="Arial"/>
                <w:b/>
                <w:szCs w:val="24"/>
              </w:rPr>
              <w:t xml:space="preserve"> </w:t>
            </w:r>
            <w:r w:rsidRPr="00FF4BC0">
              <w:rPr>
                <w:rFonts w:cs="Arial"/>
                <w:bCs/>
                <w:szCs w:val="24"/>
              </w:rPr>
              <w:t xml:space="preserve">(a) the stage 1 consultation period ran from 18 November 2013 to </w:t>
            </w:r>
            <w:r w:rsidRPr="00FF4BC0">
              <w:rPr>
                <w:rFonts w:cs="Arial"/>
                <w:bCs/>
                <w:szCs w:val="24"/>
              </w:rPr>
              <w:lastRenderedPageBreak/>
              <w:t>20 December</w:t>
            </w:r>
            <w:r w:rsidR="008C682E" w:rsidRPr="00FF4BC0">
              <w:rPr>
                <w:rFonts w:cs="Arial"/>
                <w:bCs/>
                <w:szCs w:val="24"/>
              </w:rPr>
              <w:t xml:space="preserve"> 2013 i.e. 5</w:t>
            </w:r>
            <w:r w:rsidRPr="00FF4BC0">
              <w:rPr>
                <w:rFonts w:cs="Arial"/>
                <w:bCs/>
                <w:szCs w:val="24"/>
              </w:rPr>
              <w:t xml:space="preserve"> weeks during school term time; </w:t>
            </w:r>
            <w:r w:rsidRPr="00FF4BC0">
              <w:rPr>
                <w:rFonts w:cs="Arial"/>
                <w:bCs/>
                <w:spacing w:val="-6"/>
                <w:szCs w:val="24"/>
              </w:rPr>
              <w:t xml:space="preserve">(b) the consultation document (at Appendix 'A') provided full details of the proposal and a consultation event was held at school on </w:t>
            </w:r>
            <w:r w:rsidR="008C682E" w:rsidRPr="00FF4BC0">
              <w:rPr>
                <w:rFonts w:cs="Arial"/>
                <w:bCs/>
                <w:spacing w:val="-6"/>
                <w:szCs w:val="24"/>
              </w:rPr>
              <w:t>5 December</w:t>
            </w:r>
            <w:r w:rsidRPr="00FF4BC0">
              <w:rPr>
                <w:rFonts w:cs="Arial"/>
                <w:bCs/>
                <w:spacing w:val="-6"/>
                <w:szCs w:val="24"/>
              </w:rPr>
              <w:t xml:space="preserve"> 2013 for parents, staff, governors and other interested parties;</w:t>
            </w:r>
            <w:r w:rsidRPr="00FF4BC0">
              <w:rPr>
                <w:rFonts w:cs="Arial"/>
                <w:bCs/>
                <w:szCs w:val="24"/>
              </w:rPr>
              <w:t xml:space="preserve"> (c) the consultation</w:t>
            </w:r>
            <w:r w:rsidR="008C682E" w:rsidRPr="00FF4BC0">
              <w:rPr>
                <w:rFonts w:cs="Arial"/>
                <w:bCs/>
                <w:szCs w:val="24"/>
              </w:rPr>
              <w:t xml:space="preserve"> document (Appendix 'A' pages 8, 11 and 12</w:t>
            </w:r>
            <w:r w:rsidRPr="00FF4BC0">
              <w:rPr>
                <w:rFonts w:cs="Arial"/>
                <w:bCs/>
                <w:szCs w:val="24"/>
              </w:rPr>
              <w:t xml:space="preserve"> refers) provided information on how to make views known; (d) this report provides an analysis of views expressed which will be taken into account prior to making a decision as to the publication of proposals.  All written comments received will also be available in the Member's Retiring Room for further scrutiny. </w:t>
            </w:r>
          </w:p>
          <w:p w:rsidR="004C564C" w:rsidRPr="00FF4BC0" w:rsidRDefault="004C564C" w:rsidP="004C564C">
            <w:pPr>
              <w:jc w:val="both"/>
              <w:rPr>
                <w:rFonts w:cs="Arial"/>
                <w:b/>
                <w:szCs w:val="24"/>
              </w:rPr>
            </w:pPr>
          </w:p>
        </w:tc>
      </w:tr>
      <w:tr w:rsidR="004C564C" w:rsidRPr="00FF4BC0" w:rsidTr="004C564C">
        <w:tc>
          <w:tcPr>
            <w:tcW w:w="9243" w:type="dxa"/>
          </w:tcPr>
          <w:p w:rsidR="004C564C" w:rsidRPr="00FF4BC0" w:rsidRDefault="004C564C" w:rsidP="004C564C">
            <w:pPr>
              <w:rPr>
                <w:rFonts w:cs="Arial"/>
                <w:szCs w:val="24"/>
              </w:rPr>
            </w:pPr>
            <w:r w:rsidRPr="00FF4BC0">
              <w:rPr>
                <w:rFonts w:cs="Arial"/>
                <w:b/>
                <w:szCs w:val="24"/>
              </w:rPr>
              <w:lastRenderedPageBreak/>
              <w:t xml:space="preserve">(Para 1.3) </w:t>
            </w:r>
            <w:r w:rsidRPr="00FF4BC0">
              <w:rPr>
                <w:rFonts w:cs="Arial"/>
                <w:szCs w:val="24"/>
              </w:rPr>
              <w:t xml:space="preserve">provides a statutory list of those to be consulted </w:t>
            </w:r>
          </w:p>
          <w:p w:rsidR="004C564C" w:rsidRPr="00FF4BC0" w:rsidRDefault="004C564C" w:rsidP="004C564C">
            <w:pPr>
              <w:rPr>
                <w:rFonts w:cs="Arial"/>
                <w:bCs/>
                <w:szCs w:val="24"/>
              </w:rPr>
            </w:pPr>
          </w:p>
          <w:p w:rsidR="004C564C" w:rsidRPr="00FF4BC0" w:rsidRDefault="004C564C" w:rsidP="004C564C">
            <w:pPr>
              <w:rPr>
                <w:rFonts w:cs="Arial"/>
                <w:szCs w:val="24"/>
              </w:rPr>
            </w:pPr>
            <w:r w:rsidRPr="00FF4BC0">
              <w:rPr>
                <w:rFonts w:cs="Arial"/>
                <w:b/>
                <w:bCs/>
                <w:szCs w:val="24"/>
              </w:rPr>
              <w:t>Arrangements:</w:t>
            </w:r>
            <w:r w:rsidRPr="00FF4BC0">
              <w:rPr>
                <w:rFonts w:cs="Arial"/>
                <w:bCs/>
                <w:szCs w:val="24"/>
              </w:rPr>
              <w:t xml:space="preserve"> </w:t>
            </w:r>
            <w:r w:rsidRPr="00FF4BC0">
              <w:rPr>
                <w:rFonts w:cs="Arial"/>
                <w:szCs w:val="24"/>
              </w:rPr>
              <w:t>all on the statutory list were</w:t>
            </w:r>
            <w:r w:rsidR="008C682E" w:rsidRPr="00FF4BC0">
              <w:rPr>
                <w:rFonts w:cs="Arial"/>
                <w:szCs w:val="24"/>
              </w:rPr>
              <w:t xml:space="preserve"> consulted (Appendix 'A' page 7</w:t>
            </w:r>
            <w:r w:rsidRPr="00FF4BC0">
              <w:rPr>
                <w:rFonts w:cs="Arial"/>
                <w:szCs w:val="24"/>
              </w:rPr>
              <w:t xml:space="preserve"> refers) </w:t>
            </w:r>
          </w:p>
          <w:p w:rsidR="004C564C" w:rsidRPr="00FF4BC0" w:rsidRDefault="004C564C" w:rsidP="004C564C">
            <w:pPr>
              <w:rPr>
                <w:rFonts w:cs="Arial"/>
                <w:b/>
                <w:szCs w:val="24"/>
              </w:rPr>
            </w:pPr>
          </w:p>
        </w:tc>
      </w:tr>
      <w:tr w:rsidR="004C564C" w:rsidRPr="00FF4BC0" w:rsidTr="004C564C">
        <w:trPr>
          <w:cantSplit/>
        </w:trPr>
        <w:tc>
          <w:tcPr>
            <w:tcW w:w="9243" w:type="dxa"/>
          </w:tcPr>
          <w:p w:rsidR="004C564C" w:rsidRPr="00FF4BC0" w:rsidRDefault="004C564C" w:rsidP="004C564C">
            <w:pPr>
              <w:rPr>
                <w:rFonts w:cs="Arial"/>
                <w:szCs w:val="24"/>
              </w:rPr>
            </w:pPr>
            <w:r w:rsidRPr="00FF4BC0">
              <w:rPr>
                <w:rFonts w:cs="Arial"/>
                <w:b/>
                <w:szCs w:val="24"/>
              </w:rPr>
              <w:t xml:space="preserve">(Para 1.4) </w:t>
            </w:r>
            <w:r w:rsidRPr="00FF4BC0">
              <w:rPr>
                <w:rFonts w:cs="Arial"/>
                <w:szCs w:val="24"/>
              </w:rPr>
              <w:t xml:space="preserve">refers to the duty to consult pupils on any proposed changes to local school organisation that may affect them.  </w:t>
            </w:r>
          </w:p>
          <w:p w:rsidR="004C564C" w:rsidRPr="00FF4BC0" w:rsidRDefault="004C564C" w:rsidP="004C564C">
            <w:pPr>
              <w:rPr>
                <w:rFonts w:cs="Arial"/>
                <w:bCs/>
                <w:szCs w:val="24"/>
              </w:rPr>
            </w:pPr>
          </w:p>
          <w:p w:rsidR="004C564C" w:rsidRPr="00990C2C" w:rsidRDefault="004C564C" w:rsidP="004C564C">
            <w:pPr>
              <w:jc w:val="both"/>
              <w:rPr>
                <w:rFonts w:cs="Arial"/>
                <w:bCs/>
                <w:szCs w:val="24"/>
              </w:rPr>
            </w:pPr>
            <w:r w:rsidRPr="00FF4BC0">
              <w:rPr>
                <w:rFonts w:cs="Arial"/>
                <w:b/>
                <w:bCs/>
                <w:szCs w:val="24"/>
              </w:rPr>
              <w:t>Arrangements:</w:t>
            </w:r>
            <w:r w:rsidRPr="00FF4BC0">
              <w:rPr>
                <w:rFonts w:cs="Arial"/>
                <w:b/>
                <w:szCs w:val="24"/>
              </w:rPr>
              <w:t xml:space="preserve"> </w:t>
            </w:r>
            <w:r w:rsidRPr="00FF4BC0">
              <w:rPr>
                <w:rFonts w:cs="Arial"/>
                <w:bCs/>
                <w:szCs w:val="24"/>
              </w:rPr>
              <w:t xml:space="preserve">Pupils' views were invited through the consultation arrangements </w:t>
            </w:r>
            <w:r w:rsidRPr="00990C2C">
              <w:rPr>
                <w:rFonts w:cs="Arial"/>
                <w:bCs/>
                <w:szCs w:val="24"/>
              </w:rPr>
              <w:t>and a separate consultation event was held with pupils at the school (</w:t>
            </w:r>
            <w:r w:rsidR="00990C2C" w:rsidRPr="00990C2C">
              <w:rPr>
                <w:rFonts w:cs="Arial"/>
                <w:bCs/>
                <w:szCs w:val="24"/>
              </w:rPr>
              <w:t>contained at Appendix B</w:t>
            </w:r>
            <w:r w:rsidRPr="00990C2C">
              <w:rPr>
                <w:rFonts w:cs="Arial"/>
                <w:bCs/>
                <w:szCs w:val="24"/>
              </w:rPr>
              <w:t xml:space="preserve">). </w:t>
            </w:r>
          </w:p>
          <w:p w:rsidR="004C564C" w:rsidRPr="00FF4BC0" w:rsidRDefault="004C564C" w:rsidP="004C564C">
            <w:pPr>
              <w:jc w:val="both"/>
              <w:rPr>
                <w:rFonts w:cs="Arial"/>
                <w:bCs/>
                <w:szCs w:val="24"/>
              </w:rPr>
            </w:pPr>
          </w:p>
        </w:tc>
      </w:tr>
      <w:tr w:rsidR="004C564C" w:rsidRPr="00FF4BC0" w:rsidTr="004C564C">
        <w:trPr>
          <w:cantSplit/>
        </w:trPr>
        <w:tc>
          <w:tcPr>
            <w:tcW w:w="9243" w:type="dxa"/>
            <w:tcBorders>
              <w:top w:val="single" w:sz="4" w:space="0" w:color="auto"/>
              <w:left w:val="single" w:sz="4" w:space="0" w:color="auto"/>
              <w:bottom w:val="single" w:sz="4" w:space="0" w:color="auto"/>
              <w:right w:val="single" w:sz="4" w:space="0" w:color="auto"/>
            </w:tcBorders>
          </w:tcPr>
          <w:p w:rsidR="004C564C" w:rsidRPr="00FF4BC0" w:rsidRDefault="004C564C" w:rsidP="004C564C">
            <w:pPr>
              <w:rPr>
                <w:rFonts w:cs="Arial"/>
                <w:szCs w:val="24"/>
              </w:rPr>
            </w:pPr>
            <w:r w:rsidRPr="00FF4BC0">
              <w:rPr>
                <w:rFonts w:cs="Arial"/>
                <w:b/>
                <w:szCs w:val="24"/>
              </w:rPr>
              <w:t>(Para 1.5)</w:t>
            </w:r>
            <w:r w:rsidRPr="00FF4BC0">
              <w:rPr>
                <w:rFonts w:cs="Arial"/>
                <w:szCs w:val="24"/>
              </w:rPr>
              <w:t xml:space="preserve"> It is for proposers to decide what their consultation arrangements will be and for example, whether to hold public meetings. It is recommended that stage 1 consu</w:t>
            </w:r>
            <w:r w:rsidR="008C682E" w:rsidRPr="00FF4BC0">
              <w:rPr>
                <w:rFonts w:cs="Arial"/>
                <w:szCs w:val="24"/>
              </w:rPr>
              <w:t>ltation should be for at least 4</w:t>
            </w:r>
            <w:r w:rsidRPr="00FF4BC0">
              <w:rPr>
                <w:rFonts w:cs="Arial"/>
                <w:szCs w:val="24"/>
              </w:rPr>
              <w:t xml:space="preserve"> weeks during term time. </w:t>
            </w:r>
          </w:p>
          <w:p w:rsidR="004C564C" w:rsidRPr="00FF4BC0" w:rsidRDefault="004C564C" w:rsidP="004C564C">
            <w:pPr>
              <w:rPr>
                <w:rFonts w:cs="Arial"/>
                <w:szCs w:val="24"/>
              </w:rPr>
            </w:pPr>
          </w:p>
          <w:p w:rsidR="004C564C" w:rsidRPr="00FF4BC0" w:rsidRDefault="004C564C" w:rsidP="004C564C">
            <w:pPr>
              <w:rPr>
                <w:rFonts w:cs="Arial"/>
                <w:szCs w:val="24"/>
              </w:rPr>
            </w:pPr>
            <w:r w:rsidRPr="00FF4BC0">
              <w:rPr>
                <w:rFonts w:cs="Arial"/>
                <w:b/>
                <w:szCs w:val="24"/>
              </w:rPr>
              <w:t>Arrangements:</w:t>
            </w:r>
            <w:r w:rsidRPr="00FF4BC0">
              <w:rPr>
                <w:rFonts w:cs="Arial"/>
                <w:szCs w:val="24"/>
              </w:rPr>
              <w:t xml:space="preserve"> A consultation document was provided (Appendix A) and widely circulated. After consulting the school it was decided to arrange a drop in consultation evening wh</w:t>
            </w:r>
            <w:r w:rsidR="008C682E" w:rsidRPr="00FF4BC0">
              <w:rPr>
                <w:rFonts w:cs="Arial"/>
                <w:szCs w:val="24"/>
              </w:rPr>
              <w:t>ich was held at the school on 5 December</w:t>
            </w:r>
            <w:r w:rsidRPr="00FF4BC0">
              <w:rPr>
                <w:rFonts w:cs="Arial"/>
                <w:szCs w:val="24"/>
              </w:rPr>
              <w:t xml:space="preserve"> 20</w:t>
            </w:r>
            <w:r w:rsidR="008C682E" w:rsidRPr="00FF4BC0">
              <w:rPr>
                <w:rFonts w:cs="Arial"/>
                <w:szCs w:val="24"/>
              </w:rPr>
              <w:t>13.  Consultation was held for 5</w:t>
            </w:r>
            <w:r w:rsidRPr="00FF4BC0">
              <w:rPr>
                <w:rFonts w:cs="Arial"/>
                <w:szCs w:val="24"/>
              </w:rPr>
              <w:t xml:space="preserve"> </w:t>
            </w:r>
            <w:r w:rsidR="008C682E" w:rsidRPr="00FF4BC0">
              <w:rPr>
                <w:rFonts w:cs="Arial"/>
                <w:szCs w:val="24"/>
              </w:rPr>
              <w:t xml:space="preserve">weeks </w:t>
            </w:r>
            <w:r w:rsidRPr="00FF4BC0">
              <w:rPr>
                <w:rFonts w:cs="Arial"/>
                <w:szCs w:val="24"/>
              </w:rPr>
              <w:t xml:space="preserve">during </w:t>
            </w:r>
            <w:r w:rsidR="008C682E" w:rsidRPr="00FF4BC0">
              <w:rPr>
                <w:rFonts w:cs="Arial"/>
                <w:szCs w:val="24"/>
              </w:rPr>
              <w:t xml:space="preserve">school </w:t>
            </w:r>
            <w:r w:rsidRPr="00FF4BC0">
              <w:rPr>
                <w:rFonts w:cs="Arial"/>
                <w:szCs w:val="24"/>
              </w:rPr>
              <w:t>term time.</w:t>
            </w:r>
          </w:p>
          <w:p w:rsidR="004C564C" w:rsidRPr="00FF4BC0" w:rsidRDefault="004C564C" w:rsidP="004C564C">
            <w:pPr>
              <w:rPr>
                <w:rFonts w:cs="Arial"/>
                <w:szCs w:val="24"/>
              </w:rPr>
            </w:pPr>
          </w:p>
        </w:tc>
      </w:tr>
      <w:tr w:rsidR="004C564C" w:rsidRPr="00FF4BC0" w:rsidTr="004C564C">
        <w:trPr>
          <w:cantSplit/>
        </w:trPr>
        <w:tc>
          <w:tcPr>
            <w:tcW w:w="9243" w:type="dxa"/>
            <w:tcBorders>
              <w:top w:val="single" w:sz="4" w:space="0" w:color="auto"/>
              <w:left w:val="single" w:sz="4" w:space="0" w:color="auto"/>
              <w:bottom w:val="single" w:sz="4" w:space="0" w:color="auto"/>
              <w:right w:val="single" w:sz="4" w:space="0" w:color="auto"/>
            </w:tcBorders>
          </w:tcPr>
          <w:p w:rsidR="004C564C" w:rsidRPr="00FF4BC0" w:rsidRDefault="004C564C" w:rsidP="004C564C">
            <w:pPr>
              <w:rPr>
                <w:rFonts w:cs="Arial"/>
                <w:szCs w:val="24"/>
              </w:rPr>
            </w:pPr>
            <w:r w:rsidRPr="00FF4BC0">
              <w:rPr>
                <w:rFonts w:cs="Arial"/>
                <w:b/>
                <w:szCs w:val="24"/>
              </w:rPr>
              <w:t>(Para 1.6)</w:t>
            </w:r>
            <w:r w:rsidRPr="00FF4BC0">
              <w:rPr>
                <w:rFonts w:cs="Arial"/>
                <w:szCs w:val="24"/>
              </w:rPr>
              <w:t xml:space="preserve"> The proposer should consider the views expressed during the consultation period before reaching a decision on whether to publish statutory proposals, including whether it wishes to consider any new options that may have arisen. </w:t>
            </w:r>
          </w:p>
          <w:p w:rsidR="004C564C" w:rsidRPr="00FF4BC0" w:rsidRDefault="004C564C" w:rsidP="004C564C">
            <w:pPr>
              <w:rPr>
                <w:rFonts w:cs="Arial"/>
                <w:szCs w:val="24"/>
              </w:rPr>
            </w:pPr>
          </w:p>
          <w:p w:rsidR="004C564C" w:rsidRPr="00FF4BC0" w:rsidRDefault="004C564C" w:rsidP="004C564C">
            <w:pPr>
              <w:rPr>
                <w:rFonts w:cs="Arial"/>
                <w:bCs/>
                <w:szCs w:val="24"/>
              </w:rPr>
            </w:pPr>
            <w:r w:rsidRPr="00FF4BC0">
              <w:rPr>
                <w:rFonts w:cs="Arial"/>
                <w:b/>
                <w:szCs w:val="24"/>
              </w:rPr>
              <w:t>Arrangements:</w:t>
            </w:r>
            <w:r w:rsidRPr="00FF4BC0">
              <w:rPr>
                <w:rFonts w:cs="Arial"/>
                <w:szCs w:val="24"/>
              </w:rPr>
              <w:t xml:space="preserve"> the consultation response section below reports views that were expressed.  </w:t>
            </w:r>
            <w:r w:rsidRPr="00FF4BC0">
              <w:rPr>
                <w:rFonts w:cs="Arial"/>
                <w:bCs/>
                <w:szCs w:val="24"/>
              </w:rPr>
              <w:t xml:space="preserve">All written comments received will also be available in the Member's Retiring Room for further scrutiny. </w:t>
            </w:r>
          </w:p>
          <w:p w:rsidR="004C564C" w:rsidRPr="00FF4BC0" w:rsidRDefault="004C564C" w:rsidP="004C564C">
            <w:pPr>
              <w:rPr>
                <w:rFonts w:cs="Arial"/>
                <w:bCs/>
                <w:szCs w:val="24"/>
              </w:rPr>
            </w:pPr>
          </w:p>
          <w:p w:rsidR="004C564C" w:rsidRPr="00FF4BC0" w:rsidRDefault="004C564C" w:rsidP="004C564C">
            <w:pPr>
              <w:rPr>
                <w:rFonts w:cs="Arial"/>
                <w:szCs w:val="24"/>
              </w:rPr>
            </w:pPr>
            <w:r w:rsidRPr="00990C2C">
              <w:rPr>
                <w:rFonts w:cs="Arial"/>
                <w:szCs w:val="24"/>
              </w:rPr>
              <w:t>No new options arose as a result of consultation.</w:t>
            </w:r>
          </w:p>
        </w:tc>
      </w:tr>
    </w:tbl>
    <w:p w:rsidR="00E75840" w:rsidRPr="00FF4BC0" w:rsidRDefault="00E75840">
      <w:pPr>
        <w:rPr>
          <w:rFonts w:cs="Arial"/>
          <w:b/>
          <w:szCs w:val="24"/>
        </w:rPr>
      </w:pPr>
    </w:p>
    <w:p w:rsidR="000D759D" w:rsidRPr="00FF4BC0" w:rsidRDefault="000D759D" w:rsidP="000D759D">
      <w:pPr>
        <w:autoSpaceDE w:val="0"/>
        <w:autoSpaceDN w:val="0"/>
        <w:adjustRightInd w:val="0"/>
        <w:rPr>
          <w:rFonts w:cs="Arial"/>
          <w:b/>
          <w:szCs w:val="24"/>
        </w:rPr>
      </w:pPr>
      <w:r w:rsidRPr="00FF4BC0">
        <w:rPr>
          <w:rFonts w:cs="Arial"/>
          <w:b/>
          <w:szCs w:val="24"/>
        </w:rPr>
        <w:t>Consultations</w:t>
      </w:r>
    </w:p>
    <w:p w:rsidR="000D759D" w:rsidRPr="00FF4BC0" w:rsidRDefault="000D759D" w:rsidP="000D759D">
      <w:pPr>
        <w:autoSpaceDE w:val="0"/>
        <w:autoSpaceDN w:val="0"/>
        <w:adjustRightInd w:val="0"/>
        <w:rPr>
          <w:rFonts w:cs="Arial"/>
          <w:b/>
          <w:szCs w:val="24"/>
        </w:rPr>
      </w:pPr>
    </w:p>
    <w:p w:rsidR="000D759D" w:rsidRDefault="000D759D" w:rsidP="000D759D">
      <w:pPr>
        <w:autoSpaceDE w:val="0"/>
        <w:autoSpaceDN w:val="0"/>
        <w:adjustRightInd w:val="0"/>
        <w:rPr>
          <w:rFonts w:cs="Arial"/>
          <w:szCs w:val="24"/>
        </w:rPr>
      </w:pPr>
      <w:r w:rsidRPr="00FF4BC0">
        <w:rPr>
          <w:rFonts w:cs="Arial"/>
          <w:szCs w:val="24"/>
        </w:rPr>
        <w:t xml:space="preserve">The consultation document asked whether people supported the expansion of Holly Grove School by increasing the number of places from 50 to 70 with effect from September 2014. </w:t>
      </w:r>
    </w:p>
    <w:p w:rsidR="00206A06" w:rsidRPr="00FF4BC0" w:rsidRDefault="00206A06" w:rsidP="000D759D">
      <w:pPr>
        <w:autoSpaceDE w:val="0"/>
        <w:autoSpaceDN w:val="0"/>
        <w:adjustRightInd w:val="0"/>
        <w:rPr>
          <w:rFonts w:cs="Arial"/>
          <w:szCs w:val="24"/>
        </w:rPr>
      </w:pPr>
    </w:p>
    <w:p w:rsidR="000D759D" w:rsidRPr="00FF4BC0" w:rsidRDefault="0092112B" w:rsidP="000D759D">
      <w:pPr>
        <w:rPr>
          <w:rFonts w:cs="Arial"/>
          <w:szCs w:val="24"/>
        </w:rPr>
      </w:pPr>
      <w:r w:rsidRPr="00FF4BC0">
        <w:rPr>
          <w:rFonts w:cs="Arial"/>
          <w:szCs w:val="24"/>
        </w:rPr>
        <w:t>11</w:t>
      </w:r>
      <w:r w:rsidR="000D759D" w:rsidRPr="00FF4BC0">
        <w:rPr>
          <w:rFonts w:cs="Arial"/>
          <w:szCs w:val="24"/>
        </w:rPr>
        <w:t xml:space="preserve"> written responses were received within the consultation period and </w:t>
      </w:r>
      <w:r w:rsidRPr="00FF4BC0">
        <w:rPr>
          <w:rFonts w:cs="Arial"/>
          <w:szCs w:val="24"/>
        </w:rPr>
        <w:t xml:space="preserve">two </w:t>
      </w:r>
      <w:r w:rsidR="00FF4BC0" w:rsidRPr="00FF4BC0">
        <w:rPr>
          <w:rFonts w:cs="Arial"/>
          <w:szCs w:val="24"/>
        </w:rPr>
        <w:t xml:space="preserve">more </w:t>
      </w:r>
      <w:r w:rsidRPr="00FF4BC0">
        <w:rPr>
          <w:rFonts w:cs="Arial"/>
          <w:szCs w:val="24"/>
        </w:rPr>
        <w:t>were received after the closing date, which have been included as part of the response. The results are summarised in the table below:</w:t>
      </w:r>
      <w:r w:rsidR="000D759D" w:rsidRPr="00FF4BC0">
        <w:rPr>
          <w:rFonts w:cs="Arial"/>
          <w:szCs w:val="24"/>
        </w:rPr>
        <w:t xml:space="preserve"> </w:t>
      </w:r>
    </w:p>
    <w:p w:rsidR="000D759D" w:rsidRDefault="000D759D" w:rsidP="000D759D">
      <w:pPr>
        <w:rPr>
          <w:rFonts w:cs="Arial"/>
          <w:szCs w:val="24"/>
        </w:rPr>
      </w:pPr>
    </w:p>
    <w:p w:rsidR="00967036" w:rsidRPr="00FF4BC0" w:rsidRDefault="00967036" w:rsidP="000D759D">
      <w:pPr>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8"/>
        <w:gridCol w:w="1848"/>
        <w:gridCol w:w="1849"/>
        <w:gridCol w:w="1849"/>
        <w:gridCol w:w="1849"/>
      </w:tblGrid>
      <w:tr w:rsidR="000D759D" w:rsidRPr="00FF4BC0" w:rsidTr="000D759D">
        <w:tc>
          <w:tcPr>
            <w:tcW w:w="1848" w:type="dxa"/>
          </w:tcPr>
          <w:p w:rsidR="000D759D" w:rsidRPr="00FF4BC0" w:rsidRDefault="000D759D" w:rsidP="000D759D">
            <w:pPr>
              <w:jc w:val="center"/>
              <w:rPr>
                <w:rFonts w:cs="Arial"/>
                <w:b/>
                <w:szCs w:val="24"/>
              </w:rPr>
            </w:pPr>
            <w:r w:rsidRPr="00FF4BC0">
              <w:rPr>
                <w:rFonts w:cs="Arial"/>
                <w:b/>
                <w:szCs w:val="24"/>
              </w:rPr>
              <w:t>Strongly agree</w:t>
            </w:r>
          </w:p>
        </w:tc>
        <w:tc>
          <w:tcPr>
            <w:tcW w:w="1848" w:type="dxa"/>
          </w:tcPr>
          <w:p w:rsidR="000D759D" w:rsidRPr="00FF4BC0" w:rsidRDefault="000D759D" w:rsidP="000D759D">
            <w:pPr>
              <w:jc w:val="center"/>
              <w:rPr>
                <w:rFonts w:cs="Arial"/>
                <w:b/>
                <w:szCs w:val="24"/>
              </w:rPr>
            </w:pPr>
            <w:r w:rsidRPr="00FF4BC0">
              <w:rPr>
                <w:rFonts w:cs="Arial"/>
                <w:b/>
                <w:szCs w:val="24"/>
              </w:rPr>
              <w:t>Agree</w:t>
            </w:r>
          </w:p>
        </w:tc>
        <w:tc>
          <w:tcPr>
            <w:tcW w:w="1849" w:type="dxa"/>
          </w:tcPr>
          <w:p w:rsidR="000D759D" w:rsidRPr="00FF4BC0" w:rsidRDefault="000D759D" w:rsidP="000D759D">
            <w:pPr>
              <w:jc w:val="center"/>
              <w:rPr>
                <w:rFonts w:cs="Arial"/>
                <w:b/>
                <w:szCs w:val="24"/>
              </w:rPr>
            </w:pPr>
            <w:r w:rsidRPr="00FF4BC0">
              <w:rPr>
                <w:rFonts w:cs="Arial"/>
                <w:b/>
                <w:szCs w:val="24"/>
              </w:rPr>
              <w:t>Neither agree nor disagree</w:t>
            </w:r>
          </w:p>
        </w:tc>
        <w:tc>
          <w:tcPr>
            <w:tcW w:w="1849" w:type="dxa"/>
          </w:tcPr>
          <w:p w:rsidR="000D759D" w:rsidRPr="00FF4BC0" w:rsidRDefault="000D759D" w:rsidP="000D759D">
            <w:pPr>
              <w:jc w:val="center"/>
              <w:rPr>
                <w:rFonts w:cs="Arial"/>
                <w:b/>
                <w:szCs w:val="24"/>
              </w:rPr>
            </w:pPr>
            <w:r w:rsidRPr="00FF4BC0">
              <w:rPr>
                <w:rFonts w:cs="Arial"/>
                <w:b/>
                <w:szCs w:val="24"/>
              </w:rPr>
              <w:t>Disagree</w:t>
            </w:r>
          </w:p>
        </w:tc>
        <w:tc>
          <w:tcPr>
            <w:tcW w:w="1849" w:type="dxa"/>
          </w:tcPr>
          <w:p w:rsidR="000D759D" w:rsidRPr="00FF4BC0" w:rsidRDefault="000D759D" w:rsidP="000D759D">
            <w:pPr>
              <w:jc w:val="center"/>
              <w:rPr>
                <w:rFonts w:cs="Arial"/>
                <w:b/>
                <w:szCs w:val="24"/>
              </w:rPr>
            </w:pPr>
            <w:r w:rsidRPr="00FF4BC0">
              <w:rPr>
                <w:rFonts w:cs="Arial"/>
                <w:b/>
                <w:szCs w:val="24"/>
              </w:rPr>
              <w:t>Strongly disagree</w:t>
            </w:r>
          </w:p>
        </w:tc>
      </w:tr>
      <w:tr w:rsidR="000D759D" w:rsidRPr="00FF4BC0" w:rsidTr="000D759D">
        <w:tc>
          <w:tcPr>
            <w:tcW w:w="1848" w:type="dxa"/>
            <w:vAlign w:val="center"/>
          </w:tcPr>
          <w:p w:rsidR="000D759D" w:rsidRPr="00FF4BC0" w:rsidRDefault="0092112B" w:rsidP="000D759D">
            <w:pPr>
              <w:spacing w:before="60" w:after="60"/>
              <w:jc w:val="center"/>
              <w:rPr>
                <w:rFonts w:cs="Arial"/>
                <w:szCs w:val="24"/>
              </w:rPr>
            </w:pPr>
            <w:r w:rsidRPr="00FF4BC0">
              <w:rPr>
                <w:rFonts w:cs="Arial"/>
                <w:szCs w:val="24"/>
              </w:rPr>
              <w:t>11</w:t>
            </w:r>
          </w:p>
        </w:tc>
        <w:tc>
          <w:tcPr>
            <w:tcW w:w="1848" w:type="dxa"/>
            <w:vAlign w:val="center"/>
          </w:tcPr>
          <w:p w:rsidR="000D759D" w:rsidRPr="00FF4BC0" w:rsidRDefault="0092112B" w:rsidP="000D759D">
            <w:pPr>
              <w:spacing w:before="60" w:after="60"/>
              <w:jc w:val="center"/>
              <w:rPr>
                <w:rFonts w:cs="Arial"/>
                <w:szCs w:val="24"/>
              </w:rPr>
            </w:pPr>
            <w:r w:rsidRPr="00FF4BC0">
              <w:rPr>
                <w:rFonts w:cs="Arial"/>
                <w:szCs w:val="24"/>
              </w:rPr>
              <w:t>1</w:t>
            </w:r>
          </w:p>
        </w:tc>
        <w:tc>
          <w:tcPr>
            <w:tcW w:w="1849" w:type="dxa"/>
            <w:vAlign w:val="center"/>
          </w:tcPr>
          <w:p w:rsidR="000D759D" w:rsidRPr="00FF4BC0" w:rsidRDefault="0092112B" w:rsidP="000D759D">
            <w:pPr>
              <w:spacing w:before="60" w:after="60"/>
              <w:jc w:val="center"/>
              <w:rPr>
                <w:rFonts w:cs="Arial"/>
                <w:szCs w:val="24"/>
              </w:rPr>
            </w:pPr>
            <w:r w:rsidRPr="00FF4BC0">
              <w:rPr>
                <w:rFonts w:cs="Arial"/>
                <w:szCs w:val="24"/>
              </w:rPr>
              <w:t>1</w:t>
            </w:r>
          </w:p>
        </w:tc>
        <w:tc>
          <w:tcPr>
            <w:tcW w:w="1849" w:type="dxa"/>
            <w:vAlign w:val="center"/>
          </w:tcPr>
          <w:p w:rsidR="000D759D" w:rsidRPr="00FF4BC0" w:rsidRDefault="000D759D" w:rsidP="000D759D">
            <w:pPr>
              <w:spacing w:before="60" w:after="60"/>
              <w:jc w:val="center"/>
              <w:rPr>
                <w:rFonts w:cs="Arial"/>
                <w:szCs w:val="24"/>
              </w:rPr>
            </w:pPr>
            <w:r w:rsidRPr="00FF4BC0">
              <w:rPr>
                <w:rFonts w:cs="Arial"/>
                <w:szCs w:val="24"/>
              </w:rPr>
              <w:t>0</w:t>
            </w:r>
          </w:p>
        </w:tc>
        <w:tc>
          <w:tcPr>
            <w:tcW w:w="1849" w:type="dxa"/>
            <w:vAlign w:val="center"/>
          </w:tcPr>
          <w:p w:rsidR="000D759D" w:rsidRPr="00FF4BC0" w:rsidRDefault="000D759D" w:rsidP="000D759D">
            <w:pPr>
              <w:spacing w:before="60" w:after="60"/>
              <w:jc w:val="center"/>
              <w:rPr>
                <w:rFonts w:cs="Arial"/>
                <w:szCs w:val="24"/>
              </w:rPr>
            </w:pPr>
            <w:r w:rsidRPr="00FF4BC0">
              <w:rPr>
                <w:rFonts w:cs="Arial"/>
                <w:szCs w:val="24"/>
              </w:rPr>
              <w:t>0</w:t>
            </w:r>
          </w:p>
        </w:tc>
      </w:tr>
    </w:tbl>
    <w:p w:rsidR="000D759D" w:rsidRPr="00FF4BC0" w:rsidRDefault="000D759D" w:rsidP="000D759D">
      <w:pPr>
        <w:rPr>
          <w:rFonts w:cs="Arial"/>
          <w:szCs w:val="24"/>
        </w:rPr>
      </w:pPr>
    </w:p>
    <w:p w:rsidR="000D759D" w:rsidRPr="00FF4BC0" w:rsidRDefault="000D759D" w:rsidP="000D759D">
      <w:pPr>
        <w:rPr>
          <w:rFonts w:cs="Arial"/>
          <w:szCs w:val="24"/>
        </w:rPr>
      </w:pPr>
      <w:r w:rsidRPr="00FF4BC0">
        <w:rPr>
          <w:rFonts w:cs="Arial"/>
          <w:szCs w:val="24"/>
        </w:rPr>
        <w:t>The number of</w:t>
      </w:r>
      <w:r w:rsidR="0092112B" w:rsidRPr="00FF4BC0">
        <w:rPr>
          <w:rFonts w:cs="Arial"/>
          <w:szCs w:val="24"/>
        </w:rPr>
        <w:t xml:space="preserve"> responses is lower than</w:t>
      </w:r>
      <w:r w:rsidRPr="00FF4BC0">
        <w:rPr>
          <w:rFonts w:cs="Arial"/>
          <w:szCs w:val="24"/>
        </w:rPr>
        <w:t xml:space="preserve"> for similar proposals in the past. </w:t>
      </w:r>
    </w:p>
    <w:p w:rsidR="000D759D" w:rsidRPr="00FF4BC0" w:rsidRDefault="000D759D" w:rsidP="000D759D">
      <w:pPr>
        <w:rPr>
          <w:rFonts w:cs="Arial"/>
          <w:szCs w:val="24"/>
        </w:rPr>
      </w:pPr>
    </w:p>
    <w:p w:rsidR="000D759D" w:rsidRPr="00FF4BC0" w:rsidRDefault="0092112B">
      <w:pPr>
        <w:rPr>
          <w:rFonts w:cs="Arial"/>
          <w:szCs w:val="24"/>
        </w:rPr>
      </w:pPr>
      <w:r w:rsidRPr="00FF4BC0">
        <w:rPr>
          <w:rFonts w:cs="Arial"/>
          <w:szCs w:val="24"/>
        </w:rPr>
        <w:t xml:space="preserve">The high level of support for the proposal came mainly from staff at Holly Grove School (5) and </w:t>
      </w:r>
      <w:proofErr w:type="spellStart"/>
      <w:r w:rsidRPr="00FF4BC0">
        <w:rPr>
          <w:rFonts w:cs="Arial"/>
          <w:szCs w:val="24"/>
        </w:rPr>
        <w:t>headteachers</w:t>
      </w:r>
      <w:proofErr w:type="spellEnd"/>
      <w:r w:rsidRPr="00FF4BC0">
        <w:rPr>
          <w:rFonts w:cs="Arial"/>
          <w:szCs w:val="24"/>
        </w:rPr>
        <w:t xml:space="preserve"> of other schools (3).  Other responses were from parents of pupils at Holly Grove (2), a Holly Grove governor (1); </w:t>
      </w:r>
      <w:r w:rsidR="00841A93" w:rsidRPr="00FF4BC0">
        <w:rPr>
          <w:rFonts w:cs="Arial"/>
          <w:szCs w:val="24"/>
        </w:rPr>
        <w:t xml:space="preserve">and </w:t>
      </w:r>
      <w:r w:rsidRPr="00FF4BC0">
        <w:rPr>
          <w:rFonts w:cs="Arial"/>
          <w:szCs w:val="24"/>
        </w:rPr>
        <w:t>a County Councillor (1)</w:t>
      </w:r>
      <w:r w:rsidR="00841A93" w:rsidRPr="00FF4BC0">
        <w:rPr>
          <w:rFonts w:cs="Arial"/>
          <w:szCs w:val="24"/>
        </w:rPr>
        <w:t>.  T</w:t>
      </w:r>
      <w:r w:rsidRPr="00FF4BC0">
        <w:rPr>
          <w:rFonts w:cs="Arial"/>
          <w:szCs w:val="24"/>
        </w:rPr>
        <w:t xml:space="preserve">he Association of Teacher and Lecturers </w:t>
      </w:r>
      <w:r w:rsidR="00841A93" w:rsidRPr="00FF4BC0">
        <w:rPr>
          <w:rFonts w:cs="Arial"/>
          <w:szCs w:val="24"/>
        </w:rPr>
        <w:t>(ATL) made a neutral response</w:t>
      </w:r>
      <w:r w:rsidRPr="00FF4BC0">
        <w:rPr>
          <w:rFonts w:cs="Arial"/>
          <w:szCs w:val="24"/>
        </w:rPr>
        <w:t>.</w:t>
      </w:r>
      <w:r w:rsidR="00246CB6" w:rsidRPr="00FF4BC0">
        <w:rPr>
          <w:rFonts w:cs="Arial"/>
          <w:szCs w:val="24"/>
        </w:rPr>
        <w:t xml:space="preserve">  No respondent </w:t>
      </w:r>
      <w:r w:rsidR="00841A93" w:rsidRPr="00FF4BC0">
        <w:rPr>
          <w:rFonts w:cs="Arial"/>
          <w:szCs w:val="24"/>
        </w:rPr>
        <w:t>disagreed with the proposal.</w:t>
      </w:r>
    </w:p>
    <w:p w:rsidR="0092112B" w:rsidRPr="00FF4BC0" w:rsidRDefault="0092112B">
      <w:pPr>
        <w:rPr>
          <w:rFonts w:cs="Arial"/>
          <w:szCs w:val="24"/>
        </w:rPr>
      </w:pPr>
    </w:p>
    <w:p w:rsidR="0092112B" w:rsidRPr="00FF4BC0" w:rsidRDefault="0092112B">
      <w:pPr>
        <w:rPr>
          <w:rFonts w:cs="Arial"/>
          <w:szCs w:val="24"/>
        </w:rPr>
      </w:pPr>
      <w:r w:rsidRPr="00FF4BC0">
        <w:rPr>
          <w:rFonts w:cs="Arial"/>
          <w:szCs w:val="24"/>
        </w:rPr>
        <w:t>Seven respondents made no additional comment</w:t>
      </w:r>
      <w:r w:rsidR="00FF4BC0" w:rsidRPr="00FF4BC0">
        <w:rPr>
          <w:rFonts w:cs="Arial"/>
          <w:szCs w:val="24"/>
        </w:rPr>
        <w:t>s</w:t>
      </w:r>
      <w:r w:rsidRPr="00FF4BC0">
        <w:rPr>
          <w:rFonts w:cs="Arial"/>
          <w:szCs w:val="24"/>
        </w:rPr>
        <w:t xml:space="preserve"> or supporting statements.  Five respondents commented on the number of </w:t>
      </w:r>
      <w:proofErr w:type="gramStart"/>
      <w:r w:rsidRPr="00FF4BC0">
        <w:rPr>
          <w:rFonts w:cs="Arial"/>
          <w:szCs w:val="24"/>
        </w:rPr>
        <w:t>pupils</w:t>
      </w:r>
      <w:proofErr w:type="gramEnd"/>
      <w:r w:rsidRPr="00FF4BC0">
        <w:rPr>
          <w:rFonts w:cs="Arial"/>
          <w:szCs w:val="24"/>
        </w:rPr>
        <w:t xml:space="preserve"> already on roll at the school and welcomed the proposal </w:t>
      </w:r>
      <w:r w:rsidR="00841A93" w:rsidRPr="00FF4BC0">
        <w:rPr>
          <w:rFonts w:cs="Arial"/>
          <w:szCs w:val="24"/>
        </w:rPr>
        <w:t xml:space="preserve">for a number of reasons. The reasons provided were that it would </w:t>
      </w:r>
      <w:r w:rsidRPr="00FF4BC0">
        <w:rPr>
          <w:rFonts w:cs="Arial"/>
          <w:szCs w:val="24"/>
        </w:rPr>
        <w:t>p</w:t>
      </w:r>
      <w:r w:rsidR="00841A93" w:rsidRPr="00FF4BC0">
        <w:rPr>
          <w:rFonts w:cs="Arial"/>
          <w:szCs w:val="24"/>
        </w:rPr>
        <w:t>rovide additional accommodation; make the budget situation more sustainable; reflect the changing needs of the community; and assist parents in making positive preferences for the school.  The ATL said that it undertakes to work co-operatively with the stakeholders.</w:t>
      </w:r>
    </w:p>
    <w:p w:rsidR="00841A93" w:rsidRPr="00FF4BC0" w:rsidRDefault="00841A93">
      <w:pPr>
        <w:rPr>
          <w:rFonts w:cs="Arial"/>
          <w:szCs w:val="24"/>
        </w:rPr>
      </w:pPr>
    </w:p>
    <w:p w:rsidR="00990C2C" w:rsidRPr="00990C2C" w:rsidRDefault="00990C2C" w:rsidP="00990C2C">
      <w:pPr>
        <w:rPr>
          <w:rFonts w:cs="Arial"/>
          <w:szCs w:val="24"/>
        </w:rPr>
      </w:pPr>
      <w:r w:rsidRPr="00990C2C">
        <w:rPr>
          <w:rFonts w:cs="Arial"/>
          <w:szCs w:val="24"/>
        </w:rPr>
        <w:t xml:space="preserve">A parent of a pupil at the school and a parent-governor attended the public consultation event at the school.  Both were supportive of the proposal. </w:t>
      </w:r>
    </w:p>
    <w:p w:rsidR="00990C2C" w:rsidRDefault="00990C2C" w:rsidP="00990C2C">
      <w:pPr>
        <w:rPr>
          <w:rFonts w:cs="Arial"/>
          <w:color w:val="1F497D"/>
          <w:szCs w:val="24"/>
        </w:rPr>
      </w:pPr>
    </w:p>
    <w:p w:rsidR="00246CB6" w:rsidRPr="005F4F71" w:rsidRDefault="00990C2C">
      <w:pPr>
        <w:rPr>
          <w:rFonts w:cs="Arial"/>
          <w:szCs w:val="24"/>
        </w:rPr>
      </w:pPr>
      <w:r w:rsidRPr="005F4F71">
        <w:rPr>
          <w:rFonts w:cs="Arial"/>
          <w:szCs w:val="24"/>
        </w:rPr>
        <w:t xml:space="preserve">Consultation with pupils was held over a number of weeks at the school and the pupils were positive about the proposal.  A report on pupil consultation is attached at Appendix B to this report. </w:t>
      </w:r>
    </w:p>
    <w:p w:rsidR="00841A93" w:rsidRPr="005F4F71" w:rsidRDefault="00841A93">
      <w:pPr>
        <w:rPr>
          <w:rFonts w:cs="Arial"/>
          <w:szCs w:val="24"/>
        </w:rPr>
      </w:pPr>
    </w:p>
    <w:p w:rsidR="009C2D17" w:rsidRDefault="00246CB6" w:rsidP="00246CB6">
      <w:pPr>
        <w:autoSpaceDE w:val="0"/>
        <w:autoSpaceDN w:val="0"/>
        <w:adjustRightInd w:val="0"/>
        <w:rPr>
          <w:rFonts w:cs="Arial"/>
          <w:szCs w:val="24"/>
        </w:rPr>
      </w:pPr>
      <w:r w:rsidRPr="00FF4BC0">
        <w:rPr>
          <w:rFonts w:cs="Arial"/>
          <w:szCs w:val="24"/>
        </w:rPr>
        <w:t>All responses received have been placed on a file available in the Members’ Retiring</w:t>
      </w:r>
    </w:p>
    <w:p w:rsidR="009C2D17" w:rsidRDefault="00246CB6" w:rsidP="00246CB6">
      <w:pPr>
        <w:autoSpaceDE w:val="0"/>
        <w:autoSpaceDN w:val="0"/>
        <w:adjustRightInd w:val="0"/>
        <w:rPr>
          <w:rFonts w:cs="Arial"/>
          <w:szCs w:val="24"/>
        </w:rPr>
      </w:pPr>
      <w:proofErr w:type="gramStart"/>
      <w:r w:rsidRPr="00FF4BC0">
        <w:rPr>
          <w:rFonts w:cs="Arial"/>
          <w:szCs w:val="24"/>
        </w:rPr>
        <w:t>Room.</w:t>
      </w:r>
      <w:proofErr w:type="gramEnd"/>
      <w:r w:rsidRPr="00FF4BC0">
        <w:rPr>
          <w:rFonts w:cs="Arial"/>
          <w:szCs w:val="24"/>
        </w:rPr>
        <w:t xml:space="preserve"> All consultation responses are background papers to this report and are</w:t>
      </w:r>
    </w:p>
    <w:p w:rsidR="009C2D17" w:rsidRDefault="00246CB6" w:rsidP="00246CB6">
      <w:pPr>
        <w:autoSpaceDE w:val="0"/>
        <w:autoSpaceDN w:val="0"/>
        <w:adjustRightInd w:val="0"/>
        <w:rPr>
          <w:rFonts w:cs="Arial"/>
          <w:szCs w:val="24"/>
        </w:rPr>
      </w:pPr>
      <w:proofErr w:type="gramStart"/>
      <w:r w:rsidRPr="00FF4BC0">
        <w:rPr>
          <w:rFonts w:cs="Arial"/>
          <w:szCs w:val="24"/>
        </w:rPr>
        <w:t>available</w:t>
      </w:r>
      <w:proofErr w:type="gramEnd"/>
      <w:r w:rsidRPr="00FF4BC0">
        <w:rPr>
          <w:rFonts w:cs="Arial"/>
          <w:szCs w:val="24"/>
        </w:rPr>
        <w:t xml:space="preserve"> for public inspection through Lancashire County Council Pupil Places and</w:t>
      </w:r>
    </w:p>
    <w:p w:rsidR="00246CB6" w:rsidRPr="00FF4BC0" w:rsidRDefault="00246CB6" w:rsidP="00246CB6">
      <w:pPr>
        <w:autoSpaceDE w:val="0"/>
        <w:autoSpaceDN w:val="0"/>
        <w:adjustRightInd w:val="0"/>
        <w:rPr>
          <w:rFonts w:cs="Arial"/>
          <w:szCs w:val="24"/>
        </w:rPr>
      </w:pPr>
      <w:r w:rsidRPr="00FF4BC0">
        <w:rPr>
          <w:rFonts w:cs="Arial"/>
          <w:szCs w:val="24"/>
        </w:rPr>
        <w:t>Access Service (Telephone 01772 531957).</w:t>
      </w:r>
    </w:p>
    <w:p w:rsidR="0092112B" w:rsidRPr="00FF4BC0" w:rsidRDefault="0092112B">
      <w:pPr>
        <w:rPr>
          <w:rFonts w:cs="Arial"/>
          <w:szCs w:val="24"/>
        </w:rPr>
      </w:pPr>
    </w:p>
    <w:p w:rsidR="00246CB6" w:rsidRPr="00FF4BC0" w:rsidRDefault="00246CB6" w:rsidP="00246CB6">
      <w:pPr>
        <w:autoSpaceDE w:val="0"/>
        <w:autoSpaceDN w:val="0"/>
        <w:adjustRightInd w:val="0"/>
        <w:rPr>
          <w:rFonts w:cs="Arial"/>
          <w:b/>
          <w:szCs w:val="24"/>
        </w:rPr>
      </w:pPr>
      <w:r w:rsidRPr="00FF4BC0">
        <w:rPr>
          <w:rFonts w:cs="Arial"/>
          <w:b/>
          <w:szCs w:val="24"/>
        </w:rPr>
        <w:t>Conclusion</w:t>
      </w:r>
    </w:p>
    <w:p w:rsidR="00246CB6" w:rsidRPr="00FF4BC0" w:rsidRDefault="00246CB6" w:rsidP="00246CB6">
      <w:pPr>
        <w:autoSpaceDE w:val="0"/>
        <w:autoSpaceDN w:val="0"/>
        <w:adjustRightInd w:val="0"/>
        <w:rPr>
          <w:rFonts w:cs="Arial"/>
          <w:b/>
          <w:szCs w:val="24"/>
        </w:rPr>
      </w:pPr>
    </w:p>
    <w:p w:rsidR="00246CB6" w:rsidRPr="00FF4BC0" w:rsidRDefault="00A466D5" w:rsidP="00246CB6">
      <w:pPr>
        <w:autoSpaceDE w:val="0"/>
        <w:autoSpaceDN w:val="0"/>
        <w:adjustRightInd w:val="0"/>
        <w:rPr>
          <w:rFonts w:cs="Arial"/>
          <w:szCs w:val="24"/>
        </w:rPr>
      </w:pPr>
      <w:r w:rsidRPr="00FF4BC0">
        <w:rPr>
          <w:rFonts w:cs="Arial"/>
          <w:szCs w:val="24"/>
        </w:rPr>
        <w:t>The proposal is</w:t>
      </w:r>
      <w:r w:rsidR="00246CB6" w:rsidRPr="00FF4BC0">
        <w:rPr>
          <w:rFonts w:cs="Arial"/>
          <w:szCs w:val="24"/>
        </w:rPr>
        <w:t xml:space="preserve"> a response to the increasing numbers of children and young</w:t>
      </w:r>
      <w:r w:rsidRPr="00FF4BC0">
        <w:rPr>
          <w:rFonts w:cs="Arial"/>
          <w:szCs w:val="24"/>
        </w:rPr>
        <w:t xml:space="preserve"> </w:t>
      </w:r>
      <w:r w:rsidR="00246CB6" w:rsidRPr="00FF4BC0">
        <w:rPr>
          <w:rFonts w:cs="Arial"/>
          <w:szCs w:val="24"/>
        </w:rPr>
        <w:t>people with complex needs in the county over recent years</w:t>
      </w:r>
      <w:r w:rsidRPr="00FF4BC0">
        <w:rPr>
          <w:rFonts w:cs="Arial"/>
          <w:szCs w:val="24"/>
        </w:rPr>
        <w:t xml:space="preserve"> and the pressure for places in the East of the County, in particular, at Holly Grove School</w:t>
      </w:r>
      <w:r w:rsidR="00246CB6" w:rsidRPr="00FF4BC0">
        <w:rPr>
          <w:rFonts w:cs="Arial"/>
          <w:szCs w:val="24"/>
        </w:rPr>
        <w:t>.</w:t>
      </w:r>
    </w:p>
    <w:p w:rsidR="00A466D5" w:rsidRPr="00FF4BC0" w:rsidRDefault="00A466D5" w:rsidP="00A466D5">
      <w:pPr>
        <w:autoSpaceDE w:val="0"/>
        <w:autoSpaceDN w:val="0"/>
        <w:adjustRightInd w:val="0"/>
        <w:rPr>
          <w:rFonts w:cs="Arial"/>
          <w:szCs w:val="24"/>
        </w:rPr>
      </w:pPr>
    </w:p>
    <w:p w:rsidR="00246CB6" w:rsidRPr="00FF4BC0" w:rsidRDefault="00A466D5" w:rsidP="00A466D5">
      <w:pPr>
        <w:autoSpaceDE w:val="0"/>
        <w:autoSpaceDN w:val="0"/>
        <w:adjustRightInd w:val="0"/>
        <w:rPr>
          <w:rFonts w:cs="Arial"/>
          <w:szCs w:val="24"/>
        </w:rPr>
      </w:pPr>
      <w:r w:rsidRPr="00FF4BC0">
        <w:rPr>
          <w:rFonts w:cs="Arial"/>
          <w:szCs w:val="24"/>
        </w:rPr>
        <w:t>Holly Grove School has recently had to refuse entry to some pupils because of accommodation difficulties. These pupils represent a cost to either the County Council's budget in terms of increased travel to alternative schools, or the dedicated schools grant (DSG) if the pupils have to be placed in non LCC maintained provision.  The proposal</w:t>
      </w:r>
      <w:r w:rsidR="00246CB6" w:rsidRPr="00FF4BC0">
        <w:rPr>
          <w:rFonts w:cs="Arial"/>
          <w:szCs w:val="24"/>
        </w:rPr>
        <w:t xml:space="preserve"> seek</w:t>
      </w:r>
      <w:r w:rsidRPr="00FF4BC0">
        <w:rPr>
          <w:rFonts w:cs="Arial"/>
          <w:szCs w:val="24"/>
        </w:rPr>
        <w:t>s</w:t>
      </w:r>
      <w:r w:rsidR="00246CB6" w:rsidRPr="00FF4BC0">
        <w:rPr>
          <w:rFonts w:cs="Arial"/>
          <w:szCs w:val="24"/>
        </w:rPr>
        <w:t xml:space="preserve"> to redress this situation</w:t>
      </w:r>
      <w:r w:rsidRPr="00FF4BC0">
        <w:rPr>
          <w:rFonts w:cs="Arial"/>
          <w:szCs w:val="24"/>
        </w:rPr>
        <w:t xml:space="preserve"> and provide appropriate sufficient accommodation at the school for up to 70 pupils on roll.</w:t>
      </w:r>
    </w:p>
    <w:p w:rsidR="0092112B" w:rsidRPr="00FF4BC0" w:rsidRDefault="0092112B">
      <w:pPr>
        <w:rPr>
          <w:rFonts w:cs="Arial"/>
          <w:szCs w:val="24"/>
        </w:rPr>
      </w:pPr>
    </w:p>
    <w:p w:rsidR="00E75840" w:rsidRPr="00FF4BC0" w:rsidRDefault="00E75840">
      <w:pPr>
        <w:rPr>
          <w:rFonts w:cs="Arial"/>
          <w:szCs w:val="24"/>
        </w:rPr>
      </w:pPr>
      <w:r w:rsidRPr="00FF4BC0">
        <w:rPr>
          <w:rFonts w:cs="Arial"/>
          <w:b/>
          <w:szCs w:val="24"/>
        </w:rPr>
        <w:t>Implications</w:t>
      </w:r>
      <w:r w:rsidRPr="00FF4BC0">
        <w:rPr>
          <w:rFonts w:cs="Arial"/>
          <w:szCs w:val="24"/>
        </w:rPr>
        <w:t xml:space="preserve">: </w:t>
      </w:r>
    </w:p>
    <w:p w:rsidR="00E75840" w:rsidRPr="00FF4BC0" w:rsidRDefault="00E75840">
      <w:pPr>
        <w:rPr>
          <w:rFonts w:cs="Arial"/>
          <w:szCs w:val="24"/>
        </w:rPr>
      </w:pPr>
    </w:p>
    <w:p w:rsidR="00E75840" w:rsidRPr="00FF4BC0" w:rsidRDefault="00E75840">
      <w:pPr>
        <w:rPr>
          <w:rFonts w:cs="Arial"/>
          <w:szCs w:val="24"/>
        </w:rPr>
      </w:pPr>
      <w:r w:rsidRPr="00FF4BC0">
        <w:rPr>
          <w:rFonts w:cs="Arial"/>
          <w:szCs w:val="24"/>
        </w:rPr>
        <w:t>This item has the following implications, as indicated:</w:t>
      </w:r>
    </w:p>
    <w:p w:rsidR="00E75840" w:rsidRPr="00FF4BC0" w:rsidRDefault="00E75840">
      <w:pPr>
        <w:rPr>
          <w:rFonts w:cs="Arial"/>
          <w:szCs w:val="24"/>
        </w:rPr>
      </w:pPr>
    </w:p>
    <w:p w:rsidR="00967036" w:rsidRDefault="00967036">
      <w:pPr>
        <w:rPr>
          <w:rFonts w:cs="Arial"/>
          <w:b/>
          <w:szCs w:val="24"/>
        </w:rPr>
      </w:pPr>
    </w:p>
    <w:p w:rsidR="00967036" w:rsidRDefault="00967036">
      <w:pPr>
        <w:rPr>
          <w:rFonts w:cs="Arial"/>
          <w:b/>
          <w:szCs w:val="24"/>
        </w:rPr>
      </w:pPr>
    </w:p>
    <w:p w:rsidR="00E75840" w:rsidRPr="00FF4BC0" w:rsidRDefault="00E75840">
      <w:pPr>
        <w:rPr>
          <w:rFonts w:cs="Arial"/>
          <w:b/>
          <w:szCs w:val="24"/>
        </w:rPr>
      </w:pPr>
      <w:r w:rsidRPr="00FF4BC0">
        <w:rPr>
          <w:rFonts w:cs="Arial"/>
          <w:b/>
          <w:szCs w:val="24"/>
        </w:rPr>
        <w:t>Risk management</w:t>
      </w:r>
    </w:p>
    <w:p w:rsidR="00E75840" w:rsidRPr="00FF4BC0" w:rsidRDefault="00E75840">
      <w:pPr>
        <w:rPr>
          <w:rFonts w:cs="Arial"/>
          <w:szCs w:val="24"/>
        </w:rPr>
      </w:pPr>
    </w:p>
    <w:p w:rsidR="00E75840" w:rsidRPr="00FF4BC0" w:rsidRDefault="00B06A48" w:rsidP="00B06A48">
      <w:pPr>
        <w:autoSpaceDE w:val="0"/>
        <w:autoSpaceDN w:val="0"/>
        <w:adjustRightInd w:val="0"/>
        <w:rPr>
          <w:rFonts w:cs="Arial"/>
          <w:szCs w:val="24"/>
        </w:rPr>
      </w:pPr>
      <w:r w:rsidRPr="00FF4BC0">
        <w:rPr>
          <w:rFonts w:cs="Arial"/>
          <w:szCs w:val="24"/>
        </w:rPr>
        <w:t>There are legal risks associated with not formally designating Holly Grove School for the number of pupils it is providing for, and there are financial risks associated with not increasing the number of SEN places available within Lancashire maintained provision. Both are outlined below.</w:t>
      </w:r>
    </w:p>
    <w:p w:rsidR="00B06A48" w:rsidRPr="00FF4BC0" w:rsidRDefault="00B06A48" w:rsidP="00B06A48">
      <w:pPr>
        <w:autoSpaceDE w:val="0"/>
        <w:autoSpaceDN w:val="0"/>
        <w:adjustRightInd w:val="0"/>
        <w:rPr>
          <w:rFonts w:cs="Arial"/>
          <w:szCs w:val="24"/>
        </w:rPr>
      </w:pPr>
    </w:p>
    <w:p w:rsidR="00B06A48" w:rsidRPr="00FF4BC0" w:rsidRDefault="00B06A48" w:rsidP="00B06A48">
      <w:pPr>
        <w:autoSpaceDE w:val="0"/>
        <w:autoSpaceDN w:val="0"/>
        <w:adjustRightInd w:val="0"/>
        <w:rPr>
          <w:rFonts w:cs="Arial"/>
          <w:b/>
          <w:szCs w:val="24"/>
        </w:rPr>
      </w:pPr>
      <w:r w:rsidRPr="00FF4BC0">
        <w:rPr>
          <w:rFonts w:cs="Arial"/>
          <w:b/>
          <w:szCs w:val="24"/>
        </w:rPr>
        <w:t>Legal</w:t>
      </w:r>
    </w:p>
    <w:p w:rsidR="00B06A48" w:rsidRPr="00FF4BC0" w:rsidRDefault="00B06A48" w:rsidP="00B06A48">
      <w:pPr>
        <w:autoSpaceDE w:val="0"/>
        <w:autoSpaceDN w:val="0"/>
        <w:adjustRightInd w:val="0"/>
        <w:rPr>
          <w:rFonts w:cs="Arial"/>
          <w:b/>
          <w:szCs w:val="24"/>
        </w:rPr>
      </w:pPr>
    </w:p>
    <w:p w:rsidR="00B06A48" w:rsidRPr="00FF4BC0" w:rsidRDefault="00B06A48" w:rsidP="00B06A48">
      <w:pPr>
        <w:autoSpaceDE w:val="0"/>
        <w:autoSpaceDN w:val="0"/>
        <w:adjustRightInd w:val="0"/>
        <w:rPr>
          <w:rFonts w:cs="Arial"/>
          <w:szCs w:val="24"/>
        </w:rPr>
      </w:pPr>
      <w:r w:rsidRPr="00FF4BC0">
        <w:rPr>
          <w:rFonts w:cs="Arial"/>
          <w:szCs w:val="24"/>
        </w:rPr>
        <w:t>If the provision at the school is not formally designated for the correct number of pupils, there is a risk that the school may be required to reduce pupil numbers in the future to its current approved number of 50.</w:t>
      </w:r>
    </w:p>
    <w:p w:rsidR="00B06A48" w:rsidRPr="00FF4BC0" w:rsidRDefault="00B06A48" w:rsidP="00B06A48">
      <w:pPr>
        <w:autoSpaceDE w:val="0"/>
        <w:autoSpaceDN w:val="0"/>
        <w:adjustRightInd w:val="0"/>
        <w:rPr>
          <w:rFonts w:cs="Arial"/>
          <w:szCs w:val="24"/>
        </w:rPr>
      </w:pPr>
    </w:p>
    <w:p w:rsidR="00B06A48" w:rsidRPr="00FF4BC0" w:rsidRDefault="00B06A48" w:rsidP="00B06A48">
      <w:pPr>
        <w:autoSpaceDE w:val="0"/>
        <w:autoSpaceDN w:val="0"/>
        <w:adjustRightInd w:val="0"/>
        <w:rPr>
          <w:rFonts w:cs="Arial"/>
          <w:b/>
          <w:szCs w:val="24"/>
        </w:rPr>
      </w:pPr>
      <w:r w:rsidRPr="00FF4BC0">
        <w:rPr>
          <w:rFonts w:cs="Arial"/>
          <w:b/>
          <w:szCs w:val="24"/>
        </w:rPr>
        <w:t>Financial</w:t>
      </w:r>
    </w:p>
    <w:p w:rsidR="00B06A48" w:rsidRPr="00FF4BC0" w:rsidRDefault="00B06A48" w:rsidP="00B06A48">
      <w:pPr>
        <w:autoSpaceDE w:val="0"/>
        <w:autoSpaceDN w:val="0"/>
        <w:adjustRightInd w:val="0"/>
        <w:rPr>
          <w:rFonts w:cs="Arial"/>
          <w:b/>
          <w:szCs w:val="24"/>
        </w:rPr>
      </w:pPr>
    </w:p>
    <w:p w:rsidR="00B06A48" w:rsidRPr="00FF4BC0" w:rsidRDefault="00B06A48" w:rsidP="00B06A48">
      <w:pPr>
        <w:autoSpaceDE w:val="0"/>
        <w:autoSpaceDN w:val="0"/>
        <w:adjustRightInd w:val="0"/>
        <w:rPr>
          <w:rFonts w:cs="Arial"/>
          <w:szCs w:val="24"/>
        </w:rPr>
      </w:pPr>
      <w:r w:rsidRPr="00FF4BC0">
        <w:rPr>
          <w:rFonts w:cs="Arial"/>
          <w:szCs w:val="24"/>
        </w:rPr>
        <w:t>The proposal represents a small potential increase in the number of pupils on roll at</w:t>
      </w:r>
    </w:p>
    <w:p w:rsidR="00B06A48" w:rsidRPr="00FF4BC0" w:rsidRDefault="00B06A48" w:rsidP="00B06A48">
      <w:pPr>
        <w:autoSpaceDE w:val="0"/>
        <w:autoSpaceDN w:val="0"/>
        <w:adjustRightInd w:val="0"/>
        <w:rPr>
          <w:rFonts w:cs="Arial"/>
          <w:szCs w:val="24"/>
        </w:rPr>
      </w:pPr>
      <w:r w:rsidRPr="00FF4BC0">
        <w:rPr>
          <w:rFonts w:cs="Arial"/>
          <w:szCs w:val="24"/>
        </w:rPr>
        <w:t>Holly Grove School (compared to the numbers that are actually on roll). The school has recently had to refuse entry to some pupils because of accommodation difficulties. These pupils will represent a cost to either the County Council's budget in terms of increased travel to alternative schools, or the dedicated schools grant</w:t>
      </w:r>
    </w:p>
    <w:p w:rsidR="00B06A48" w:rsidRPr="00FF4BC0" w:rsidRDefault="00B06A48" w:rsidP="00B06A48">
      <w:pPr>
        <w:autoSpaceDE w:val="0"/>
        <w:autoSpaceDN w:val="0"/>
        <w:adjustRightInd w:val="0"/>
        <w:rPr>
          <w:rFonts w:cs="Arial"/>
          <w:szCs w:val="24"/>
        </w:rPr>
      </w:pPr>
      <w:r w:rsidRPr="00FF4BC0">
        <w:rPr>
          <w:rFonts w:cs="Arial"/>
          <w:szCs w:val="24"/>
        </w:rPr>
        <w:t>(DSG) if the pupils had to be placed in non LCC maintained provision. The small increase in pupil numbers at the school is, therefore, likely to represent a saving to the local authority and the DSG.</w:t>
      </w:r>
    </w:p>
    <w:p w:rsidR="00B06A48" w:rsidRPr="00FF4BC0" w:rsidRDefault="00B06A48" w:rsidP="00B06A48">
      <w:pPr>
        <w:autoSpaceDE w:val="0"/>
        <w:autoSpaceDN w:val="0"/>
        <w:adjustRightInd w:val="0"/>
        <w:rPr>
          <w:rFonts w:cs="Arial"/>
          <w:szCs w:val="24"/>
        </w:rPr>
      </w:pPr>
    </w:p>
    <w:p w:rsidR="00B06A48" w:rsidRPr="00FF4BC0" w:rsidRDefault="00B06A48" w:rsidP="00B06A48">
      <w:pPr>
        <w:autoSpaceDE w:val="0"/>
        <w:autoSpaceDN w:val="0"/>
        <w:adjustRightInd w:val="0"/>
        <w:rPr>
          <w:rFonts w:cs="Arial"/>
          <w:szCs w:val="24"/>
        </w:rPr>
      </w:pPr>
      <w:r w:rsidRPr="00FF4BC0">
        <w:rPr>
          <w:rFonts w:cs="Arial"/>
          <w:szCs w:val="24"/>
        </w:rPr>
        <w:t xml:space="preserve">The capital costs of the project will be met from the existing </w:t>
      </w:r>
      <w:r w:rsidR="00EF41AC" w:rsidRPr="00FF4BC0">
        <w:rPr>
          <w:rFonts w:cs="Arial"/>
          <w:szCs w:val="24"/>
        </w:rPr>
        <w:t xml:space="preserve">Capital Programme provision and contributions from Barden Primary School (a partner on the Burnley Barden Campus) and Holly Grove School. Early estimated costs of the full expansion programme, including the non-statutory expansion of the primary school accommodation) are £2.2million. This will be funded £1.8m from the existing capital programme and £0.4m contributions from school partners for additional accommodation over the Lancashire County Council offer. </w:t>
      </w:r>
    </w:p>
    <w:p w:rsidR="00EF41AC" w:rsidRPr="00FF4BC0" w:rsidRDefault="00EF41AC" w:rsidP="00B06A48">
      <w:pPr>
        <w:autoSpaceDE w:val="0"/>
        <w:autoSpaceDN w:val="0"/>
        <w:adjustRightInd w:val="0"/>
        <w:rPr>
          <w:rFonts w:cs="Arial"/>
          <w:szCs w:val="24"/>
        </w:rPr>
      </w:pPr>
    </w:p>
    <w:p w:rsidR="00EF41AC" w:rsidRPr="00FF4BC0" w:rsidRDefault="00EF41AC" w:rsidP="00EF41AC">
      <w:pPr>
        <w:autoSpaceDE w:val="0"/>
        <w:autoSpaceDN w:val="0"/>
        <w:adjustRightInd w:val="0"/>
        <w:rPr>
          <w:rFonts w:cs="Arial"/>
          <w:b/>
          <w:szCs w:val="24"/>
        </w:rPr>
      </w:pPr>
      <w:r w:rsidRPr="00FF4BC0">
        <w:rPr>
          <w:rFonts w:cs="Arial"/>
          <w:b/>
          <w:szCs w:val="24"/>
        </w:rPr>
        <w:t>Equality and Diversity</w:t>
      </w:r>
    </w:p>
    <w:p w:rsidR="00EF41AC" w:rsidRPr="00FF4BC0" w:rsidRDefault="00EF41AC" w:rsidP="00EF41AC">
      <w:pPr>
        <w:autoSpaceDE w:val="0"/>
        <w:autoSpaceDN w:val="0"/>
        <w:adjustRightInd w:val="0"/>
        <w:rPr>
          <w:rFonts w:cs="Arial"/>
          <w:b/>
          <w:szCs w:val="24"/>
        </w:rPr>
      </w:pPr>
    </w:p>
    <w:p w:rsidR="00EF41AC" w:rsidRPr="00FF4BC0" w:rsidRDefault="00EF41AC" w:rsidP="00EF41AC">
      <w:pPr>
        <w:autoSpaceDE w:val="0"/>
        <w:autoSpaceDN w:val="0"/>
        <w:adjustRightInd w:val="0"/>
        <w:rPr>
          <w:rFonts w:cs="Arial"/>
          <w:szCs w:val="24"/>
        </w:rPr>
      </w:pPr>
      <w:r w:rsidRPr="00FF4BC0">
        <w:rPr>
          <w:rFonts w:cs="Arial"/>
          <w:szCs w:val="24"/>
        </w:rPr>
        <w:t>The proposal, if approved, will improve the physical environment for pupils with</w:t>
      </w:r>
    </w:p>
    <w:p w:rsidR="00EF41AC" w:rsidRPr="00FF4BC0" w:rsidRDefault="00EF41AC" w:rsidP="00EF41AC">
      <w:pPr>
        <w:autoSpaceDE w:val="0"/>
        <w:autoSpaceDN w:val="0"/>
        <w:adjustRightInd w:val="0"/>
        <w:rPr>
          <w:rFonts w:cs="Arial"/>
          <w:szCs w:val="24"/>
        </w:rPr>
      </w:pPr>
      <w:proofErr w:type="gramStart"/>
      <w:r w:rsidRPr="00FF4BC0">
        <w:rPr>
          <w:rFonts w:cs="Arial"/>
          <w:szCs w:val="24"/>
        </w:rPr>
        <w:t>special</w:t>
      </w:r>
      <w:proofErr w:type="gramEnd"/>
      <w:r w:rsidRPr="00FF4BC0">
        <w:rPr>
          <w:rFonts w:cs="Arial"/>
          <w:szCs w:val="24"/>
        </w:rPr>
        <w:t xml:space="preserve"> educational needs by providing the recommended space according to area</w:t>
      </w:r>
    </w:p>
    <w:p w:rsidR="00EF41AC" w:rsidRPr="00FF4BC0" w:rsidRDefault="00EF41AC" w:rsidP="00EF41AC">
      <w:pPr>
        <w:autoSpaceDE w:val="0"/>
        <w:autoSpaceDN w:val="0"/>
        <w:adjustRightInd w:val="0"/>
        <w:rPr>
          <w:rFonts w:cs="Arial"/>
          <w:szCs w:val="24"/>
        </w:rPr>
      </w:pPr>
      <w:proofErr w:type="gramStart"/>
      <w:r w:rsidRPr="00FF4BC0">
        <w:rPr>
          <w:rFonts w:cs="Arial"/>
          <w:szCs w:val="24"/>
        </w:rPr>
        <w:t>guidelines</w:t>
      </w:r>
      <w:proofErr w:type="gramEnd"/>
      <w:r w:rsidRPr="00FF4BC0">
        <w:rPr>
          <w:rFonts w:cs="Arial"/>
          <w:szCs w:val="24"/>
        </w:rPr>
        <w:t xml:space="preserve">, together with appropriate specialist facilities. A full Equality </w:t>
      </w:r>
      <w:r w:rsidR="00D208C5">
        <w:rPr>
          <w:rFonts w:cs="Arial"/>
          <w:szCs w:val="24"/>
        </w:rPr>
        <w:t>Analysis</w:t>
      </w:r>
      <w:r w:rsidRPr="00FF4BC0">
        <w:rPr>
          <w:rFonts w:cs="Arial"/>
          <w:szCs w:val="24"/>
        </w:rPr>
        <w:t>, including a SEN Improvement Test will be completed and reported at</w:t>
      </w:r>
      <w:bookmarkStart w:id="0" w:name="_GoBack"/>
      <w:bookmarkEnd w:id="0"/>
      <w:r w:rsidR="00415421">
        <w:rPr>
          <w:rFonts w:cs="Arial"/>
          <w:szCs w:val="24"/>
        </w:rPr>
        <w:t xml:space="preserve"> </w:t>
      </w:r>
      <w:r w:rsidRPr="00FF4BC0">
        <w:rPr>
          <w:rFonts w:cs="Arial"/>
          <w:szCs w:val="24"/>
        </w:rPr>
        <w:t>the determination stage of the proposal.</w:t>
      </w:r>
    </w:p>
    <w:p w:rsidR="00B06A48" w:rsidRPr="00FF4BC0" w:rsidRDefault="00B06A48" w:rsidP="00B06A48">
      <w:pPr>
        <w:pStyle w:val="Header"/>
        <w:rPr>
          <w:rFonts w:cs="Arial"/>
          <w:szCs w:val="24"/>
        </w:rPr>
      </w:pPr>
    </w:p>
    <w:p w:rsidR="00E75840" w:rsidRPr="00FF4BC0" w:rsidRDefault="00E75840">
      <w:pPr>
        <w:pStyle w:val="Heading5"/>
        <w:rPr>
          <w:rFonts w:ascii="Arial" w:hAnsi="Arial" w:cs="Arial"/>
          <w:szCs w:val="24"/>
          <w:u w:val="none"/>
        </w:rPr>
      </w:pPr>
      <w:r w:rsidRPr="00FF4BC0">
        <w:rPr>
          <w:rFonts w:ascii="Arial" w:hAnsi="Arial" w:cs="Arial"/>
          <w:szCs w:val="24"/>
          <w:u w:val="none"/>
        </w:rPr>
        <w:t>List of Background Papers</w:t>
      </w:r>
    </w:p>
    <w:p w:rsidR="00E75840" w:rsidRPr="00FF4BC0" w:rsidRDefault="00E75840">
      <w:pPr>
        <w:rPr>
          <w:rFonts w:cs="Arial"/>
          <w:szCs w:val="24"/>
        </w:rPr>
      </w:pPr>
    </w:p>
    <w:tbl>
      <w:tblPr>
        <w:tblW w:w="0" w:type="auto"/>
        <w:tblLayout w:type="fixed"/>
        <w:tblLook w:val="000C"/>
      </w:tblPr>
      <w:tblGrid>
        <w:gridCol w:w="3510"/>
        <w:gridCol w:w="2492"/>
        <w:gridCol w:w="3178"/>
      </w:tblGrid>
      <w:tr w:rsidR="00E75840" w:rsidRPr="00FF4BC0">
        <w:tc>
          <w:tcPr>
            <w:tcW w:w="3510" w:type="dxa"/>
          </w:tcPr>
          <w:p w:rsidR="00E75840" w:rsidRPr="00FF4BC0" w:rsidRDefault="00E75840">
            <w:pPr>
              <w:pStyle w:val="Heading7"/>
              <w:rPr>
                <w:rFonts w:ascii="Arial" w:hAnsi="Arial" w:cs="Arial"/>
                <w:szCs w:val="24"/>
                <w:u w:val="none"/>
              </w:rPr>
            </w:pPr>
            <w:r w:rsidRPr="00FF4BC0">
              <w:rPr>
                <w:rFonts w:ascii="Arial" w:hAnsi="Arial" w:cs="Arial"/>
                <w:szCs w:val="24"/>
                <w:u w:val="none"/>
              </w:rPr>
              <w:t>Paper</w:t>
            </w:r>
          </w:p>
        </w:tc>
        <w:tc>
          <w:tcPr>
            <w:tcW w:w="2492" w:type="dxa"/>
          </w:tcPr>
          <w:p w:rsidR="00E75840" w:rsidRPr="00FF4BC0" w:rsidRDefault="00E75840">
            <w:pPr>
              <w:pStyle w:val="Heading7"/>
              <w:rPr>
                <w:rFonts w:ascii="Arial" w:hAnsi="Arial" w:cs="Arial"/>
                <w:szCs w:val="24"/>
                <w:u w:val="none"/>
              </w:rPr>
            </w:pPr>
            <w:r w:rsidRPr="00FF4BC0">
              <w:rPr>
                <w:rFonts w:ascii="Arial" w:hAnsi="Arial" w:cs="Arial"/>
                <w:szCs w:val="24"/>
                <w:u w:val="none"/>
              </w:rPr>
              <w:t>Date</w:t>
            </w:r>
          </w:p>
        </w:tc>
        <w:tc>
          <w:tcPr>
            <w:tcW w:w="3178" w:type="dxa"/>
          </w:tcPr>
          <w:p w:rsidR="00E75840" w:rsidRPr="00FF4BC0" w:rsidRDefault="00E75840">
            <w:pPr>
              <w:pStyle w:val="Heading7"/>
              <w:rPr>
                <w:rFonts w:ascii="Arial" w:hAnsi="Arial" w:cs="Arial"/>
                <w:szCs w:val="24"/>
                <w:u w:val="none"/>
              </w:rPr>
            </w:pPr>
            <w:r w:rsidRPr="00FF4BC0">
              <w:rPr>
                <w:rFonts w:ascii="Arial" w:hAnsi="Arial" w:cs="Arial"/>
                <w:szCs w:val="24"/>
                <w:u w:val="none"/>
              </w:rPr>
              <w:t>Contact/Directorate/Tel</w:t>
            </w:r>
          </w:p>
        </w:tc>
      </w:tr>
      <w:tr w:rsidR="00E75840" w:rsidRPr="00FF4BC0">
        <w:tc>
          <w:tcPr>
            <w:tcW w:w="3510" w:type="dxa"/>
          </w:tcPr>
          <w:p w:rsidR="00E75840" w:rsidRPr="00FF4BC0" w:rsidRDefault="00E75840">
            <w:pPr>
              <w:rPr>
                <w:rFonts w:cs="Arial"/>
                <w:szCs w:val="24"/>
              </w:rPr>
            </w:pPr>
          </w:p>
          <w:p w:rsidR="00E75840" w:rsidRPr="00FF4BC0" w:rsidRDefault="002A5328">
            <w:pPr>
              <w:rPr>
                <w:rFonts w:cs="Arial"/>
                <w:szCs w:val="24"/>
              </w:rPr>
            </w:pPr>
            <w:r w:rsidRPr="00FF4BC0">
              <w:rPr>
                <w:rFonts w:cs="Arial"/>
                <w:szCs w:val="24"/>
              </w:rPr>
              <w:t>None</w:t>
            </w:r>
          </w:p>
        </w:tc>
        <w:tc>
          <w:tcPr>
            <w:tcW w:w="2492" w:type="dxa"/>
          </w:tcPr>
          <w:p w:rsidR="00E75840" w:rsidRPr="00FF4BC0" w:rsidRDefault="00E75840">
            <w:pPr>
              <w:pStyle w:val="Heading7"/>
              <w:rPr>
                <w:rFonts w:ascii="Arial" w:hAnsi="Arial" w:cs="Arial"/>
                <w:szCs w:val="24"/>
                <w:u w:val="none"/>
              </w:rPr>
            </w:pPr>
          </w:p>
          <w:p w:rsidR="00E75840" w:rsidRPr="00FF4BC0" w:rsidRDefault="00E75840">
            <w:pPr>
              <w:rPr>
                <w:rFonts w:cs="Arial"/>
                <w:szCs w:val="24"/>
              </w:rPr>
            </w:pPr>
          </w:p>
        </w:tc>
        <w:tc>
          <w:tcPr>
            <w:tcW w:w="3178" w:type="dxa"/>
          </w:tcPr>
          <w:p w:rsidR="00E75840" w:rsidRPr="00FF4BC0" w:rsidRDefault="00E75840" w:rsidP="006815DD">
            <w:pPr>
              <w:rPr>
                <w:rFonts w:cs="Arial"/>
                <w:szCs w:val="24"/>
              </w:rPr>
            </w:pPr>
          </w:p>
        </w:tc>
      </w:tr>
      <w:tr w:rsidR="00E75840" w:rsidRPr="00FF4BC0">
        <w:trPr>
          <w:cantSplit/>
        </w:trPr>
        <w:tc>
          <w:tcPr>
            <w:tcW w:w="9180" w:type="dxa"/>
            <w:gridSpan w:val="3"/>
          </w:tcPr>
          <w:p w:rsidR="00E75840" w:rsidRPr="00FF4BC0" w:rsidRDefault="00E75840">
            <w:pPr>
              <w:rPr>
                <w:rFonts w:cs="Arial"/>
                <w:szCs w:val="24"/>
              </w:rPr>
            </w:pPr>
          </w:p>
          <w:p w:rsidR="00E75840" w:rsidRPr="00FF4BC0" w:rsidRDefault="00E75840">
            <w:pPr>
              <w:rPr>
                <w:rFonts w:cs="Arial"/>
                <w:szCs w:val="24"/>
              </w:rPr>
            </w:pPr>
            <w:r w:rsidRPr="00FF4BC0">
              <w:rPr>
                <w:rFonts w:cs="Arial"/>
                <w:szCs w:val="24"/>
              </w:rPr>
              <w:t>Reason for inclusion in Part II, if appropriate</w:t>
            </w:r>
          </w:p>
          <w:p w:rsidR="00E75840" w:rsidRPr="00FF4BC0" w:rsidRDefault="00E75840">
            <w:pPr>
              <w:rPr>
                <w:rFonts w:cs="Arial"/>
                <w:szCs w:val="24"/>
              </w:rPr>
            </w:pPr>
          </w:p>
          <w:p w:rsidR="00E75840" w:rsidRPr="00FF4BC0" w:rsidRDefault="002A5328" w:rsidP="002A5328">
            <w:pPr>
              <w:rPr>
                <w:rFonts w:cs="Arial"/>
                <w:szCs w:val="24"/>
              </w:rPr>
            </w:pPr>
            <w:r w:rsidRPr="00FF4BC0">
              <w:rPr>
                <w:rFonts w:cs="Arial"/>
                <w:szCs w:val="24"/>
              </w:rPr>
              <w:t>N/</w:t>
            </w:r>
            <w:r w:rsidR="00967036">
              <w:rPr>
                <w:rFonts w:cs="Arial"/>
                <w:szCs w:val="24"/>
              </w:rPr>
              <w:t>A</w:t>
            </w:r>
          </w:p>
        </w:tc>
      </w:tr>
    </w:tbl>
    <w:p w:rsidR="00E75840" w:rsidRPr="00FF4BC0" w:rsidRDefault="00E75840" w:rsidP="00967036">
      <w:pPr>
        <w:rPr>
          <w:rFonts w:cs="Arial"/>
          <w:szCs w:val="24"/>
        </w:rPr>
      </w:pPr>
    </w:p>
    <w:sectPr w:rsidR="00E75840" w:rsidRPr="00FF4BC0" w:rsidSect="004C1418">
      <w:footerReference w:type="default" r:id="rId9"/>
      <w:footerReference w:type="first" r:id="rId10"/>
      <w:type w:val="continuous"/>
      <w:pgSz w:w="11907" w:h="16840" w:code="9"/>
      <w:pgMar w:top="1134" w:right="1440" w:bottom="1440" w:left="1440" w:header="720" w:footer="306" w:gutter="0"/>
      <w:paperSrc w:first="15" w:other="15"/>
      <w:pgNumType w:fmt="numberInDash"/>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50B6" w:rsidRDefault="000750B6">
      <w:r>
        <w:separator/>
      </w:r>
    </w:p>
  </w:endnote>
  <w:endnote w:type="continuationSeparator" w:id="0">
    <w:p w:rsidR="000750B6" w:rsidRDefault="000750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Univer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43"/>
    </w:tblGrid>
    <w:tr w:rsidR="00A66CA7">
      <w:tc>
        <w:tcPr>
          <w:tcW w:w="9243" w:type="dxa"/>
          <w:tcBorders>
            <w:top w:val="nil"/>
            <w:left w:val="nil"/>
            <w:bottom w:val="nil"/>
            <w:right w:val="nil"/>
          </w:tcBorders>
        </w:tcPr>
        <w:p w:rsidR="00A66CA7" w:rsidRDefault="00A66CA7">
          <w:pPr>
            <w:pStyle w:val="Footer"/>
            <w:tabs>
              <w:tab w:val="clear" w:pos="4153"/>
            </w:tabs>
            <w:ind w:right="-45"/>
            <w:jc w:val="right"/>
          </w:pPr>
        </w:p>
      </w:tc>
    </w:tr>
  </w:tbl>
  <w:p w:rsidR="00A66CA7" w:rsidRDefault="00A66CA7">
    <w:pPr>
      <w:pStyle w:val="Footer"/>
      <w:tabs>
        <w:tab w:val="clear" w:pos="4153"/>
      </w:tabs>
      <w:ind w:right="-45"/>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3"/>
    </w:tblGrid>
    <w:tr w:rsidR="00A66CA7" w:rsidTr="00912981">
      <w:tc>
        <w:tcPr>
          <w:tcW w:w="9243" w:type="dxa"/>
          <w:tcBorders>
            <w:top w:val="nil"/>
            <w:left w:val="nil"/>
            <w:bottom w:val="nil"/>
            <w:right w:val="nil"/>
          </w:tcBorders>
        </w:tcPr>
        <w:p w:rsidR="00A66CA7" w:rsidRDefault="00A66CA7" w:rsidP="00912981">
          <w:pPr>
            <w:pStyle w:val="Footer"/>
            <w:jc w:val="right"/>
          </w:pPr>
          <w:r>
            <w:rPr>
              <w:noProof/>
            </w:rPr>
            <w:drawing>
              <wp:inline distT="0" distB="0" distL="0" distR="0">
                <wp:extent cx="1257300" cy="619125"/>
                <wp:effectExtent l="19050" t="0" r="0" b="0"/>
                <wp:docPr id="1" name="Picture 2"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srcRect/>
                        <a:stretch>
                          <a:fillRect/>
                        </a:stretch>
                      </pic:blipFill>
                      <pic:spPr bwMode="auto">
                        <a:xfrm>
                          <a:off x="0" y="0"/>
                          <a:ext cx="1257300" cy="619125"/>
                        </a:xfrm>
                        <a:prstGeom prst="rect">
                          <a:avLst/>
                        </a:prstGeom>
                        <a:noFill/>
                        <a:ln w="9525">
                          <a:noFill/>
                          <a:miter lim="800000"/>
                          <a:headEnd/>
                          <a:tailEnd/>
                        </a:ln>
                      </pic:spPr>
                    </pic:pic>
                  </a:graphicData>
                </a:graphic>
              </wp:inline>
            </w:drawing>
          </w:r>
        </w:p>
      </w:tc>
    </w:tr>
  </w:tbl>
  <w:p w:rsidR="00A66CA7" w:rsidRDefault="00A66C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50B6" w:rsidRDefault="000750B6">
      <w:r>
        <w:separator/>
      </w:r>
    </w:p>
  </w:footnote>
  <w:footnote w:type="continuationSeparator" w:id="0">
    <w:p w:rsidR="000750B6" w:rsidRDefault="000750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01436"/>
    <w:multiLevelType w:val="hybridMultilevel"/>
    <w:tmpl w:val="1C3A57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revisionView w:markup="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rsids>
    <w:rsidRoot w:val="003E03F1"/>
    <w:rsid w:val="000750B6"/>
    <w:rsid w:val="000807E4"/>
    <w:rsid w:val="000D759D"/>
    <w:rsid w:val="00155FE7"/>
    <w:rsid w:val="001B514F"/>
    <w:rsid w:val="001B7426"/>
    <w:rsid w:val="001D47B5"/>
    <w:rsid w:val="00206A06"/>
    <w:rsid w:val="00246CB6"/>
    <w:rsid w:val="00282E08"/>
    <w:rsid w:val="00284D4C"/>
    <w:rsid w:val="002A5328"/>
    <w:rsid w:val="002A6EE2"/>
    <w:rsid w:val="00321C91"/>
    <w:rsid w:val="00376466"/>
    <w:rsid w:val="003A0151"/>
    <w:rsid w:val="003E03F1"/>
    <w:rsid w:val="003E7420"/>
    <w:rsid w:val="00415421"/>
    <w:rsid w:val="0046168B"/>
    <w:rsid w:val="004C1418"/>
    <w:rsid w:val="004C564C"/>
    <w:rsid w:val="005015B8"/>
    <w:rsid w:val="005A61E0"/>
    <w:rsid w:val="005B20B7"/>
    <w:rsid w:val="005B6C0E"/>
    <w:rsid w:val="005F4F71"/>
    <w:rsid w:val="0062102B"/>
    <w:rsid w:val="006815DD"/>
    <w:rsid w:val="006B7988"/>
    <w:rsid w:val="006E1130"/>
    <w:rsid w:val="00707D99"/>
    <w:rsid w:val="007708A6"/>
    <w:rsid w:val="00841A93"/>
    <w:rsid w:val="00860428"/>
    <w:rsid w:val="0089356C"/>
    <w:rsid w:val="008C5020"/>
    <w:rsid w:val="008C682E"/>
    <w:rsid w:val="008D3392"/>
    <w:rsid w:val="008D6022"/>
    <w:rsid w:val="008F5645"/>
    <w:rsid w:val="009022A4"/>
    <w:rsid w:val="00912981"/>
    <w:rsid w:val="0092112B"/>
    <w:rsid w:val="00967036"/>
    <w:rsid w:val="00990C2C"/>
    <w:rsid w:val="00991EE0"/>
    <w:rsid w:val="00994981"/>
    <w:rsid w:val="009B2428"/>
    <w:rsid w:val="009C2D17"/>
    <w:rsid w:val="00A32652"/>
    <w:rsid w:val="00A466D5"/>
    <w:rsid w:val="00A66CA7"/>
    <w:rsid w:val="00AB0B35"/>
    <w:rsid w:val="00AC242E"/>
    <w:rsid w:val="00AF6128"/>
    <w:rsid w:val="00B06A48"/>
    <w:rsid w:val="00B23B2E"/>
    <w:rsid w:val="00BB4E1B"/>
    <w:rsid w:val="00C10B27"/>
    <w:rsid w:val="00CA6128"/>
    <w:rsid w:val="00CD48C2"/>
    <w:rsid w:val="00D208C5"/>
    <w:rsid w:val="00D941C8"/>
    <w:rsid w:val="00DE05FA"/>
    <w:rsid w:val="00E259C6"/>
    <w:rsid w:val="00E64142"/>
    <w:rsid w:val="00E75840"/>
    <w:rsid w:val="00EB5A75"/>
    <w:rsid w:val="00EF41AC"/>
    <w:rsid w:val="00F15BE3"/>
    <w:rsid w:val="00F21D07"/>
    <w:rsid w:val="00F53868"/>
    <w:rsid w:val="00F57D18"/>
    <w:rsid w:val="00FA15E6"/>
    <w:rsid w:val="00FB2C02"/>
    <w:rsid w:val="00FC0274"/>
    <w:rsid w:val="00FF1C33"/>
    <w:rsid w:val="00FF4BC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6022"/>
    <w:rPr>
      <w:rFonts w:ascii="Arial" w:hAnsi="Arial"/>
      <w:sz w:val="24"/>
    </w:rPr>
  </w:style>
  <w:style w:type="paragraph" w:styleId="Heading1">
    <w:name w:val="heading 1"/>
    <w:basedOn w:val="Normal"/>
    <w:next w:val="Normal"/>
    <w:qFormat/>
    <w:rsid w:val="008D6022"/>
    <w:pPr>
      <w:keepNext/>
      <w:outlineLvl w:val="0"/>
    </w:pPr>
    <w:rPr>
      <w:rFonts w:ascii="Univers" w:hAnsi="Univers"/>
      <w:b/>
      <w:kern w:val="28"/>
    </w:rPr>
  </w:style>
  <w:style w:type="paragraph" w:styleId="Heading5">
    <w:name w:val="heading 5"/>
    <w:basedOn w:val="Normal"/>
    <w:next w:val="Normal"/>
    <w:qFormat/>
    <w:rsid w:val="008D6022"/>
    <w:pPr>
      <w:keepNext/>
      <w:outlineLvl w:val="4"/>
    </w:pPr>
    <w:rPr>
      <w:rFonts w:ascii="Univers" w:hAnsi="Univers"/>
      <w:b/>
      <w:u w:val="single"/>
    </w:rPr>
  </w:style>
  <w:style w:type="paragraph" w:styleId="Heading6">
    <w:name w:val="heading 6"/>
    <w:basedOn w:val="Normal"/>
    <w:next w:val="Normal"/>
    <w:qFormat/>
    <w:rsid w:val="008D6022"/>
    <w:pPr>
      <w:keepNext/>
      <w:outlineLvl w:val="5"/>
    </w:pPr>
    <w:rPr>
      <w:rFonts w:ascii="Univers" w:hAnsi="Univers"/>
      <w:b/>
    </w:rPr>
  </w:style>
  <w:style w:type="paragraph" w:styleId="Heading7">
    <w:name w:val="heading 7"/>
    <w:basedOn w:val="Normal"/>
    <w:next w:val="Normal"/>
    <w:qFormat/>
    <w:rsid w:val="008D6022"/>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D6022"/>
  </w:style>
  <w:style w:type="paragraph" w:styleId="BodyText2">
    <w:name w:val="Body Text 2"/>
    <w:basedOn w:val="Normal"/>
    <w:rsid w:val="008D6022"/>
    <w:rPr>
      <w:rFonts w:ascii="Univers" w:hAnsi="Univers"/>
      <w:b/>
      <w:u w:val="single"/>
    </w:rPr>
  </w:style>
  <w:style w:type="paragraph" w:styleId="BodyTextIndent">
    <w:name w:val="Body Text Indent"/>
    <w:basedOn w:val="Normal"/>
    <w:rsid w:val="008D6022"/>
    <w:pPr>
      <w:ind w:left="720" w:firstLine="720"/>
    </w:pPr>
    <w:rPr>
      <w:rFonts w:ascii="Times New Roman" w:hAnsi="Times New Roman"/>
    </w:rPr>
  </w:style>
  <w:style w:type="paragraph" w:styleId="BodyText">
    <w:name w:val="Body Text"/>
    <w:basedOn w:val="Normal"/>
    <w:rsid w:val="008D6022"/>
  </w:style>
  <w:style w:type="paragraph" w:styleId="Footer">
    <w:name w:val="footer"/>
    <w:basedOn w:val="Normal"/>
    <w:rsid w:val="008D6022"/>
    <w:pPr>
      <w:tabs>
        <w:tab w:val="center" w:pos="4153"/>
        <w:tab w:val="right" w:pos="8306"/>
      </w:tabs>
    </w:pPr>
  </w:style>
  <w:style w:type="character" w:styleId="PageNumber">
    <w:name w:val="page number"/>
    <w:basedOn w:val="DefaultParagraphFont"/>
    <w:rsid w:val="008D6022"/>
  </w:style>
  <w:style w:type="paragraph" w:styleId="BalloonText">
    <w:name w:val="Balloon Text"/>
    <w:basedOn w:val="Normal"/>
    <w:semiHidden/>
    <w:rsid w:val="00BF7B57"/>
    <w:rPr>
      <w:rFonts w:ascii="Tahoma" w:hAnsi="Tahoma" w:cs="Tahoma"/>
      <w:sz w:val="16"/>
      <w:szCs w:val="16"/>
    </w:rPr>
  </w:style>
  <w:style w:type="character" w:styleId="CommentReference">
    <w:name w:val="annotation reference"/>
    <w:basedOn w:val="DefaultParagraphFont"/>
    <w:semiHidden/>
    <w:rsid w:val="0058092A"/>
    <w:rPr>
      <w:sz w:val="16"/>
      <w:szCs w:val="16"/>
    </w:rPr>
  </w:style>
  <w:style w:type="paragraph" w:styleId="CommentText">
    <w:name w:val="annotation text"/>
    <w:basedOn w:val="Normal"/>
    <w:semiHidden/>
    <w:rsid w:val="0058092A"/>
    <w:rPr>
      <w:sz w:val="20"/>
    </w:rPr>
  </w:style>
  <w:style w:type="paragraph" w:styleId="CommentSubject">
    <w:name w:val="annotation subject"/>
    <w:basedOn w:val="CommentText"/>
    <w:next w:val="CommentText"/>
    <w:semiHidden/>
    <w:rsid w:val="0058092A"/>
    <w:rPr>
      <w:b/>
      <w:bCs/>
    </w:rPr>
  </w:style>
  <w:style w:type="table" w:styleId="TableGrid">
    <w:name w:val="Table Grid"/>
    <w:basedOn w:val="TableNormal"/>
    <w:rsid w:val="00AC24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4C1418"/>
    <w:rPr>
      <w:rFonts w:ascii="Arial" w:hAnsi="Arial"/>
      <w:sz w:val="24"/>
    </w:rPr>
  </w:style>
  <w:style w:type="character" w:styleId="Hyperlink">
    <w:name w:val="Hyperlink"/>
    <w:basedOn w:val="DefaultParagraphFont"/>
    <w:rsid w:val="0096703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5157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ynn.mappin@lancashire.gov.uk"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Chris\Toolkit%20templates\Annex%204%20-%20Report%20to%20Individual%20Cabinet%20Member%20-%20for%20Deci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C9E7E-4230-4BFB-A676-CF4DDE606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 4 - Report to Individual Cabinet Member - for Decision</Template>
  <TotalTime>1</TotalTime>
  <Pages>5</Pages>
  <Words>1809</Words>
  <Characters>9832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Report to the insert Leader, Deputy Leader or Cabinet Member for (title) - as appropriate</vt:lpstr>
    </vt:vector>
  </TitlesOfParts>
  <Company> </Company>
  <LinksUpToDate>false</LinksUpToDate>
  <CharactersWithSpaces>11618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the insert Leader, Deputy Leader or Cabinet Member for (title) - as appropriate</dc:title>
  <dc:subject/>
  <dc:creator>rdmcm</dc:creator>
  <cp:keywords/>
  <dc:description>Nov 2012</dc:description>
  <cp:lastModifiedBy>jmansfield001</cp:lastModifiedBy>
  <cp:revision>4</cp:revision>
  <cp:lastPrinted>2009-08-04T09:45:00Z</cp:lastPrinted>
  <dcterms:created xsi:type="dcterms:W3CDTF">2014-01-24T11:10:00Z</dcterms:created>
  <dcterms:modified xsi:type="dcterms:W3CDTF">2014-01-24T11:11:00Z</dcterms:modified>
</cp:coreProperties>
</file>