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BF7D2" w14:textId="77777777" w:rsidR="000204E0" w:rsidRDefault="00627545" w:rsidP="00C17CD8">
      <w:pPr>
        <w:pStyle w:val="Heading6"/>
        <w:rPr>
          <w:rFonts w:ascii="Arial" w:hAnsi="Arial"/>
        </w:rPr>
      </w:pPr>
      <w:r>
        <w:rPr>
          <w:noProof/>
        </w:rPr>
        <mc:AlternateContent>
          <mc:Choice Requires="wps">
            <w:drawing>
              <wp:anchor distT="0" distB="0" distL="114300" distR="114300" simplePos="0" relativeHeight="251657728" behindDoc="0" locked="0" layoutInCell="1" allowOverlap="1" wp14:anchorId="63B0269D" wp14:editId="4DE1303C">
                <wp:simplePos x="0" y="0"/>
                <wp:positionH relativeFrom="margin">
                  <wp:posOffset>3459480</wp:posOffset>
                </wp:positionH>
                <wp:positionV relativeFrom="paragraph">
                  <wp:posOffset>-476250</wp:posOffset>
                </wp:positionV>
                <wp:extent cx="2438400" cy="327660"/>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27660"/>
                        </a:xfrm>
                        <a:prstGeom prst="rect">
                          <a:avLst/>
                        </a:prstGeom>
                        <a:solidFill>
                          <a:srgbClr val="FFFFFF"/>
                        </a:solidFill>
                        <a:ln w="9525">
                          <a:solidFill>
                            <a:srgbClr val="000000"/>
                          </a:solidFill>
                          <a:miter lim="800000"/>
                          <a:headEnd/>
                          <a:tailEnd/>
                        </a:ln>
                      </wps:spPr>
                      <wps:txbx>
                        <w:txbxContent>
                          <w:p w14:paraId="29EDCF98" w14:textId="64BB23EA" w:rsidR="006B6256" w:rsidRPr="00603DEC" w:rsidRDefault="006B6256" w:rsidP="00F37C68">
                            <w:pPr>
                              <w:ind w:left="1440"/>
                              <w:rPr>
                                <w:b/>
                                <w:sz w:val="28"/>
                                <w:szCs w:val="28"/>
                              </w:rPr>
                            </w:pPr>
                            <w:r w:rsidRPr="00603DEC">
                              <w:rPr>
                                <w:b/>
                                <w:sz w:val="28"/>
                                <w:szCs w:val="28"/>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B0269D" id="_x0000_t202" coordsize="21600,21600" o:spt="202" path="m,l,21600r21600,l21600,xe">
                <v:stroke joinstyle="miter"/>
                <v:path gradientshapeok="t" o:connecttype="rect"/>
              </v:shapetype>
              <v:shape id="Text Box 2" o:spid="_x0000_s1026" type="#_x0000_t202" style="position:absolute;margin-left:272.4pt;margin-top:-37.5pt;width:192pt;height:25.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">
                <v:textbox>
                  <w:txbxContent>
                    <w:p w14:paraId="29EDCF98" w14:textId="64BB23EA" w:rsidR="006B6256" w:rsidRPr="00603DEC" w:rsidRDefault="006B6256" w:rsidP="00F37C68">
                      <w:pPr>
                        <w:ind w:left="1440"/>
                        <w:rPr>
                          <w:b/>
                          <w:sz w:val="28"/>
                          <w:szCs w:val="28"/>
                        </w:rPr>
                      </w:pPr>
                      <w:r w:rsidRPr="00603DEC">
                        <w:rPr>
                          <w:b/>
                          <w:sz w:val="28"/>
                          <w:szCs w:val="28"/>
                        </w:rPr>
                        <w:t>Appendix A</w:t>
                      </w:r>
                    </w:p>
                  </w:txbxContent>
                </v:textbox>
                <w10:wrap anchorx="margin"/>
              </v:shape>
            </w:pict>
          </mc:Fallback>
        </mc:AlternateContent>
      </w:r>
    </w:p>
    <w:p w14:paraId="67CEEDBB" w14:textId="3372F2F5" w:rsidR="00AB2052" w:rsidRPr="00D76BC1" w:rsidRDefault="00D76BC1" w:rsidP="00F37C68">
      <w:pPr>
        <w:rPr>
          <w:b/>
          <w:sz w:val="28"/>
          <w:szCs w:val="28"/>
        </w:rPr>
      </w:pPr>
      <w:r w:rsidRPr="00D76BC1">
        <w:rPr>
          <w:b/>
          <w:sz w:val="28"/>
          <w:szCs w:val="28"/>
        </w:rPr>
        <w:t>T</w:t>
      </w:r>
      <w:r w:rsidR="00F96523">
        <w:rPr>
          <w:b/>
          <w:sz w:val="28"/>
          <w:szCs w:val="28"/>
        </w:rPr>
        <w:t xml:space="preserve">reasury </w:t>
      </w:r>
      <w:r w:rsidRPr="00D76BC1">
        <w:rPr>
          <w:b/>
          <w:sz w:val="28"/>
          <w:szCs w:val="28"/>
        </w:rPr>
        <w:t>M</w:t>
      </w:r>
      <w:r w:rsidR="00F96523">
        <w:rPr>
          <w:b/>
          <w:sz w:val="28"/>
          <w:szCs w:val="28"/>
        </w:rPr>
        <w:t>anagement</w:t>
      </w:r>
      <w:r w:rsidRPr="00D76BC1">
        <w:rPr>
          <w:b/>
          <w:sz w:val="28"/>
          <w:szCs w:val="28"/>
        </w:rPr>
        <w:t xml:space="preserve"> Activity</w:t>
      </w:r>
      <w:r w:rsidR="007D2084">
        <w:rPr>
          <w:b/>
          <w:sz w:val="28"/>
          <w:szCs w:val="28"/>
        </w:rPr>
        <w:t xml:space="preserve"> Report</w:t>
      </w:r>
      <w:r w:rsidRPr="00D76BC1">
        <w:rPr>
          <w:b/>
          <w:sz w:val="28"/>
          <w:szCs w:val="28"/>
        </w:rPr>
        <w:t xml:space="preserve"> </w:t>
      </w:r>
      <w:r w:rsidR="00B41B77">
        <w:rPr>
          <w:b/>
          <w:sz w:val="28"/>
          <w:szCs w:val="28"/>
        </w:rPr>
        <w:t>1 April – 31 August</w:t>
      </w:r>
      <w:r w:rsidRPr="00D76BC1">
        <w:rPr>
          <w:b/>
          <w:sz w:val="28"/>
          <w:szCs w:val="28"/>
        </w:rPr>
        <w:t xml:space="preserve"> </w:t>
      </w:r>
      <w:r w:rsidR="00AD3E3C">
        <w:rPr>
          <w:b/>
          <w:sz w:val="28"/>
          <w:szCs w:val="28"/>
        </w:rPr>
        <w:t>2014-15</w:t>
      </w:r>
    </w:p>
    <w:p w14:paraId="088312DA" w14:textId="77777777" w:rsidR="000D2521" w:rsidRDefault="000D2521" w:rsidP="00257EF6">
      <w:pPr>
        <w:pStyle w:val="ListParagraph"/>
        <w:ind w:left="0"/>
        <w:rPr>
          <w:b/>
          <w:szCs w:val="24"/>
        </w:rPr>
      </w:pPr>
    </w:p>
    <w:p w14:paraId="2776E899" w14:textId="77777777" w:rsidR="00BE75C4" w:rsidRDefault="00BE75C4" w:rsidP="006B2962">
      <w:pPr>
        <w:pStyle w:val="ListParagraph"/>
        <w:numPr>
          <w:ilvl w:val="0"/>
          <w:numId w:val="13"/>
        </w:numPr>
        <w:rPr>
          <w:b/>
          <w:szCs w:val="24"/>
        </w:rPr>
      </w:pPr>
      <w:r>
        <w:rPr>
          <w:b/>
          <w:szCs w:val="24"/>
        </w:rPr>
        <w:t>Background</w:t>
      </w:r>
    </w:p>
    <w:p w14:paraId="17C6004A" w14:textId="77777777" w:rsidR="004E1A7A" w:rsidRPr="004E1A7A" w:rsidRDefault="004E1A7A" w:rsidP="004E1A7A">
      <w:pPr>
        <w:jc w:val="both"/>
        <w:rPr>
          <w:szCs w:val="24"/>
        </w:rPr>
      </w:pPr>
      <w:r w:rsidRPr="004E1A7A">
        <w:rPr>
          <w:szCs w:val="24"/>
        </w:rPr>
        <w:t xml:space="preserve">The County Council’s treasury management activity is underpinned by CIPFA’s Code of Practice on Treasury Management (“the Code”), which requires authorities to produce annually Prudential Indicators and a Treasury Management Strategy Statement on the likely financing and investment activity. The Code also recommends that members are informed of treasury management activities at least twice a year.  </w:t>
      </w:r>
    </w:p>
    <w:p w14:paraId="2205CE08" w14:textId="77777777" w:rsidR="00BE75C4" w:rsidRDefault="00BE75C4" w:rsidP="00BE75C4">
      <w:pPr>
        <w:jc w:val="both"/>
      </w:pPr>
    </w:p>
    <w:p w14:paraId="53BDD6C2" w14:textId="77777777" w:rsidR="00AD3E3C" w:rsidRDefault="00BE75C4" w:rsidP="007828C9">
      <w:pPr>
        <w:jc w:val="both"/>
      </w:pPr>
      <w:r>
        <w:t>This r</w:t>
      </w:r>
      <w:r w:rsidR="00AE2AD0">
        <w:t xml:space="preserve">eport considers treasury management activity </w:t>
      </w:r>
      <w:r w:rsidR="005C5BB1">
        <w:t xml:space="preserve">between </w:t>
      </w:r>
      <w:r w:rsidR="00A70459">
        <w:t>1</w:t>
      </w:r>
      <w:r w:rsidR="00A70459" w:rsidRPr="00A70459">
        <w:rPr>
          <w:vertAlign w:val="superscript"/>
        </w:rPr>
        <w:t>st</w:t>
      </w:r>
      <w:r w:rsidR="00A70459">
        <w:t xml:space="preserve"> </w:t>
      </w:r>
      <w:r w:rsidR="00AD3E3C">
        <w:t xml:space="preserve">April and </w:t>
      </w:r>
      <w:r w:rsidR="00A70459">
        <w:t>31</w:t>
      </w:r>
      <w:r w:rsidR="00A70459" w:rsidRPr="00A70459">
        <w:rPr>
          <w:vertAlign w:val="superscript"/>
        </w:rPr>
        <w:t>st</w:t>
      </w:r>
      <w:r w:rsidR="00A70459">
        <w:t xml:space="preserve"> </w:t>
      </w:r>
      <w:r w:rsidR="00AD3E3C">
        <w:t>August 2014</w:t>
      </w:r>
      <w:r w:rsidR="007974A0">
        <w:t>.</w:t>
      </w:r>
    </w:p>
    <w:p w14:paraId="34E49FC0" w14:textId="35C8321B" w:rsidR="00BE75C4" w:rsidRDefault="00BE75C4" w:rsidP="007828C9">
      <w:pPr>
        <w:jc w:val="both"/>
      </w:pPr>
    </w:p>
    <w:p w14:paraId="19C2C0E4" w14:textId="77777777" w:rsidR="00152D50" w:rsidRPr="00AC6359" w:rsidRDefault="0077384F" w:rsidP="00DE1885">
      <w:pPr>
        <w:pStyle w:val="ListParagraph"/>
        <w:numPr>
          <w:ilvl w:val="0"/>
          <w:numId w:val="13"/>
        </w:numPr>
        <w:jc w:val="both"/>
        <w:rPr>
          <w:b/>
        </w:rPr>
      </w:pPr>
      <w:r w:rsidRPr="007433DB">
        <w:rPr>
          <w:b/>
        </w:rPr>
        <w:t>Economic Overview</w:t>
      </w:r>
      <w:r w:rsidR="007974A0">
        <w:rPr>
          <w:b/>
        </w:rPr>
        <w:t xml:space="preserve"> </w:t>
      </w:r>
    </w:p>
    <w:p w14:paraId="5F6EAA97" w14:textId="77777777" w:rsidR="00E26C0C" w:rsidRPr="00E26C0C" w:rsidRDefault="00E26C0C" w:rsidP="00E26C0C">
      <w:pPr>
        <w:pStyle w:val="NormalWeb"/>
        <w:spacing w:after="0"/>
        <w:jc w:val="both"/>
        <w:rPr>
          <w:color w:val="000000"/>
          <w:sz w:val="24"/>
          <w:szCs w:val="24"/>
          <w:lang w:val="en"/>
        </w:rPr>
      </w:pPr>
      <w:r w:rsidRPr="00E26C0C">
        <w:rPr>
          <w:b/>
          <w:color w:val="000000"/>
          <w:sz w:val="24"/>
          <w:szCs w:val="24"/>
          <w:lang w:val="en"/>
        </w:rPr>
        <w:t>UK Monetary Policy</w:t>
      </w:r>
      <w:r w:rsidRPr="00E26C0C">
        <w:rPr>
          <w:color w:val="000000"/>
          <w:sz w:val="24"/>
          <w:szCs w:val="24"/>
          <w:lang w:val="en"/>
        </w:rPr>
        <w:t xml:space="preserve">: The MPC </w:t>
      </w:r>
      <w:r w:rsidR="00A26335">
        <w:rPr>
          <w:color w:val="000000"/>
          <w:sz w:val="24"/>
          <w:szCs w:val="24"/>
          <w:lang w:val="en"/>
        </w:rPr>
        <w:t xml:space="preserve">has </w:t>
      </w:r>
      <w:r w:rsidRPr="00E26C0C">
        <w:rPr>
          <w:color w:val="000000"/>
          <w:sz w:val="24"/>
          <w:szCs w:val="24"/>
          <w:lang w:val="en"/>
        </w:rPr>
        <w:t>made no change to the Bank Rate of 0.5% and maintained asset purchases at £375bn</w:t>
      </w:r>
      <w:r w:rsidR="00A26335">
        <w:rPr>
          <w:color w:val="000000"/>
          <w:sz w:val="24"/>
          <w:szCs w:val="24"/>
          <w:lang w:val="en"/>
        </w:rPr>
        <w:t xml:space="preserve"> during this period</w:t>
      </w:r>
      <w:r w:rsidRPr="00E26C0C">
        <w:rPr>
          <w:color w:val="000000"/>
          <w:sz w:val="24"/>
          <w:szCs w:val="24"/>
          <w:lang w:val="en"/>
        </w:rPr>
        <w:t>.  However, there was a marked shift in tone from the Bank of England’s Governor and other MPC members.  In his Mansion House speech in June</w:t>
      </w:r>
      <w:r w:rsidR="007974A0">
        <w:rPr>
          <w:color w:val="000000"/>
          <w:sz w:val="24"/>
          <w:szCs w:val="24"/>
          <w:lang w:val="en"/>
        </w:rPr>
        <w:t>,</w:t>
      </w:r>
      <w:r w:rsidRPr="00E26C0C">
        <w:rPr>
          <w:color w:val="000000"/>
          <w:sz w:val="24"/>
          <w:szCs w:val="24"/>
          <w:lang w:val="en"/>
        </w:rPr>
        <w:t xml:space="preserve"> Governor Mark Carney warned that interest rates might rise sooner than financial markets were expecting. The minutes of the MPC’s June meeting outlined the Bank’s central view that whilst wage growth and inflation had been weak, </w:t>
      </w:r>
      <w:r w:rsidRPr="00E26C0C">
        <w:rPr>
          <w:color w:val="000000"/>
          <w:sz w:val="24"/>
          <w:szCs w:val="24"/>
          <w:lang w:val="en"/>
        </w:rPr>
        <w:lastRenderedPageBreak/>
        <w:t xml:space="preserve">economic activity had been stronger than expected and the policy decision had therefore become more ‘balanced’ for some members on the Committee than earlier in the year. </w:t>
      </w:r>
    </w:p>
    <w:p w14:paraId="339352CD" w14:textId="77777777" w:rsidR="00E26C0C" w:rsidRPr="00E26C0C" w:rsidRDefault="00E26C0C" w:rsidP="00152D50">
      <w:pPr>
        <w:pStyle w:val="NormalWeb"/>
        <w:spacing w:after="0"/>
        <w:jc w:val="both"/>
        <w:rPr>
          <w:b/>
          <w:color w:val="000000"/>
          <w:sz w:val="24"/>
          <w:szCs w:val="24"/>
          <w:lang w:val="en"/>
        </w:rPr>
      </w:pPr>
    </w:p>
    <w:p w14:paraId="35DC4430" w14:textId="77777777" w:rsidR="00152D50" w:rsidRDefault="00152D50" w:rsidP="00152D50">
      <w:pPr>
        <w:pStyle w:val="NormalWeb"/>
        <w:spacing w:after="0"/>
        <w:jc w:val="both"/>
        <w:rPr>
          <w:color w:val="000000"/>
          <w:sz w:val="24"/>
          <w:szCs w:val="24"/>
          <w:lang w:val="en"/>
        </w:rPr>
      </w:pPr>
      <w:r w:rsidRPr="00E26C0C">
        <w:rPr>
          <w:b/>
          <w:color w:val="000000"/>
          <w:sz w:val="24"/>
          <w:szCs w:val="24"/>
          <w:lang w:val="en"/>
        </w:rPr>
        <w:t>Growth:</w:t>
      </w:r>
      <w:r w:rsidRPr="00E26C0C">
        <w:rPr>
          <w:color w:val="000000"/>
          <w:sz w:val="24"/>
          <w:szCs w:val="24"/>
          <w:lang w:val="en"/>
        </w:rPr>
        <w:t xml:space="preserve"> The recent strong performance of the UK economy continued with </w:t>
      </w:r>
      <w:r w:rsidR="001A0A84">
        <w:rPr>
          <w:color w:val="000000"/>
          <w:sz w:val="24"/>
          <w:szCs w:val="24"/>
          <w:lang w:val="en"/>
        </w:rPr>
        <w:t>GDP</w:t>
      </w:r>
      <w:r w:rsidRPr="00E26C0C">
        <w:rPr>
          <w:color w:val="000000"/>
          <w:sz w:val="24"/>
          <w:szCs w:val="24"/>
          <w:lang w:val="en"/>
        </w:rPr>
        <w:t xml:space="preserve"> growing at </w:t>
      </w:r>
      <w:r w:rsidR="001A0A84">
        <w:rPr>
          <w:color w:val="000000"/>
          <w:sz w:val="24"/>
          <w:szCs w:val="24"/>
          <w:lang w:val="en"/>
        </w:rPr>
        <w:t xml:space="preserve">an average rate of </w:t>
      </w:r>
      <w:r w:rsidRPr="00E26C0C">
        <w:rPr>
          <w:color w:val="000000"/>
          <w:sz w:val="24"/>
          <w:szCs w:val="24"/>
          <w:lang w:val="en"/>
        </w:rPr>
        <w:t>0.8%</w:t>
      </w:r>
      <w:r w:rsidR="001A0A84">
        <w:rPr>
          <w:color w:val="000000"/>
          <w:sz w:val="24"/>
          <w:szCs w:val="24"/>
          <w:lang w:val="en"/>
        </w:rPr>
        <w:t xml:space="preserve"> per quarter since the middle of 2013.</w:t>
      </w:r>
      <w:r w:rsidRPr="00E26C0C">
        <w:rPr>
          <w:color w:val="000000"/>
          <w:sz w:val="24"/>
          <w:szCs w:val="24"/>
          <w:lang w:val="en"/>
        </w:rPr>
        <w:t xml:space="preserve"> </w:t>
      </w:r>
      <w:r w:rsidR="001A0A84">
        <w:rPr>
          <w:color w:val="000000"/>
          <w:sz w:val="24"/>
          <w:szCs w:val="24"/>
          <w:lang w:val="en"/>
        </w:rPr>
        <w:t>Whilst still largely driven by household consumption, business investment is recovering, albeit from a very low base, and should support the continued expansion of GDP throughout the year.</w:t>
      </w:r>
    </w:p>
    <w:p w14:paraId="5E30A460" w14:textId="77777777" w:rsidR="001A0A84" w:rsidRPr="00E26C0C" w:rsidRDefault="001A0A84" w:rsidP="00152D50">
      <w:pPr>
        <w:pStyle w:val="NormalWeb"/>
        <w:spacing w:after="0"/>
        <w:jc w:val="both"/>
        <w:rPr>
          <w:sz w:val="24"/>
          <w:szCs w:val="24"/>
        </w:rPr>
      </w:pPr>
    </w:p>
    <w:p w14:paraId="0B1EE6E5" w14:textId="77777777" w:rsidR="00152D50" w:rsidRPr="00E26C0C" w:rsidRDefault="00152D50" w:rsidP="00152D50">
      <w:pPr>
        <w:spacing w:line="270" w:lineRule="atLeast"/>
        <w:jc w:val="both"/>
        <w:rPr>
          <w:rFonts w:cs="Arial"/>
          <w:szCs w:val="24"/>
        </w:rPr>
      </w:pPr>
      <w:r w:rsidRPr="00E26C0C">
        <w:rPr>
          <w:rFonts w:cs="Arial"/>
          <w:b/>
          <w:color w:val="000000"/>
          <w:szCs w:val="24"/>
          <w:lang w:val="en"/>
        </w:rPr>
        <w:t xml:space="preserve">Unemployment: </w:t>
      </w:r>
      <w:r w:rsidRPr="00E26C0C">
        <w:rPr>
          <w:rFonts w:cs="Arial"/>
          <w:szCs w:val="24"/>
        </w:rPr>
        <w:t xml:space="preserve">The labour market continued to improve, with job growth strong and the headline unemployment rate falling to 6.6%. However, earnings growth </w:t>
      </w:r>
      <w:r w:rsidR="001A0A84">
        <w:rPr>
          <w:rFonts w:cs="Arial"/>
          <w:szCs w:val="24"/>
        </w:rPr>
        <w:t>continues to deteriorate with an annual decline of -0.2% in June.</w:t>
      </w:r>
      <w:r w:rsidRPr="00E26C0C">
        <w:rPr>
          <w:rFonts w:cs="Arial"/>
          <w:szCs w:val="24"/>
        </w:rPr>
        <w:t xml:space="preserve"> </w:t>
      </w:r>
      <w:r w:rsidR="001A0A84">
        <w:rPr>
          <w:rFonts w:cs="Arial"/>
          <w:szCs w:val="24"/>
        </w:rPr>
        <w:t>E</w:t>
      </w:r>
      <w:r w:rsidRPr="00E26C0C">
        <w:rPr>
          <w:rFonts w:cs="Arial"/>
          <w:szCs w:val="24"/>
        </w:rPr>
        <w:t xml:space="preserve">mployment growth </w:t>
      </w:r>
      <w:r w:rsidR="001A0A84">
        <w:rPr>
          <w:rFonts w:cs="Arial"/>
          <w:szCs w:val="24"/>
        </w:rPr>
        <w:t xml:space="preserve">is </w:t>
      </w:r>
      <w:r w:rsidRPr="00E26C0C">
        <w:rPr>
          <w:rFonts w:cs="Arial"/>
          <w:szCs w:val="24"/>
        </w:rPr>
        <w:t>mask</w:t>
      </w:r>
      <w:r w:rsidR="001A0A84">
        <w:rPr>
          <w:rFonts w:cs="Arial"/>
          <w:szCs w:val="24"/>
        </w:rPr>
        <w:t>ing extensive spare capacity with self-</w:t>
      </w:r>
      <w:r w:rsidR="00126861">
        <w:rPr>
          <w:rFonts w:cs="Arial"/>
          <w:szCs w:val="24"/>
        </w:rPr>
        <w:t xml:space="preserve"> employment and</w:t>
      </w:r>
      <w:r w:rsidRPr="00E26C0C">
        <w:rPr>
          <w:rFonts w:cs="Arial"/>
          <w:szCs w:val="24"/>
        </w:rPr>
        <w:t xml:space="preserve"> a large number on zero-hour contracts and w</w:t>
      </w:r>
      <w:r w:rsidR="00126861">
        <w:rPr>
          <w:rFonts w:cs="Arial"/>
          <w:szCs w:val="24"/>
        </w:rPr>
        <w:t xml:space="preserve">orking part-time involuntarily, underemployment is still a significant </w:t>
      </w:r>
      <w:proofErr w:type="gramStart"/>
      <w:r w:rsidR="00126861">
        <w:rPr>
          <w:rFonts w:cs="Arial"/>
          <w:szCs w:val="24"/>
        </w:rPr>
        <w:t>factor</w:t>
      </w:r>
      <w:proofErr w:type="gramEnd"/>
      <w:r w:rsidR="00126861">
        <w:rPr>
          <w:rFonts w:cs="Arial"/>
          <w:szCs w:val="24"/>
        </w:rPr>
        <w:t xml:space="preserve"> within the workforce. </w:t>
      </w:r>
    </w:p>
    <w:p w14:paraId="3B8CA7DF" w14:textId="77777777" w:rsidR="00152D50" w:rsidRPr="00E26C0C" w:rsidRDefault="00152D50" w:rsidP="00152D50">
      <w:pPr>
        <w:spacing w:line="270" w:lineRule="atLeast"/>
        <w:jc w:val="both"/>
        <w:rPr>
          <w:rFonts w:cs="Arial"/>
          <w:szCs w:val="24"/>
        </w:rPr>
      </w:pPr>
    </w:p>
    <w:p w14:paraId="1E10F732" w14:textId="77777777" w:rsidR="00152D50" w:rsidRPr="00E26C0C" w:rsidRDefault="00152D50" w:rsidP="00152D50">
      <w:pPr>
        <w:pStyle w:val="NormalWeb"/>
        <w:spacing w:after="0"/>
        <w:jc w:val="both"/>
        <w:rPr>
          <w:color w:val="000000"/>
          <w:sz w:val="24"/>
          <w:szCs w:val="24"/>
          <w:lang w:val="en"/>
        </w:rPr>
      </w:pPr>
      <w:r w:rsidRPr="00E26C0C">
        <w:rPr>
          <w:b/>
          <w:color w:val="000000"/>
          <w:sz w:val="24"/>
          <w:szCs w:val="24"/>
          <w:lang w:val="en"/>
        </w:rPr>
        <w:t xml:space="preserve">Inflation: </w:t>
      </w:r>
      <w:r w:rsidRPr="00E26C0C">
        <w:rPr>
          <w:color w:val="000000"/>
          <w:sz w:val="24"/>
          <w:szCs w:val="24"/>
          <w:lang w:val="en"/>
        </w:rPr>
        <w:t xml:space="preserve">CPI inflation for May fell to 1.5% year-on-year from 1.8% which was lower than market expectations.  Even though inflation was expected to tick marginally higher in coming months, it was still expected to remain just below the Bank’s 2% target. </w:t>
      </w:r>
    </w:p>
    <w:p w14:paraId="5ECF5A52" w14:textId="77777777" w:rsidR="00152D50" w:rsidRPr="00E26C0C" w:rsidRDefault="00152D50" w:rsidP="00152D50">
      <w:pPr>
        <w:pStyle w:val="NormalWeb"/>
        <w:spacing w:after="0"/>
        <w:rPr>
          <w:color w:val="000000"/>
          <w:sz w:val="24"/>
          <w:szCs w:val="24"/>
          <w:lang w:val="en"/>
        </w:rPr>
      </w:pPr>
    </w:p>
    <w:p w14:paraId="53C8EEBA" w14:textId="77777777" w:rsidR="00152D50" w:rsidRPr="00E26C0C" w:rsidRDefault="00152D50" w:rsidP="00152D50">
      <w:pPr>
        <w:spacing w:line="270" w:lineRule="atLeast"/>
        <w:jc w:val="both"/>
        <w:rPr>
          <w:rFonts w:cs="Arial"/>
          <w:szCs w:val="24"/>
        </w:rPr>
      </w:pPr>
      <w:r w:rsidRPr="00E26C0C">
        <w:rPr>
          <w:rFonts w:cs="Arial"/>
          <w:szCs w:val="24"/>
        </w:rPr>
        <w:t xml:space="preserve">The Bank’s Financial Policy Committee also announced a range of measures to cool the UK’s housing market to avert the potential of spiralling house prices derailing a sustainable economic recovery. </w:t>
      </w:r>
      <w:r w:rsidRPr="00E26C0C">
        <w:rPr>
          <w:rFonts w:cs="Arial"/>
          <w:szCs w:val="24"/>
        </w:rPr>
        <w:lastRenderedPageBreak/>
        <w:t xml:space="preserve">Key recommendations included lenders stress-testing mortgage applicants can cope with a 3% rise in interest rates; putting a 15% cap on the number of mortgages at more than 4.5 times the borrower’s income; and a separate Treasury pledge banning anyone applying for a loan through the Help to Buy scheme borrowing more than 4.5 times their income. The Prudential Regulation Authority also announced that it intends to consult on capital requirements for mortgages. </w:t>
      </w:r>
    </w:p>
    <w:p w14:paraId="5E7B47D6" w14:textId="77777777" w:rsidR="00152D50" w:rsidRPr="00E26C0C" w:rsidRDefault="00152D50" w:rsidP="00152D50">
      <w:pPr>
        <w:pStyle w:val="NormalWeb"/>
        <w:spacing w:after="0"/>
        <w:rPr>
          <w:color w:val="000000"/>
          <w:sz w:val="24"/>
          <w:szCs w:val="24"/>
          <w:lang w:val="en"/>
        </w:rPr>
      </w:pPr>
    </w:p>
    <w:p w14:paraId="3A7FB6A8" w14:textId="12BEF969" w:rsidR="00152D50" w:rsidRPr="00E26C0C" w:rsidRDefault="00A26335" w:rsidP="00152D50">
      <w:pPr>
        <w:pStyle w:val="NormalWeb"/>
        <w:spacing w:after="0"/>
        <w:jc w:val="both"/>
        <w:rPr>
          <w:color w:val="000000"/>
          <w:sz w:val="24"/>
          <w:szCs w:val="24"/>
          <w:lang w:val="en"/>
        </w:rPr>
      </w:pPr>
      <w:r>
        <w:rPr>
          <w:color w:val="000000"/>
          <w:sz w:val="24"/>
          <w:szCs w:val="24"/>
          <w:lang w:val="en"/>
        </w:rPr>
        <w:t>Against a darkening economic background in Europe i</w:t>
      </w:r>
      <w:r w:rsidR="00152D50" w:rsidRPr="00E26C0C">
        <w:rPr>
          <w:color w:val="000000"/>
          <w:sz w:val="24"/>
          <w:szCs w:val="24"/>
          <w:lang w:val="en"/>
        </w:rPr>
        <w:t>n June</w:t>
      </w:r>
      <w:r w:rsidR="00770CEE">
        <w:rPr>
          <w:color w:val="000000"/>
          <w:sz w:val="24"/>
          <w:szCs w:val="24"/>
          <w:lang w:val="en"/>
        </w:rPr>
        <w:t xml:space="preserve"> and again in </w:t>
      </w:r>
      <w:r>
        <w:rPr>
          <w:color w:val="000000"/>
          <w:sz w:val="24"/>
          <w:szCs w:val="24"/>
          <w:lang w:val="en"/>
        </w:rPr>
        <w:t>September</w:t>
      </w:r>
      <w:r w:rsidR="00152D50" w:rsidRPr="00E26C0C">
        <w:rPr>
          <w:color w:val="000000"/>
          <w:sz w:val="24"/>
          <w:szCs w:val="24"/>
          <w:lang w:val="en"/>
        </w:rPr>
        <w:t xml:space="preserve"> the European Central Bank announced interest rate cuts along with a raft of non-conventional measures to head off the growing threat of deflation in the Eurozone.  The ECB cut main policy rates (refinancing rate) from 0.25%</w:t>
      </w:r>
      <w:r>
        <w:rPr>
          <w:color w:val="000000"/>
          <w:sz w:val="24"/>
          <w:szCs w:val="24"/>
          <w:lang w:val="en"/>
        </w:rPr>
        <w:t>in May</w:t>
      </w:r>
      <w:r w:rsidR="00152D50" w:rsidRPr="00E26C0C">
        <w:rPr>
          <w:color w:val="000000"/>
          <w:sz w:val="24"/>
          <w:szCs w:val="24"/>
          <w:lang w:val="en"/>
        </w:rPr>
        <w:t xml:space="preserve"> to 0.</w:t>
      </w:r>
      <w:r>
        <w:rPr>
          <w:color w:val="000000"/>
          <w:sz w:val="24"/>
          <w:szCs w:val="24"/>
          <w:lang w:val="en"/>
        </w:rPr>
        <w:t>0</w:t>
      </w:r>
      <w:r w:rsidR="00152D50" w:rsidRPr="00E26C0C">
        <w:rPr>
          <w:color w:val="000000"/>
          <w:sz w:val="24"/>
          <w:szCs w:val="24"/>
          <w:lang w:val="en"/>
        </w:rPr>
        <w:t>5%</w:t>
      </w:r>
      <w:r w:rsidR="00770CEE">
        <w:rPr>
          <w:color w:val="000000"/>
          <w:sz w:val="24"/>
          <w:szCs w:val="24"/>
          <w:lang w:val="en"/>
        </w:rPr>
        <w:t xml:space="preserve"> </w:t>
      </w:r>
      <w:r>
        <w:rPr>
          <w:color w:val="000000"/>
          <w:sz w:val="24"/>
          <w:szCs w:val="24"/>
          <w:lang w:val="en"/>
        </w:rPr>
        <w:t>by the beginning of September</w:t>
      </w:r>
      <w:r w:rsidR="00152D50" w:rsidRPr="00E26C0C">
        <w:rPr>
          <w:color w:val="000000"/>
          <w:sz w:val="24"/>
          <w:szCs w:val="24"/>
          <w:lang w:val="en"/>
        </w:rPr>
        <w:t xml:space="preserve"> to encourage banks to </w:t>
      </w:r>
      <w:r w:rsidR="00152D50" w:rsidRPr="00E26C0C">
        <w:rPr>
          <w:sz w:val="24"/>
          <w:szCs w:val="24"/>
        </w:rPr>
        <w:t>lend to businesses and generate economic growth, it</w:t>
      </w:r>
      <w:r w:rsidR="00152D50" w:rsidRPr="00E26C0C">
        <w:rPr>
          <w:color w:val="000000"/>
          <w:sz w:val="24"/>
          <w:szCs w:val="24"/>
          <w:lang w:val="en"/>
        </w:rPr>
        <w:t xml:space="preserve"> also cut the deposit rate to </w:t>
      </w:r>
      <w:r w:rsidR="00152D50" w:rsidRPr="00E26C0C">
        <w:rPr>
          <w:color w:val="000000"/>
          <w:sz w:val="24"/>
          <w:szCs w:val="24"/>
          <w:lang w:val="en"/>
        </w:rPr>
        <w:noBreakHyphen/>
        <w:t>0.</w:t>
      </w:r>
      <w:r>
        <w:rPr>
          <w:color w:val="000000"/>
          <w:sz w:val="24"/>
          <w:szCs w:val="24"/>
          <w:lang w:val="en"/>
        </w:rPr>
        <w:t>2</w:t>
      </w:r>
      <w:r w:rsidR="00152D50" w:rsidRPr="00E26C0C">
        <w:rPr>
          <w:color w:val="000000"/>
          <w:sz w:val="24"/>
          <w:szCs w:val="24"/>
          <w:lang w:val="en"/>
        </w:rPr>
        <w:t xml:space="preserve">0% </w:t>
      </w:r>
      <w:r w:rsidR="00152D50" w:rsidRPr="00E26C0C">
        <w:rPr>
          <w:sz w:val="24"/>
          <w:szCs w:val="24"/>
        </w:rPr>
        <w:t xml:space="preserve">which in effect means that commercial banks must pay </w:t>
      </w:r>
      <w:r w:rsidR="007974A0">
        <w:rPr>
          <w:sz w:val="24"/>
          <w:szCs w:val="24"/>
        </w:rPr>
        <w:t>to</w:t>
      </w:r>
      <w:r w:rsidR="00152D50" w:rsidRPr="00E26C0C">
        <w:rPr>
          <w:sz w:val="24"/>
          <w:szCs w:val="24"/>
        </w:rPr>
        <w:t xml:space="preserve"> deposit funds at the central bank.</w:t>
      </w:r>
      <w:r>
        <w:rPr>
          <w:sz w:val="24"/>
          <w:szCs w:val="24"/>
        </w:rPr>
        <w:t xml:space="preserve"> </w:t>
      </w:r>
    </w:p>
    <w:p w14:paraId="508F23AC" w14:textId="77777777" w:rsidR="00152D50" w:rsidRPr="00E26C0C" w:rsidRDefault="00152D50" w:rsidP="00152D50">
      <w:pPr>
        <w:pStyle w:val="NormalWeb"/>
        <w:spacing w:after="0"/>
        <w:rPr>
          <w:color w:val="000000"/>
          <w:sz w:val="24"/>
          <w:szCs w:val="24"/>
          <w:lang w:val="en"/>
        </w:rPr>
      </w:pPr>
    </w:p>
    <w:p w14:paraId="1E5852C1" w14:textId="77777777" w:rsidR="00152D50" w:rsidRPr="00E26C0C" w:rsidRDefault="00152D50" w:rsidP="00152D50">
      <w:pPr>
        <w:keepNext/>
        <w:widowControl w:val="0"/>
        <w:tabs>
          <w:tab w:val="left" w:pos="720"/>
        </w:tabs>
        <w:suppressAutoHyphens/>
        <w:spacing w:line="270" w:lineRule="atLeast"/>
        <w:jc w:val="both"/>
        <w:outlineLvl w:val="0"/>
        <w:rPr>
          <w:rFonts w:cs="Arial"/>
          <w:szCs w:val="24"/>
        </w:rPr>
      </w:pPr>
      <w:r w:rsidRPr="00E26C0C">
        <w:rPr>
          <w:rFonts w:cs="Arial"/>
          <w:color w:val="000000"/>
          <w:szCs w:val="24"/>
          <w:lang w:val="en"/>
        </w:rPr>
        <w:t xml:space="preserve">There was no change from the US Federal Reserve as the central bank kept policy on its current track with a reduction in asset purchases by $10 billion to $35 billion per month. The sharp downward revision to US GDP in Q1 to -2.9% </w:t>
      </w:r>
      <w:proofErr w:type="spellStart"/>
      <w:r w:rsidRPr="00E26C0C">
        <w:rPr>
          <w:rFonts w:cs="Arial"/>
          <w:color w:val="000000"/>
          <w:szCs w:val="24"/>
          <w:lang w:val="en"/>
        </w:rPr>
        <w:t>annualised</w:t>
      </w:r>
      <w:proofErr w:type="spellEnd"/>
      <w:r w:rsidRPr="00E26C0C">
        <w:rPr>
          <w:rFonts w:cs="Arial"/>
          <w:color w:val="000000"/>
          <w:szCs w:val="24"/>
          <w:lang w:val="en"/>
        </w:rPr>
        <w:t xml:space="preserve"> was strongly influenced by severe weather deterring consumers from going out and spending. GDP in Q2 of 2014 is expected to rebound, taking the annual average rate of growth over the last four quarters </w:t>
      </w:r>
      <w:r w:rsidRPr="00E26C0C">
        <w:rPr>
          <w:rFonts w:cs="Arial"/>
          <w:color w:val="000000"/>
          <w:szCs w:val="24"/>
          <w:lang w:val="en"/>
        </w:rPr>
        <w:lastRenderedPageBreak/>
        <w:t>ending in Q2 to a more sustainable level of 2%.</w:t>
      </w:r>
    </w:p>
    <w:p w14:paraId="3D6B84B7" w14:textId="77777777" w:rsidR="00152D50" w:rsidRPr="00E26C0C" w:rsidRDefault="00152D50" w:rsidP="00152D50">
      <w:pPr>
        <w:keepNext/>
        <w:widowControl w:val="0"/>
        <w:tabs>
          <w:tab w:val="left" w:pos="720"/>
        </w:tabs>
        <w:suppressAutoHyphens/>
        <w:spacing w:line="260" w:lineRule="atLeast"/>
        <w:jc w:val="both"/>
        <w:outlineLvl w:val="0"/>
        <w:rPr>
          <w:rFonts w:cs="Arial"/>
          <w:szCs w:val="24"/>
        </w:rPr>
      </w:pPr>
    </w:p>
    <w:p w14:paraId="60CF28B6" w14:textId="77777777" w:rsidR="00152D50" w:rsidRPr="00AD3E3C" w:rsidRDefault="00152D50" w:rsidP="00DE1885">
      <w:pPr>
        <w:rPr>
          <w:highlight w:val="yellow"/>
        </w:rPr>
      </w:pPr>
    </w:p>
    <w:p w14:paraId="0659ABDB" w14:textId="77777777" w:rsidR="007828C9" w:rsidRPr="00300716" w:rsidRDefault="006B2962" w:rsidP="007828C9">
      <w:pPr>
        <w:pStyle w:val="Heading2"/>
        <w:jc w:val="both"/>
        <w:rPr>
          <w:rFonts w:ascii="Arial" w:hAnsi="Arial" w:cs="Arial"/>
          <w:color w:val="auto"/>
          <w:sz w:val="24"/>
          <w:szCs w:val="24"/>
        </w:rPr>
      </w:pPr>
      <w:r w:rsidRPr="00300716">
        <w:rPr>
          <w:rFonts w:ascii="Arial" w:hAnsi="Arial" w:cs="Arial"/>
          <w:color w:val="auto"/>
          <w:sz w:val="24"/>
          <w:szCs w:val="24"/>
        </w:rPr>
        <w:t>2.1</w:t>
      </w:r>
      <w:r w:rsidRPr="00300716">
        <w:rPr>
          <w:rFonts w:ascii="Arial" w:hAnsi="Arial" w:cs="Arial"/>
          <w:color w:val="auto"/>
          <w:sz w:val="24"/>
          <w:szCs w:val="24"/>
        </w:rPr>
        <w:tab/>
      </w:r>
      <w:r w:rsidR="00DE1885" w:rsidRPr="00300716">
        <w:rPr>
          <w:rFonts w:ascii="Arial" w:hAnsi="Arial" w:cs="Arial"/>
          <w:color w:val="auto"/>
          <w:sz w:val="24"/>
          <w:szCs w:val="24"/>
        </w:rPr>
        <w:t>I</w:t>
      </w:r>
      <w:r w:rsidR="007828C9" w:rsidRPr="00300716">
        <w:rPr>
          <w:rFonts w:ascii="Arial" w:hAnsi="Arial" w:cs="Arial"/>
          <w:color w:val="auto"/>
          <w:sz w:val="24"/>
          <w:szCs w:val="24"/>
        </w:rPr>
        <w:t>nterest Rate Environment</w:t>
      </w:r>
    </w:p>
    <w:p w14:paraId="3922ACF4" w14:textId="77777777" w:rsidR="007828C9" w:rsidRPr="00300716" w:rsidRDefault="007828C9" w:rsidP="007828C9"/>
    <w:p w14:paraId="0251CF8E" w14:textId="77777777" w:rsidR="007828C9" w:rsidRPr="00300716" w:rsidRDefault="007828C9" w:rsidP="007828C9">
      <w:pPr>
        <w:jc w:val="both"/>
      </w:pPr>
      <w:r w:rsidRPr="00300716">
        <w:t xml:space="preserve">Short term interest rates continue at the very low levels since the Bank of England reduced base rate to 0.5% in March 2009. The chart below shows that there has been very little movement in short term interest rates over the first three quarters of the </w:t>
      </w:r>
      <w:r w:rsidR="00300716" w:rsidRPr="00300716">
        <w:t>calendar</w:t>
      </w:r>
      <w:r w:rsidRPr="00300716">
        <w:t xml:space="preserve"> year.</w:t>
      </w:r>
    </w:p>
    <w:p w14:paraId="179435EF" w14:textId="77777777" w:rsidR="007828C9" w:rsidRDefault="007828C9" w:rsidP="007828C9">
      <w:pPr>
        <w:jc w:val="both"/>
        <w:rPr>
          <w:highlight w:val="yellow"/>
        </w:rPr>
      </w:pPr>
    </w:p>
    <w:p w14:paraId="2BE5BFE9" w14:textId="77777777" w:rsidR="006D58F2" w:rsidRPr="00AD3E3C" w:rsidRDefault="00627545" w:rsidP="007828C9">
      <w:pPr>
        <w:jc w:val="both"/>
        <w:rPr>
          <w:highlight w:val="yellow"/>
        </w:rPr>
      </w:pPr>
      <w:r>
        <w:rPr>
          <w:noProof/>
        </w:rPr>
        <w:drawing>
          <wp:inline distT="0" distB="0" distL="0" distR="0" wp14:anchorId="0AECA2F0" wp14:editId="33337621">
            <wp:extent cx="5501005" cy="3168015"/>
            <wp:effectExtent l="0" t="0" r="23495" b="133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000CF6" w14:textId="77777777" w:rsidR="007828C9" w:rsidRPr="00300716" w:rsidRDefault="007828C9" w:rsidP="007828C9"/>
    <w:p w14:paraId="24FDFF81" w14:textId="77777777" w:rsidR="007828C9" w:rsidRPr="00300716" w:rsidRDefault="007828C9" w:rsidP="007828C9"/>
    <w:p w14:paraId="3F3FABF0" w14:textId="77777777" w:rsidR="007828C9" w:rsidRPr="00300716" w:rsidRDefault="007828C9" w:rsidP="007828C9">
      <w:r w:rsidRPr="00300716">
        <w:t>Current longer term PWLB rates are shown below.</w:t>
      </w:r>
    </w:p>
    <w:p w14:paraId="08B3F93F" w14:textId="77777777" w:rsidR="007828C9" w:rsidRPr="00AD3E3C" w:rsidRDefault="007828C9" w:rsidP="007828C9">
      <w:pPr>
        <w:rPr>
          <w:highlight w:val="yellow"/>
        </w:rPr>
      </w:pPr>
    </w:p>
    <w:p w14:paraId="7B6D9E4E" w14:textId="77777777" w:rsidR="007828C9" w:rsidRPr="00AD3E3C" w:rsidRDefault="00627545" w:rsidP="007828C9">
      <w:pPr>
        <w:rPr>
          <w:highlight w:val="yellow"/>
        </w:rPr>
      </w:pPr>
      <w:r>
        <w:rPr>
          <w:noProof/>
        </w:rPr>
        <w:lastRenderedPageBreak/>
        <w:drawing>
          <wp:inline distT="0" distB="0" distL="0" distR="0" wp14:anchorId="58479885" wp14:editId="4DB2F990">
            <wp:extent cx="5454650" cy="3340100"/>
            <wp:effectExtent l="0" t="0" r="12700" b="1270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5F0DEC" w14:textId="77777777" w:rsidR="007828C9" w:rsidRPr="00AD3E3C" w:rsidRDefault="007828C9" w:rsidP="007828C9">
      <w:pPr>
        <w:jc w:val="both"/>
        <w:rPr>
          <w:highlight w:val="yellow"/>
        </w:rPr>
      </w:pPr>
    </w:p>
    <w:p w14:paraId="54A5ECAD" w14:textId="77777777" w:rsidR="007828C9" w:rsidRPr="00300716" w:rsidRDefault="007828C9" w:rsidP="007828C9">
      <w:pPr>
        <w:jc w:val="both"/>
      </w:pPr>
    </w:p>
    <w:p w14:paraId="7C758FCC" w14:textId="77777777" w:rsidR="007828C9" w:rsidRDefault="00126861" w:rsidP="007828C9">
      <w:pPr>
        <w:jc w:val="both"/>
      </w:pPr>
      <w:r>
        <w:t>Following a period where c</w:t>
      </w:r>
      <w:r w:rsidR="007828C9" w:rsidRPr="00300716">
        <w:t>entral bank liquidity injections</w:t>
      </w:r>
      <w:r w:rsidR="00F36DC9" w:rsidRPr="00300716">
        <w:t xml:space="preserve">, </w:t>
      </w:r>
      <w:r w:rsidR="007828C9" w:rsidRPr="00300716">
        <w:t>the abatement of the euro crisis and the economic recovery has seen a reduction in demand for safe haven asset</w:t>
      </w:r>
      <w:r>
        <w:t xml:space="preserve">s including UK Government gilts, towards the end of the period geopolitical factors weighed heavily on </w:t>
      </w:r>
      <w:r w:rsidR="007828C9" w:rsidRPr="00300716">
        <w:t>gilt yields and consequently in P</w:t>
      </w:r>
      <w:r w:rsidR="00F36DC9" w:rsidRPr="00300716">
        <w:t>ublic Works Loan Board</w:t>
      </w:r>
      <w:r w:rsidR="007828C9" w:rsidRPr="00300716">
        <w:t xml:space="preserve"> interest rates, with a noticeable </w:t>
      </w:r>
      <w:r>
        <w:t>flattening</w:t>
      </w:r>
      <w:r w:rsidR="007828C9" w:rsidRPr="00300716">
        <w:t xml:space="preserve"> of the curve in the medium term. </w:t>
      </w:r>
    </w:p>
    <w:p w14:paraId="451A74FA" w14:textId="77777777" w:rsidR="00126861" w:rsidRDefault="00126861" w:rsidP="007828C9">
      <w:pPr>
        <w:jc w:val="both"/>
      </w:pPr>
    </w:p>
    <w:p w14:paraId="23067C01" w14:textId="77777777" w:rsidR="00126861" w:rsidRPr="00300716" w:rsidRDefault="00126861" w:rsidP="007828C9">
      <w:pPr>
        <w:jc w:val="both"/>
      </w:pPr>
    </w:p>
    <w:p w14:paraId="4ACFFC64" w14:textId="77777777" w:rsidR="007828C9" w:rsidRPr="00AD3E3C" w:rsidRDefault="007828C9" w:rsidP="007828C9">
      <w:pPr>
        <w:rPr>
          <w:highlight w:val="yellow"/>
        </w:rPr>
      </w:pPr>
    </w:p>
    <w:p w14:paraId="281273DA" w14:textId="77777777" w:rsidR="007828C9" w:rsidRPr="007433DB" w:rsidRDefault="006B2962" w:rsidP="007828C9">
      <w:pPr>
        <w:jc w:val="both"/>
        <w:rPr>
          <w:b/>
        </w:rPr>
      </w:pPr>
      <w:r w:rsidRPr="007433DB">
        <w:rPr>
          <w:b/>
        </w:rPr>
        <w:t>2.2</w:t>
      </w:r>
      <w:r w:rsidRPr="007433DB">
        <w:rPr>
          <w:b/>
        </w:rPr>
        <w:tab/>
      </w:r>
      <w:r w:rsidR="007828C9" w:rsidRPr="007433DB">
        <w:rPr>
          <w:b/>
        </w:rPr>
        <w:t>Outlook for Interest Rates</w:t>
      </w:r>
    </w:p>
    <w:p w14:paraId="66F33EC5" w14:textId="77777777" w:rsidR="001130C7" w:rsidRDefault="001130C7" w:rsidP="001130C7">
      <w:pPr>
        <w:pStyle w:val="Default"/>
        <w:rPr>
          <w:rFonts w:cs="Times New Roman"/>
          <w:color w:val="auto"/>
        </w:rPr>
      </w:pPr>
    </w:p>
    <w:p w14:paraId="1CBBFDD6" w14:textId="77777777" w:rsidR="001130C7" w:rsidRPr="00152D50" w:rsidRDefault="001130C7" w:rsidP="001130C7">
      <w:pPr>
        <w:pStyle w:val="Default"/>
        <w:rPr>
          <w:rFonts w:ascii="Arial" w:hAnsi="Arial" w:cs="Arial"/>
        </w:rPr>
      </w:pPr>
      <w:r w:rsidRPr="00152D50">
        <w:rPr>
          <w:rFonts w:ascii="Arial" w:hAnsi="Arial" w:cs="Arial"/>
        </w:rPr>
        <w:t xml:space="preserve">Treasury Consultants </w:t>
      </w:r>
      <w:proofErr w:type="spellStart"/>
      <w:r w:rsidRPr="00152D50">
        <w:rPr>
          <w:rFonts w:ascii="Arial" w:hAnsi="Arial" w:cs="Arial"/>
        </w:rPr>
        <w:t>Arlingclose</w:t>
      </w:r>
      <w:proofErr w:type="spellEnd"/>
      <w:r w:rsidRPr="00152D50">
        <w:rPr>
          <w:rFonts w:ascii="Arial" w:hAnsi="Arial" w:cs="Arial"/>
        </w:rPr>
        <w:t xml:space="preserve"> Ltd forecast the first rise in official interest rates in Q3 2015, which is </w:t>
      </w:r>
      <w:r w:rsidR="00C23E5B">
        <w:rPr>
          <w:rFonts w:ascii="Arial" w:hAnsi="Arial" w:cs="Arial"/>
        </w:rPr>
        <w:t>earlier</w:t>
      </w:r>
      <w:r w:rsidRPr="00152D50">
        <w:rPr>
          <w:rFonts w:ascii="Arial" w:hAnsi="Arial" w:cs="Arial"/>
        </w:rPr>
        <w:t xml:space="preserve"> than general market sentiment. There is clear momentum in the economy, but inflation is benign and currently sits below target. </w:t>
      </w:r>
      <w:r w:rsidR="00126861">
        <w:rPr>
          <w:rFonts w:ascii="Arial" w:hAnsi="Arial" w:cs="Arial"/>
        </w:rPr>
        <w:t>This situation</w:t>
      </w:r>
      <w:r w:rsidRPr="00152D50">
        <w:rPr>
          <w:rFonts w:ascii="Arial" w:hAnsi="Arial" w:cs="Arial"/>
        </w:rPr>
        <w:t xml:space="preserve"> </w:t>
      </w:r>
      <w:r w:rsidR="00126861">
        <w:rPr>
          <w:rFonts w:ascii="Arial" w:hAnsi="Arial" w:cs="Arial"/>
        </w:rPr>
        <w:t xml:space="preserve">is </w:t>
      </w:r>
      <w:r w:rsidRPr="00152D50">
        <w:rPr>
          <w:rFonts w:ascii="Arial" w:hAnsi="Arial" w:cs="Arial"/>
        </w:rPr>
        <w:t>expect</w:t>
      </w:r>
      <w:r w:rsidR="00126861">
        <w:rPr>
          <w:rFonts w:ascii="Arial" w:hAnsi="Arial" w:cs="Arial"/>
        </w:rPr>
        <w:t xml:space="preserve">ed </w:t>
      </w:r>
      <w:r w:rsidRPr="00152D50">
        <w:rPr>
          <w:rFonts w:ascii="Arial" w:hAnsi="Arial" w:cs="Arial"/>
        </w:rPr>
        <w:t xml:space="preserve">to persist for some time, reducing the need for immediate monetary tightening </w:t>
      </w:r>
    </w:p>
    <w:p w14:paraId="7305AE4A" w14:textId="77777777" w:rsidR="00152D50" w:rsidRPr="00152D50" w:rsidRDefault="00152D50" w:rsidP="00152D50">
      <w:pPr>
        <w:pStyle w:val="Default"/>
        <w:rPr>
          <w:rFonts w:ascii="Arial" w:hAnsi="Arial" w:cs="Arial"/>
        </w:rPr>
      </w:pPr>
    </w:p>
    <w:p w14:paraId="3BFC4BE3" w14:textId="77777777" w:rsidR="00AC6359" w:rsidRDefault="00126861" w:rsidP="00152D50">
      <w:pPr>
        <w:pStyle w:val="Default"/>
        <w:rPr>
          <w:rFonts w:ascii="Arial" w:hAnsi="Arial" w:cs="Arial"/>
        </w:rPr>
      </w:pPr>
      <w:proofErr w:type="spellStart"/>
      <w:r>
        <w:rPr>
          <w:rFonts w:ascii="Arial" w:hAnsi="Arial" w:cs="Arial"/>
        </w:rPr>
        <w:t>Arlingclose</w:t>
      </w:r>
      <w:proofErr w:type="spellEnd"/>
      <w:r>
        <w:rPr>
          <w:rFonts w:ascii="Arial" w:hAnsi="Arial" w:cs="Arial"/>
        </w:rPr>
        <w:t xml:space="preserve"> project </w:t>
      </w:r>
      <w:r w:rsidR="00152D50" w:rsidRPr="00152D50">
        <w:rPr>
          <w:rFonts w:ascii="Arial" w:hAnsi="Arial" w:cs="Arial"/>
        </w:rPr>
        <w:t>Gilt yields</w:t>
      </w:r>
      <w:r>
        <w:rPr>
          <w:rFonts w:ascii="Arial" w:hAnsi="Arial" w:cs="Arial"/>
        </w:rPr>
        <w:t xml:space="preserve"> </w:t>
      </w:r>
      <w:r w:rsidR="00152D50" w:rsidRPr="00152D50">
        <w:rPr>
          <w:rFonts w:ascii="Arial" w:hAnsi="Arial" w:cs="Arial"/>
        </w:rPr>
        <w:t xml:space="preserve">to climb on an upward path through the medium term as the recovery takes hold, notwithstanding temporary volatility due to the UK General Election and other geo-political events. </w:t>
      </w:r>
    </w:p>
    <w:p w14:paraId="58F818CF" w14:textId="77777777" w:rsidR="00152D50" w:rsidRDefault="00152D50" w:rsidP="00152D50">
      <w:pPr>
        <w:pStyle w:val="Default"/>
        <w:rPr>
          <w:rFonts w:ascii="Arial" w:hAnsi="Arial" w:cs="Arial"/>
        </w:rPr>
      </w:pPr>
    </w:p>
    <w:p w14:paraId="40DC92C5" w14:textId="77777777" w:rsidR="00152D50" w:rsidRPr="00AD3E3C" w:rsidRDefault="00152D50" w:rsidP="00152D50">
      <w:pPr>
        <w:pStyle w:val="Default"/>
        <w:rPr>
          <w:rFonts w:cs="Arial"/>
          <w:highlight w:val="yellow"/>
        </w:rPr>
      </w:pPr>
    </w:p>
    <w:tbl>
      <w:tblPr>
        <w:tblW w:w="5395" w:type="dxa"/>
        <w:tblInd w:w="630" w:type="dxa"/>
        <w:tblLook w:val="04A0" w:firstRow="1" w:lastRow="0" w:firstColumn="1" w:lastColumn="0" w:noHBand="0" w:noVBand="1"/>
      </w:tblPr>
      <w:tblGrid>
        <w:gridCol w:w="1555"/>
        <w:gridCol w:w="960"/>
        <w:gridCol w:w="960"/>
        <w:gridCol w:w="960"/>
        <w:gridCol w:w="960"/>
      </w:tblGrid>
      <w:tr w:rsidR="001130C7" w:rsidRPr="001130C7" w14:paraId="32EF894F" w14:textId="77777777" w:rsidTr="00586AD4">
        <w:trPr>
          <w:trHeight w:val="915"/>
        </w:trPr>
        <w:tc>
          <w:tcPr>
            <w:tcW w:w="155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8F753AD" w14:textId="77777777" w:rsidR="001130C7" w:rsidRPr="001130C7" w:rsidRDefault="001130C7" w:rsidP="001130C7">
            <w:pPr>
              <w:rPr>
                <w:rFonts w:cs="Arial"/>
                <w:color w:val="000000"/>
                <w:szCs w:val="24"/>
              </w:rPr>
            </w:pPr>
            <w:r w:rsidRPr="001130C7">
              <w:rPr>
                <w:rFonts w:cs="Arial"/>
                <w:color w:val="000000"/>
                <w:szCs w:val="24"/>
              </w:rPr>
              <w:t>Period</w:t>
            </w:r>
          </w:p>
        </w:tc>
        <w:tc>
          <w:tcPr>
            <w:tcW w:w="960" w:type="dxa"/>
            <w:tcBorders>
              <w:top w:val="single" w:sz="8" w:space="0" w:color="auto"/>
              <w:left w:val="nil"/>
              <w:bottom w:val="single" w:sz="8" w:space="0" w:color="auto"/>
              <w:right w:val="single" w:sz="8" w:space="0" w:color="auto"/>
            </w:tcBorders>
            <w:shd w:val="clear" w:color="000000" w:fill="C0C0C0"/>
            <w:vAlign w:val="center"/>
            <w:hideMark/>
          </w:tcPr>
          <w:p w14:paraId="7351F1F4" w14:textId="77777777" w:rsidR="001130C7" w:rsidRPr="001130C7" w:rsidRDefault="001130C7" w:rsidP="001130C7">
            <w:pPr>
              <w:jc w:val="center"/>
              <w:rPr>
                <w:rFonts w:cs="Arial"/>
                <w:color w:val="000000"/>
                <w:szCs w:val="24"/>
              </w:rPr>
            </w:pPr>
            <w:r w:rsidRPr="001130C7">
              <w:rPr>
                <w:rFonts w:cs="Arial"/>
                <w:color w:val="000000"/>
                <w:szCs w:val="24"/>
              </w:rPr>
              <w:t>Bank Rate</w:t>
            </w:r>
          </w:p>
        </w:tc>
        <w:tc>
          <w:tcPr>
            <w:tcW w:w="960" w:type="dxa"/>
            <w:tcBorders>
              <w:top w:val="single" w:sz="8" w:space="0" w:color="auto"/>
              <w:left w:val="nil"/>
              <w:bottom w:val="single" w:sz="8" w:space="0" w:color="auto"/>
              <w:right w:val="single" w:sz="8" w:space="0" w:color="auto"/>
            </w:tcBorders>
            <w:shd w:val="clear" w:color="000000" w:fill="C0C0C0"/>
            <w:vAlign w:val="center"/>
            <w:hideMark/>
          </w:tcPr>
          <w:p w14:paraId="29BC233D" w14:textId="77777777" w:rsidR="001130C7" w:rsidRPr="001130C7" w:rsidRDefault="001130C7" w:rsidP="001130C7">
            <w:pPr>
              <w:jc w:val="center"/>
              <w:rPr>
                <w:rFonts w:cs="Arial"/>
                <w:color w:val="000000"/>
                <w:szCs w:val="24"/>
              </w:rPr>
            </w:pPr>
            <w:r w:rsidRPr="001130C7">
              <w:rPr>
                <w:rFonts w:cs="Arial"/>
                <w:color w:val="000000"/>
                <w:szCs w:val="24"/>
              </w:rPr>
              <w:t>3 month LIBID</w:t>
            </w:r>
          </w:p>
        </w:tc>
        <w:tc>
          <w:tcPr>
            <w:tcW w:w="960" w:type="dxa"/>
            <w:tcBorders>
              <w:top w:val="single" w:sz="8" w:space="0" w:color="auto"/>
              <w:left w:val="nil"/>
              <w:bottom w:val="single" w:sz="8" w:space="0" w:color="auto"/>
              <w:right w:val="single" w:sz="8" w:space="0" w:color="auto"/>
            </w:tcBorders>
            <w:shd w:val="clear" w:color="000000" w:fill="C0C0C0"/>
            <w:vAlign w:val="center"/>
            <w:hideMark/>
          </w:tcPr>
          <w:p w14:paraId="31A0AFE8" w14:textId="77777777" w:rsidR="001130C7" w:rsidRPr="001130C7" w:rsidRDefault="001130C7" w:rsidP="001130C7">
            <w:pPr>
              <w:jc w:val="center"/>
              <w:rPr>
                <w:rFonts w:cs="Arial"/>
                <w:color w:val="000000"/>
                <w:szCs w:val="24"/>
              </w:rPr>
            </w:pPr>
            <w:r w:rsidRPr="001130C7">
              <w:rPr>
                <w:rFonts w:cs="Arial"/>
                <w:color w:val="000000"/>
                <w:szCs w:val="24"/>
              </w:rPr>
              <w:t>12 month LIBID</w:t>
            </w:r>
          </w:p>
        </w:tc>
        <w:tc>
          <w:tcPr>
            <w:tcW w:w="960" w:type="dxa"/>
            <w:tcBorders>
              <w:top w:val="single" w:sz="8" w:space="0" w:color="auto"/>
              <w:left w:val="nil"/>
              <w:bottom w:val="single" w:sz="8" w:space="0" w:color="auto"/>
              <w:right w:val="single" w:sz="8" w:space="0" w:color="auto"/>
            </w:tcBorders>
            <w:shd w:val="clear" w:color="000000" w:fill="C0C0C0"/>
            <w:vAlign w:val="center"/>
            <w:hideMark/>
          </w:tcPr>
          <w:p w14:paraId="7C891B76" w14:textId="77777777" w:rsidR="001130C7" w:rsidRPr="001130C7" w:rsidRDefault="001130C7" w:rsidP="001130C7">
            <w:pPr>
              <w:jc w:val="center"/>
              <w:rPr>
                <w:rFonts w:cs="Arial"/>
                <w:color w:val="000000"/>
                <w:szCs w:val="24"/>
              </w:rPr>
            </w:pPr>
            <w:r w:rsidRPr="001130C7">
              <w:rPr>
                <w:rFonts w:cs="Arial"/>
                <w:color w:val="000000"/>
                <w:szCs w:val="24"/>
              </w:rPr>
              <w:t>20-year Gilt Rate</w:t>
            </w:r>
          </w:p>
        </w:tc>
      </w:tr>
      <w:tr w:rsidR="001130C7" w:rsidRPr="001130C7" w14:paraId="798DD226" w14:textId="77777777" w:rsidTr="00586AD4">
        <w:trPr>
          <w:trHeight w:val="525"/>
        </w:trPr>
        <w:tc>
          <w:tcPr>
            <w:tcW w:w="1555" w:type="dxa"/>
            <w:tcBorders>
              <w:top w:val="nil"/>
              <w:left w:val="single" w:sz="8" w:space="0" w:color="auto"/>
              <w:bottom w:val="nil"/>
              <w:right w:val="single" w:sz="8" w:space="0" w:color="auto"/>
            </w:tcBorders>
            <w:shd w:val="clear" w:color="000000" w:fill="FFFFFF"/>
            <w:vAlign w:val="center"/>
            <w:hideMark/>
          </w:tcPr>
          <w:p w14:paraId="2A7376E3" w14:textId="77777777" w:rsidR="001130C7" w:rsidRPr="001130C7" w:rsidRDefault="001130C7" w:rsidP="001130C7">
            <w:pPr>
              <w:rPr>
                <w:rFonts w:cs="Arial"/>
                <w:color w:val="000000"/>
                <w:szCs w:val="24"/>
              </w:rPr>
            </w:pPr>
            <w:r w:rsidRPr="001130C7">
              <w:rPr>
                <w:rFonts w:cs="Arial"/>
                <w:color w:val="000000"/>
                <w:szCs w:val="24"/>
              </w:rPr>
              <w:t>Q3 2014</w:t>
            </w:r>
          </w:p>
        </w:tc>
        <w:tc>
          <w:tcPr>
            <w:tcW w:w="960" w:type="dxa"/>
            <w:tcBorders>
              <w:top w:val="nil"/>
              <w:left w:val="nil"/>
              <w:bottom w:val="nil"/>
              <w:right w:val="single" w:sz="8" w:space="0" w:color="auto"/>
            </w:tcBorders>
            <w:shd w:val="clear" w:color="000000" w:fill="FFFFFF"/>
            <w:noWrap/>
            <w:vAlign w:val="center"/>
            <w:hideMark/>
          </w:tcPr>
          <w:p w14:paraId="2AA4BE7A" w14:textId="77777777" w:rsidR="001130C7" w:rsidRPr="001130C7" w:rsidRDefault="001130C7" w:rsidP="001130C7">
            <w:pPr>
              <w:jc w:val="center"/>
              <w:rPr>
                <w:rFonts w:cs="Arial"/>
                <w:color w:val="000000"/>
                <w:szCs w:val="24"/>
              </w:rPr>
            </w:pPr>
            <w:r w:rsidRPr="001130C7">
              <w:rPr>
                <w:rFonts w:cs="Arial"/>
                <w:color w:val="000000"/>
                <w:szCs w:val="24"/>
              </w:rPr>
              <w:t>0.50</w:t>
            </w:r>
          </w:p>
        </w:tc>
        <w:tc>
          <w:tcPr>
            <w:tcW w:w="960" w:type="dxa"/>
            <w:tcBorders>
              <w:top w:val="nil"/>
              <w:left w:val="nil"/>
              <w:bottom w:val="nil"/>
              <w:right w:val="single" w:sz="8" w:space="0" w:color="auto"/>
            </w:tcBorders>
            <w:shd w:val="clear" w:color="000000" w:fill="FFFFFF"/>
            <w:noWrap/>
            <w:vAlign w:val="center"/>
            <w:hideMark/>
          </w:tcPr>
          <w:p w14:paraId="0D2C2A43" w14:textId="77777777" w:rsidR="001130C7" w:rsidRPr="001130C7" w:rsidRDefault="001130C7" w:rsidP="001130C7">
            <w:pPr>
              <w:jc w:val="center"/>
              <w:rPr>
                <w:rFonts w:cs="Arial"/>
                <w:color w:val="000000"/>
                <w:szCs w:val="24"/>
              </w:rPr>
            </w:pPr>
            <w:r w:rsidRPr="001130C7">
              <w:rPr>
                <w:rFonts w:cs="Arial"/>
                <w:color w:val="000000"/>
                <w:szCs w:val="24"/>
              </w:rPr>
              <w:t>0.50</w:t>
            </w:r>
          </w:p>
        </w:tc>
        <w:tc>
          <w:tcPr>
            <w:tcW w:w="960" w:type="dxa"/>
            <w:tcBorders>
              <w:top w:val="nil"/>
              <w:left w:val="nil"/>
              <w:bottom w:val="nil"/>
              <w:right w:val="single" w:sz="8" w:space="0" w:color="auto"/>
            </w:tcBorders>
            <w:shd w:val="clear" w:color="000000" w:fill="FFFFFF"/>
            <w:noWrap/>
            <w:vAlign w:val="center"/>
            <w:hideMark/>
          </w:tcPr>
          <w:p w14:paraId="725DFAF1" w14:textId="77777777" w:rsidR="001130C7" w:rsidRPr="001130C7" w:rsidRDefault="001130C7" w:rsidP="001130C7">
            <w:pPr>
              <w:jc w:val="center"/>
              <w:rPr>
                <w:rFonts w:cs="Arial"/>
                <w:color w:val="000000"/>
                <w:szCs w:val="24"/>
              </w:rPr>
            </w:pPr>
            <w:r w:rsidRPr="001130C7">
              <w:rPr>
                <w:rFonts w:cs="Arial"/>
                <w:color w:val="000000"/>
                <w:szCs w:val="24"/>
              </w:rPr>
              <w:t>0.90</w:t>
            </w:r>
          </w:p>
        </w:tc>
        <w:tc>
          <w:tcPr>
            <w:tcW w:w="960" w:type="dxa"/>
            <w:tcBorders>
              <w:top w:val="nil"/>
              <w:left w:val="nil"/>
              <w:bottom w:val="nil"/>
              <w:right w:val="single" w:sz="8" w:space="0" w:color="auto"/>
            </w:tcBorders>
            <w:shd w:val="clear" w:color="000000" w:fill="FFFFFF"/>
            <w:noWrap/>
            <w:vAlign w:val="center"/>
            <w:hideMark/>
          </w:tcPr>
          <w:p w14:paraId="1A70EF02" w14:textId="77777777" w:rsidR="001130C7" w:rsidRPr="001130C7" w:rsidRDefault="001130C7" w:rsidP="001130C7">
            <w:pPr>
              <w:jc w:val="center"/>
              <w:rPr>
                <w:rFonts w:cs="Arial"/>
                <w:color w:val="000000"/>
                <w:szCs w:val="24"/>
              </w:rPr>
            </w:pPr>
            <w:r w:rsidRPr="001130C7">
              <w:rPr>
                <w:rFonts w:cs="Arial"/>
                <w:color w:val="000000"/>
                <w:szCs w:val="24"/>
              </w:rPr>
              <w:t>3.00</w:t>
            </w:r>
          </w:p>
        </w:tc>
      </w:tr>
      <w:tr w:rsidR="001130C7" w:rsidRPr="001130C7" w14:paraId="3528662A" w14:textId="77777777" w:rsidTr="00586AD4">
        <w:trPr>
          <w:trHeight w:val="300"/>
        </w:trPr>
        <w:tc>
          <w:tcPr>
            <w:tcW w:w="1555" w:type="dxa"/>
            <w:tcBorders>
              <w:top w:val="nil"/>
              <w:left w:val="single" w:sz="8" w:space="0" w:color="auto"/>
              <w:bottom w:val="nil"/>
              <w:right w:val="single" w:sz="8" w:space="0" w:color="auto"/>
            </w:tcBorders>
            <w:shd w:val="clear" w:color="000000" w:fill="FFFFFF"/>
            <w:vAlign w:val="center"/>
            <w:hideMark/>
          </w:tcPr>
          <w:p w14:paraId="50C4055F" w14:textId="77777777" w:rsidR="001130C7" w:rsidRPr="001130C7" w:rsidRDefault="001130C7" w:rsidP="001130C7">
            <w:pPr>
              <w:rPr>
                <w:rFonts w:cs="Arial"/>
                <w:color w:val="000000"/>
                <w:szCs w:val="24"/>
              </w:rPr>
            </w:pPr>
            <w:r w:rsidRPr="001130C7">
              <w:rPr>
                <w:rFonts w:cs="Arial"/>
                <w:color w:val="000000"/>
                <w:szCs w:val="24"/>
              </w:rPr>
              <w:t>Q4 2014</w:t>
            </w:r>
          </w:p>
        </w:tc>
        <w:tc>
          <w:tcPr>
            <w:tcW w:w="960" w:type="dxa"/>
            <w:tcBorders>
              <w:top w:val="nil"/>
              <w:left w:val="nil"/>
              <w:bottom w:val="nil"/>
              <w:right w:val="single" w:sz="8" w:space="0" w:color="auto"/>
            </w:tcBorders>
            <w:shd w:val="clear" w:color="000000" w:fill="FFFFFF"/>
            <w:noWrap/>
            <w:vAlign w:val="center"/>
            <w:hideMark/>
          </w:tcPr>
          <w:p w14:paraId="0B0EFA3C" w14:textId="77777777" w:rsidR="001130C7" w:rsidRPr="001130C7" w:rsidRDefault="001130C7" w:rsidP="001130C7">
            <w:pPr>
              <w:jc w:val="center"/>
              <w:rPr>
                <w:rFonts w:cs="Arial"/>
                <w:color w:val="000000"/>
                <w:szCs w:val="24"/>
              </w:rPr>
            </w:pPr>
            <w:r w:rsidRPr="001130C7">
              <w:rPr>
                <w:rFonts w:cs="Arial"/>
                <w:color w:val="000000"/>
                <w:szCs w:val="24"/>
              </w:rPr>
              <w:t>0.50</w:t>
            </w:r>
          </w:p>
        </w:tc>
        <w:tc>
          <w:tcPr>
            <w:tcW w:w="960" w:type="dxa"/>
            <w:tcBorders>
              <w:top w:val="nil"/>
              <w:left w:val="nil"/>
              <w:bottom w:val="nil"/>
              <w:right w:val="single" w:sz="8" w:space="0" w:color="auto"/>
            </w:tcBorders>
            <w:shd w:val="clear" w:color="000000" w:fill="FFFFFF"/>
            <w:noWrap/>
            <w:vAlign w:val="center"/>
            <w:hideMark/>
          </w:tcPr>
          <w:p w14:paraId="58A298C7" w14:textId="77777777" w:rsidR="001130C7" w:rsidRPr="001130C7" w:rsidRDefault="001130C7" w:rsidP="001130C7">
            <w:pPr>
              <w:jc w:val="center"/>
              <w:rPr>
                <w:rFonts w:cs="Arial"/>
                <w:color w:val="000000"/>
                <w:szCs w:val="24"/>
              </w:rPr>
            </w:pPr>
            <w:r w:rsidRPr="001130C7">
              <w:rPr>
                <w:rFonts w:cs="Arial"/>
                <w:color w:val="000000"/>
                <w:szCs w:val="24"/>
              </w:rPr>
              <w:t>0.55</w:t>
            </w:r>
          </w:p>
        </w:tc>
        <w:tc>
          <w:tcPr>
            <w:tcW w:w="960" w:type="dxa"/>
            <w:tcBorders>
              <w:top w:val="nil"/>
              <w:left w:val="nil"/>
              <w:bottom w:val="nil"/>
              <w:right w:val="single" w:sz="8" w:space="0" w:color="auto"/>
            </w:tcBorders>
            <w:shd w:val="clear" w:color="000000" w:fill="FFFFFF"/>
            <w:noWrap/>
            <w:vAlign w:val="center"/>
            <w:hideMark/>
          </w:tcPr>
          <w:p w14:paraId="70CBE0FB" w14:textId="77777777" w:rsidR="001130C7" w:rsidRPr="001130C7" w:rsidRDefault="001130C7" w:rsidP="001130C7">
            <w:pPr>
              <w:jc w:val="center"/>
              <w:rPr>
                <w:rFonts w:cs="Arial"/>
                <w:color w:val="000000"/>
                <w:szCs w:val="24"/>
              </w:rPr>
            </w:pPr>
            <w:r w:rsidRPr="001130C7">
              <w:rPr>
                <w:rFonts w:cs="Arial"/>
                <w:color w:val="000000"/>
                <w:szCs w:val="24"/>
              </w:rPr>
              <w:t>0.95</w:t>
            </w:r>
          </w:p>
        </w:tc>
        <w:tc>
          <w:tcPr>
            <w:tcW w:w="960" w:type="dxa"/>
            <w:tcBorders>
              <w:top w:val="nil"/>
              <w:left w:val="nil"/>
              <w:bottom w:val="nil"/>
              <w:right w:val="single" w:sz="8" w:space="0" w:color="auto"/>
            </w:tcBorders>
            <w:shd w:val="clear" w:color="000000" w:fill="FFFFFF"/>
            <w:noWrap/>
            <w:vAlign w:val="center"/>
            <w:hideMark/>
          </w:tcPr>
          <w:p w14:paraId="58830374" w14:textId="77777777" w:rsidR="001130C7" w:rsidRPr="001130C7" w:rsidRDefault="001130C7" w:rsidP="001130C7">
            <w:pPr>
              <w:jc w:val="center"/>
              <w:rPr>
                <w:rFonts w:cs="Arial"/>
                <w:color w:val="000000"/>
                <w:szCs w:val="24"/>
              </w:rPr>
            </w:pPr>
            <w:r w:rsidRPr="001130C7">
              <w:rPr>
                <w:rFonts w:cs="Arial"/>
                <w:color w:val="000000"/>
                <w:szCs w:val="24"/>
              </w:rPr>
              <w:t>3.20</w:t>
            </w:r>
          </w:p>
        </w:tc>
      </w:tr>
      <w:tr w:rsidR="001130C7" w:rsidRPr="001130C7" w14:paraId="55563A4C" w14:textId="77777777" w:rsidTr="00586AD4">
        <w:trPr>
          <w:trHeight w:val="300"/>
        </w:trPr>
        <w:tc>
          <w:tcPr>
            <w:tcW w:w="1555" w:type="dxa"/>
            <w:tcBorders>
              <w:top w:val="nil"/>
              <w:left w:val="single" w:sz="8" w:space="0" w:color="auto"/>
              <w:bottom w:val="nil"/>
              <w:right w:val="single" w:sz="8" w:space="0" w:color="auto"/>
            </w:tcBorders>
            <w:shd w:val="clear" w:color="000000" w:fill="FFFFFF"/>
            <w:vAlign w:val="center"/>
            <w:hideMark/>
          </w:tcPr>
          <w:p w14:paraId="69E417BF" w14:textId="77777777" w:rsidR="001130C7" w:rsidRPr="001130C7" w:rsidRDefault="001130C7" w:rsidP="001130C7">
            <w:pPr>
              <w:rPr>
                <w:rFonts w:cs="Arial"/>
                <w:color w:val="000000"/>
                <w:szCs w:val="24"/>
              </w:rPr>
            </w:pPr>
            <w:r w:rsidRPr="001130C7">
              <w:rPr>
                <w:rFonts w:cs="Arial"/>
                <w:color w:val="000000"/>
                <w:szCs w:val="24"/>
              </w:rPr>
              <w:t>Q1 2015</w:t>
            </w:r>
          </w:p>
        </w:tc>
        <w:tc>
          <w:tcPr>
            <w:tcW w:w="960" w:type="dxa"/>
            <w:tcBorders>
              <w:top w:val="nil"/>
              <w:left w:val="nil"/>
              <w:bottom w:val="nil"/>
              <w:right w:val="single" w:sz="8" w:space="0" w:color="auto"/>
            </w:tcBorders>
            <w:shd w:val="clear" w:color="000000" w:fill="FFFFFF"/>
            <w:noWrap/>
            <w:vAlign w:val="center"/>
            <w:hideMark/>
          </w:tcPr>
          <w:p w14:paraId="6E6FE6F5" w14:textId="77777777" w:rsidR="001130C7" w:rsidRPr="001130C7" w:rsidRDefault="001130C7" w:rsidP="001130C7">
            <w:pPr>
              <w:jc w:val="center"/>
              <w:rPr>
                <w:rFonts w:cs="Arial"/>
                <w:color w:val="000000"/>
                <w:szCs w:val="24"/>
              </w:rPr>
            </w:pPr>
            <w:r w:rsidRPr="001130C7">
              <w:rPr>
                <w:rFonts w:cs="Arial"/>
                <w:color w:val="000000"/>
                <w:szCs w:val="24"/>
              </w:rPr>
              <w:t>0.50</w:t>
            </w:r>
          </w:p>
        </w:tc>
        <w:tc>
          <w:tcPr>
            <w:tcW w:w="960" w:type="dxa"/>
            <w:tcBorders>
              <w:top w:val="nil"/>
              <w:left w:val="nil"/>
              <w:bottom w:val="nil"/>
              <w:right w:val="single" w:sz="8" w:space="0" w:color="auto"/>
            </w:tcBorders>
            <w:shd w:val="clear" w:color="000000" w:fill="FFFFFF"/>
            <w:noWrap/>
            <w:vAlign w:val="center"/>
            <w:hideMark/>
          </w:tcPr>
          <w:p w14:paraId="55FC2669" w14:textId="77777777" w:rsidR="001130C7" w:rsidRPr="001130C7" w:rsidRDefault="001130C7" w:rsidP="001130C7">
            <w:pPr>
              <w:jc w:val="center"/>
              <w:rPr>
                <w:rFonts w:cs="Arial"/>
                <w:color w:val="000000"/>
                <w:szCs w:val="24"/>
              </w:rPr>
            </w:pPr>
            <w:r w:rsidRPr="001130C7">
              <w:rPr>
                <w:rFonts w:cs="Arial"/>
                <w:color w:val="000000"/>
                <w:szCs w:val="24"/>
              </w:rPr>
              <w:t>0.60</w:t>
            </w:r>
          </w:p>
        </w:tc>
        <w:tc>
          <w:tcPr>
            <w:tcW w:w="960" w:type="dxa"/>
            <w:tcBorders>
              <w:top w:val="nil"/>
              <w:left w:val="nil"/>
              <w:bottom w:val="nil"/>
              <w:right w:val="single" w:sz="8" w:space="0" w:color="auto"/>
            </w:tcBorders>
            <w:shd w:val="clear" w:color="000000" w:fill="FFFFFF"/>
            <w:noWrap/>
            <w:vAlign w:val="center"/>
            <w:hideMark/>
          </w:tcPr>
          <w:p w14:paraId="455A6914" w14:textId="77777777" w:rsidR="001130C7" w:rsidRPr="001130C7" w:rsidRDefault="001130C7" w:rsidP="001130C7">
            <w:pPr>
              <w:jc w:val="center"/>
              <w:rPr>
                <w:rFonts w:cs="Arial"/>
                <w:color w:val="000000"/>
                <w:szCs w:val="24"/>
              </w:rPr>
            </w:pPr>
            <w:r w:rsidRPr="001130C7">
              <w:rPr>
                <w:rFonts w:cs="Arial"/>
                <w:color w:val="000000"/>
                <w:szCs w:val="24"/>
              </w:rPr>
              <w:t>1.00</w:t>
            </w:r>
          </w:p>
        </w:tc>
        <w:tc>
          <w:tcPr>
            <w:tcW w:w="960" w:type="dxa"/>
            <w:tcBorders>
              <w:top w:val="nil"/>
              <w:left w:val="nil"/>
              <w:bottom w:val="nil"/>
              <w:right w:val="single" w:sz="8" w:space="0" w:color="auto"/>
            </w:tcBorders>
            <w:shd w:val="clear" w:color="000000" w:fill="FFFFFF"/>
            <w:noWrap/>
            <w:vAlign w:val="center"/>
            <w:hideMark/>
          </w:tcPr>
          <w:p w14:paraId="387E036D" w14:textId="77777777" w:rsidR="001130C7" w:rsidRPr="001130C7" w:rsidRDefault="001130C7" w:rsidP="001130C7">
            <w:pPr>
              <w:jc w:val="center"/>
              <w:rPr>
                <w:rFonts w:cs="Arial"/>
                <w:color w:val="000000"/>
                <w:szCs w:val="24"/>
              </w:rPr>
            </w:pPr>
            <w:r w:rsidRPr="001130C7">
              <w:rPr>
                <w:rFonts w:cs="Arial"/>
                <w:color w:val="000000"/>
                <w:szCs w:val="24"/>
              </w:rPr>
              <w:t>3.40</w:t>
            </w:r>
          </w:p>
        </w:tc>
      </w:tr>
      <w:tr w:rsidR="001130C7" w:rsidRPr="001130C7" w14:paraId="6C1623F1" w14:textId="77777777" w:rsidTr="00586AD4">
        <w:trPr>
          <w:trHeight w:val="300"/>
        </w:trPr>
        <w:tc>
          <w:tcPr>
            <w:tcW w:w="1555" w:type="dxa"/>
            <w:tcBorders>
              <w:top w:val="nil"/>
              <w:left w:val="single" w:sz="8" w:space="0" w:color="auto"/>
              <w:bottom w:val="nil"/>
              <w:right w:val="single" w:sz="8" w:space="0" w:color="auto"/>
            </w:tcBorders>
            <w:shd w:val="clear" w:color="000000" w:fill="FFFFFF"/>
            <w:vAlign w:val="center"/>
            <w:hideMark/>
          </w:tcPr>
          <w:p w14:paraId="68075D4F" w14:textId="77777777" w:rsidR="001130C7" w:rsidRPr="001130C7" w:rsidRDefault="001130C7" w:rsidP="001130C7">
            <w:pPr>
              <w:rPr>
                <w:rFonts w:cs="Arial"/>
                <w:color w:val="000000"/>
                <w:szCs w:val="24"/>
              </w:rPr>
            </w:pPr>
            <w:r w:rsidRPr="001130C7">
              <w:rPr>
                <w:rFonts w:cs="Arial"/>
                <w:color w:val="000000"/>
                <w:szCs w:val="24"/>
              </w:rPr>
              <w:t>Q2 2015</w:t>
            </w:r>
          </w:p>
        </w:tc>
        <w:tc>
          <w:tcPr>
            <w:tcW w:w="960" w:type="dxa"/>
            <w:tcBorders>
              <w:top w:val="nil"/>
              <w:left w:val="nil"/>
              <w:bottom w:val="nil"/>
              <w:right w:val="single" w:sz="8" w:space="0" w:color="auto"/>
            </w:tcBorders>
            <w:shd w:val="clear" w:color="000000" w:fill="FFFFFF"/>
            <w:noWrap/>
            <w:vAlign w:val="center"/>
            <w:hideMark/>
          </w:tcPr>
          <w:p w14:paraId="7D938885" w14:textId="77777777" w:rsidR="001130C7" w:rsidRPr="001130C7" w:rsidRDefault="001130C7" w:rsidP="001130C7">
            <w:pPr>
              <w:jc w:val="center"/>
              <w:rPr>
                <w:rFonts w:cs="Arial"/>
                <w:color w:val="000000"/>
                <w:szCs w:val="24"/>
              </w:rPr>
            </w:pPr>
            <w:r w:rsidRPr="001130C7">
              <w:rPr>
                <w:rFonts w:cs="Arial"/>
                <w:color w:val="000000"/>
                <w:szCs w:val="24"/>
              </w:rPr>
              <w:t>0.50</w:t>
            </w:r>
          </w:p>
        </w:tc>
        <w:tc>
          <w:tcPr>
            <w:tcW w:w="960" w:type="dxa"/>
            <w:tcBorders>
              <w:top w:val="nil"/>
              <w:left w:val="nil"/>
              <w:bottom w:val="nil"/>
              <w:right w:val="single" w:sz="8" w:space="0" w:color="auto"/>
            </w:tcBorders>
            <w:shd w:val="clear" w:color="000000" w:fill="FFFFFF"/>
            <w:noWrap/>
            <w:vAlign w:val="center"/>
            <w:hideMark/>
          </w:tcPr>
          <w:p w14:paraId="1FE95AF1" w14:textId="77777777" w:rsidR="001130C7" w:rsidRPr="001130C7" w:rsidRDefault="001130C7" w:rsidP="001130C7">
            <w:pPr>
              <w:jc w:val="center"/>
              <w:rPr>
                <w:rFonts w:cs="Arial"/>
                <w:color w:val="000000"/>
                <w:szCs w:val="24"/>
              </w:rPr>
            </w:pPr>
            <w:r w:rsidRPr="001130C7">
              <w:rPr>
                <w:rFonts w:cs="Arial"/>
                <w:color w:val="000000"/>
                <w:szCs w:val="24"/>
              </w:rPr>
              <w:t>0.65</w:t>
            </w:r>
          </w:p>
        </w:tc>
        <w:tc>
          <w:tcPr>
            <w:tcW w:w="960" w:type="dxa"/>
            <w:tcBorders>
              <w:top w:val="nil"/>
              <w:left w:val="nil"/>
              <w:bottom w:val="nil"/>
              <w:right w:val="single" w:sz="8" w:space="0" w:color="auto"/>
            </w:tcBorders>
            <w:shd w:val="clear" w:color="000000" w:fill="FFFFFF"/>
            <w:noWrap/>
            <w:vAlign w:val="center"/>
            <w:hideMark/>
          </w:tcPr>
          <w:p w14:paraId="56529682" w14:textId="77777777" w:rsidR="001130C7" w:rsidRPr="001130C7" w:rsidRDefault="001130C7" w:rsidP="001130C7">
            <w:pPr>
              <w:jc w:val="center"/>
              <w:rPr>
                <w:rFonts w:cs="Arial"/>
                <w:color w:val="000000"/>
                <w:szCs w:val="24"/>
              </w:rPr>
            </w:pPr>
            <w:r w:rsidRPr="001130C7">
              <w:rPr>
                <w:rFonts w:cs="Arial"/>
                <w:color w:val="000000"/>
                <w:szCs w:val="24"/>
              </w:rPr>
              <w:t>1.05</w:t>
            </w:r>
          </w:p>
        </w:tc>
        <w:tc>
          <w:tcPr>
            <w:tcW w:w="960" w:type="dxa"/>
            <w:tcBorders>
              <w:top w:val="nil"/>
              <w:left w:val="nil"/>
              <w:bottom w:val="nil"/>
              <w:right w:val="single" w:sz="8" w:space="0" w:color="auto"/>
            </w:tcBorders>
            <w:shd w:val="clear" w:color="000000" w:fill="FFFFFF"/>
            <w:noWrap/>
            <w:vAlign w:val="center"/>
            <w:hideMark/>
          </w:tcPr>
          <w:p w14:paraId="3964D397" w14:textId="77777777" w:rsidR="001130C7" w:rsidRPr="001130C7" w:rsidRDefault="001130C7" w:rsidP="001130C7">
            <w:pPr>
              <w:jc w:val="center"/>
              <w:rPr>
                <w:rFonts w:cs="Arial"/>
                <w:color w:val="000000"/>
                <w:szCs w:val="24"/>
              </w:rPr>
            </w:pPr>
            <w:r w:rsidRPr="001130C7">
              <w:rPr>
                <w:rFonts w:cs="Arial"/>
                <w:color w:val="000000"/>
                <w:szCs w:val="24"/>
              </w:rPr>
              <w:t>3.55</w:t>
            </w:r>
          </w:p>
        </w:tc>
      </w:tr>
      <w:tr w:rsidR="001130C7" w:rsidRPr="001130C7" w14:paraId="7B457742" w14:textId="77777777" w:rsidTr="00586AD4">
        <w:trPr>
          <w:trHeight w:val="300"/>
        </w:trPr>
        <w:tc>
          <w:tcPr>
            <w:tcW w:w="1555" w:type="dxa"/>
            <w:tcBorders>
              <w:top w:val="nil"/>
              <w:left w:val="single" w:sz="8" w:space="0" w:color="auto"/>
              <w:bottom w:val="nil"/>
              <w:right w:val="single" w:sz="8" w:space="0" w:color="auto"/>
            </w:tcBorders>
            <w:shd w:val="clear" w:color="000000" w:fill="FFFFFF"/>
            <w:vAlign w:val="center"/>
            <w:hideMark/>
          </w:tcPr>
          <w:p w14:paraId="286DB775" w14:textId="77777777" w:rsidR="001130C7" w:rsidRPr="001130C7" w:rsidRDefault="001130C7" w:rsidP="001130C7">
            <w:pPr>
              <w:rPr>
                <w:rFonts w:cs="Arial"/>
                <w:color w:val="000000"/>
                <w:szCs w:val="24"/>
              </w:rPr>
            </w:pPr>
            <w:r w:rsidRPr="001130C7">
              <w:rPr>
                <w:rFonts w:cs="Arial"/>
                <w:color w:val="000000"/>
                <w:szCs w:val="24"/>
              </w:rPr>
              <w:t>Q3 2015</w:t>
            </w:r>
          </w:p>
        </w:tc>
        <w:tc>
          <w:tcPr>
            <w:tcW w:w="960" w:type="dxa"/>
            <w:tcBorders>
              <w:top w:val="nil"/>
              <w:left w:val="nil"/>
              <w:bottom w:val="nil"/>
              <w:right w:val="single" w:sz="8" w:space="0" w:color="auto"/>
            </w:tcBorders>
            <w:shd w:val="clear" w:color="000000" w:fill="FFFFFF"/>
            <w:noWrap/>
            <w:vAlign w:val="center"/>
            <w:hideMark/>
          </w:tcPr>
          <w:p w14:paraId="1423D45B" w14:textId="77777777" w:rsidR="001130C7" w:rsidRPr="001130C7" w:rsidRDefault="001130C7" w:rsidP="001130C7">
            <w:pPr>
              <w:jc w:val="center"/>
              <w:rPr>
                <w:rFonts w:cs="Arial"/>
                <w:color w:val="000000"/>
                <w:szCs w:val="24"/>
              </w:rPr>
            </w:pPr>
            <w:r w:rsidRPr="001130C7">
              <w:rPr>
                <w:rFonts w:cs="Arial"/>
                <w:color w:val="000000"/>
                <w:szCs w:val="24"/>
              </w:rPr>
              <w:t>0.75</w:t>
            </w:r>
          </w:p>
        </w:tc>
        <w:tc>
          <w:tcPr>
            <w:tcW w:w="960" w:type="dxa"/>
            <w:tcBorders>
              <w:top w:val="nil"/>
              <w:left w:val="nil"/>
              <w:bottom w:val="nil"/>
              <w:right w:val="single" w:sz="8" w:space="0" w:color="auto"/>
            </w:tcBorders>
            <w:shd w:val="clear" w:color="000000" w:fill="FFFFFF"/>
            <w:noWrap/>
            <w:vAlign w:val="center"/>
            <w:hideMark/>
          </w:tcPr>
          <w:p w14:paraId="3D965A29" w14:textId="77777777" w:rsidR="001130C7" w:rsidRPr="001130C7" w:rsidRDefault="001130C7" w:rsidP="001130C7">
            <w:pPr>
              <w:jc w:val="center"/>
              <w:rPr>
                <w:rFonts w:cs="Arial"/>
                <w:color w:val="000000"/>
                <w:szCs w:val="24"/>
              </w:rPr>
            </w:pPr>
            <w:r w:rsidRPr="001130C7">
              <w:rPr>
                <w:rFonts w:cs="Arial"/>
                <w:color w:val="000000"/>
                <w:szCs w:val="24"/>
              </w:rPr>
              <w:t>0.85</w:t>
            </w:r>
          </w:p>
        </w:tc>
        <w:tc>
          <w:tcPr>
            <w:tcW w:w="960" w:type="dxa"/>
            <w:tcBorders>
              <w:top w:val="nil"/>
              <w:left w:val="nil"/>
              <w:bottom w:val="nil"/>
              <w:right w:val="single" w:sz="8" w:space="0" w:color="auto"/>
            </w:tcBorders>
            <w:shd w:val="clear" w:color="000000" w:fill="FFFFFF"/>
            <w:noWrap/>
            <w:vAlign w:val="center"/>
            <w:hideMark/>
          </w:tcPr>
          <w:p w14:paraId="4C0DAC16" w14:textId="77777777" w:rsidR="001130C7" w:rsidRPr="001130C7" w:rsidRDefault="001130C7" w:rsidP="001130C7">
            <w:pPr>
              <w:jc w:val="center"/>
              <w:rPr>
                <w:rFonts w:cs="Arial"/>
                <w:color w:val="000000"/>
                <w:szCs w:val="24"/>
              </w:rPr>
            </w:pPr>
            <w:r w:rsidRPr="001130C7">
              <w:rPr>
                <w:rFonts w:cs="Arial"/>
                <w:color w:val="000000"/>
                <w:szCs w:val="24"/>
              </w:rPr>
              <w:t>1.20</w:t>
            </w:r>
          </w:p>
        </w:tc>
        <w:tc>
          <w:tcPr>
            <w:tcW w:w="960" w:type="dxa"/>
            <w:tcBorders>
              <w:top w:val="nil"/>
              <w:left w:val="nil"/>
              <w:bottom w:val="nil"/>
              <w:right w:val="single" w:sz="8" w:space="0" w:color="auto"/>
            </w:tcBorders>
            <w:shd w:val="clear" w:color="000000" w:fill="FFFFFF"/>
            <w:noWrap/>
            <w:vAlign w:val="center"/>
            <w:hideMark/>
          </w:tcPr>
          <w:p w14:paraId="438FB5FD" w14:textId="77777777" w:rsidR="001130C7" w:rsidRPr="001130C7" w:rsidRDefault="001130C7" w:rsidP="001130C7">
            <w:pPr>
              <w:jc w:val="center"/>
              <w:rPr>
                <w:rFonts w:cs="Arial"/>
                <w:color w:val="000000"/>
                <w:szCs w:val="24"/>
              </w:rPr>
            </w:pPr>
            <w:r w:rsidRPr="001130C7">
              <w:rPr>
                <w:rFonts w:cs="Arial"/>
                <w:color w:val="000000"/>
                <w:szCs w:val="24"/>
              </w:rPr>
              <w:t>3.65</w:t>
            </w:r>
          </w:p>
        </w:tc>
      </w:tr>
      <w:tr w:rsidR="001130C7" w:rsidRPr="001130C7" w14:paraId="2BE391EF" w14:textId="77777777" w:rsidTr="00586AD4">
        <w:trPr>
          <w:trHeight w:val="300"/>
        </w:trPr>
        <w:tc>
          <w:tcPr>
            <w:tcW w:w="1555" w:type="dxa"/>
            <w:tcBorders>
              <w:top w:val="nil"/>
              <w:left w:val="single" w:sz="8" w:space="0" w:color="auto"/>
              <w:bottom w:val="nil"/>
              <w:right w:val="single" w:sz="8" w:space="0" w:color="auto"/>
            </w:tcBorders>
            <w:shd w:val="clear" w:color="000000" w:fill="FFFFFF"/>
            <w:vAlign w:val="center"/>
            <w:hideMark/>
          </w:tcPr>
          <w:p w14:paraId="32FD22B4" w14:textId="77777777" w:rsidR="001130C7" w:rsidRPr="001130C7" w:rsidRDefault="001130C7" w:rsidP="001130C7">
            <w:pPr>
              <w:rPr>
                <w:rFonts w:cs="Arial"/>
                <w:color w:val="000000"/>
                <w:szCs w:val="24"/>
              </w:rPr>
            </w:pPr>
            <w:r w:rsidRPr="001130C7">
              <w:rPr>
                <w:rFonts w:cs="Arial"/>
                <w:color w:val="000000"/>
                <w:szCs w:val="24"/>
              </w:rPr>
              <w:t>Q4 2015</w:t>
            </w:r>
          </w:p>
        </w:tc>
        <w:tc>
          <w:tcPr>
            <w:tcW w:w="960" w:type="dxa"/>
            <w:tcBorders>
              <w:top w:val="nil"/>
              <w:left w:val="nil"/>
              <w:bottom w:val="nil"/>
              <w:right w:val="single" w:sz="8" w:space="0" w:color="auto"/>
            </w:tcBorders>
            <w:shd w:val="clear" w:color="000000" w:fill="FFFFFF"/>
            <w:noWrap/>
            <w:vAlign w:val="center"/>
            <w:hideMark/>
          </w:tcPr>
          <w:p w14:paraId="34291375" w14:textId="77777777" w:rsidR="001130C7" w:rsidRPr="001130C7" w:rsidRDefault="001130C7" w:rsidP="001130C7">
            <w:pPr>
              <w:jc w:val="center"/>
              <w:rPr>
                <w:rFonts w:cs="Arial"/>
                <w:color w:val="000000"/>
                <w:szCs w:val="24"/>
              </w:rPr>
            </w:pPr>
            <w:r w:rsidRPr="001130C7">
              <w:rPr>
                <w:rFonts w:cs="Arial"/>
                <w:color w:val="000000"/>
                <w:szCs w:val="24"/>
              </w:rPr>
              <w:t>0.75</w:t>
            </w:r>
          </w:p>
        </w:tc>
        <w:tc>
          <w:tcPr>
            <w:tcW w:w="960" w:type="dxa"/>
            <w:tcBorders>
              <w:top w:val="nil"/>
              <w:left w:val="nil"/>
              <w:bottom w:val="nil"/>
              <w:right w:val="single" w:sz="8" w:space="0" w:color="auto"/>
            </w:tcBorders>
            <w:shd w:val="clear" w:color="000000" w:fill="FFFFFF"/>
            <w:noWrap/>
            <w:vAlign w:val="center"/>
            <w:hideMark/>
          </w:tcPr>
          <w:p w14:paraId="26DC2E98" w14:textId="77777777" w:rsidR="001130C7" w:rsidRPr="001130C7" w:rsidRDefault="001130C7" w:rsidP="001130C7">
            <w:pPr>
              <w:jc w:val="center"/>
              <w:rPr>
                <w:rFonts w:cs="Arial"/>
                <w:color w:val="000000"/>
                <w:szCs w:val="24"/>
              </w:rPr>
            </w:pPr>
            <w:r w:rsidRPr="001130C7">
              <w:rPr>
                <w:rFonts w:cs="Arial"/>
                <w:color w:val="000000"/>
                <w:szCs w:val="24"/>
              </w:rPr>
              <w:t>1.00</w:t>
            </w:r>
          </w:p>
        </w:tc>
        <w:tc>
          <w:tcPr>
            <w:tcW w:w="960" w:type="dxa"/>
            <w:tcBorders>
              <w:top w:val="nil"/>
              <w:left w:val="nil"/>
              <w:bottom w:val="nil"/>
              <w:right w:val="single" w:sz="8" w:space="0" w:color="auto"/>
            </w:tcBorders>
            <w:shd w:val="clear" w:color="000000" w:fill="FFFFFF"/>
            <w:noWrap/>
            <w:vAlign w:val="center"/>
            <w:hideMark/>
          </w:tcPr>
          <w:p w14:paraId="67F454CF" w14:textId="77777777" w:rsidR="001130C7" w:rsidRPr="001130C7" w:rsidRDefault="001130C7" w:rsidP="001130C7">
            <w:pPr>
              <w:jc w:val="center"/>
              <w:rPr>
                <w:rFonts w:cs="Arial"/>
                <w:color w:val="000000"/>
                <w:szCs w:val="24"/>
              </w:rPr>
            </w:pPr>
            <w:r w:rsidRPr="001130C7">
              <w:rPr>
                <w:rFonts w:cs="Arial"/>
                <w:color w:val="000000"/>
                <w:szCs w:val="24"/>
              </w:rPr>
              <w:t>1.35</w:t>
            </w:r>
          </w:p>
        </w:tc>
        <w:tc>
          <w:tcPr>
            <w:tcW w:w="960" w:type="dxa"/>
            <w:tcBorders>
              <w:top w:val="nil"/>
              <w:left w:val="nil"/>
              <w:bottom w:val="nil"/>
              <w:right w:val="single" w:sz="8" w:space="0" w:color="auto"/>
            </w:tcBorders>
            <w:shd w:val="clear" w:color="000000" w:fill="FFFFFF"/>
            <w:noWrap/>
            <w:vAlign w:val="center"/>
            <w:hideMark/>
          </w:tcPr>
          <w:p w14:paraId="23667001" w14:textId="77777777" w:rsidR="001130C7" w:rsidRPr="001130C7" w:rsidRDefault="001130C7" w:rsidP="001130C7">
            <w:pPr>
              <w:jc w:val="center"/>
              <w:rPr>
                <w:rFonts w:cs="Arial"/>
                <w:color w:val="000000"/>
                <w:szCs w:val="24"/>
              </w:rPr>
            </w:pPr>
            <w:r w:rsidRPr="001130C7">
              <w:rPr>
                <w:rFonts w:cs="Arial"/>
                <w:color w:val="000000"/>
                <w:szCs w:val="24"/>
              </w:rPr>
              <w:t>3.70</w:t>
            </w:r>
          </w:p>
        </w:tc>
      </w:tr>
      <w:tr w:rsidR="001130C7" w:rsidRPr="001130C7" w14:paraId="327E3EED" w14:textId="77777777" w:rsidTr="00586AD4">
        <w:trPr>
          <w:trHeight w:val="300"/>
        </w:trPr>
        <w:tc>
          <w:tcPr>
            <w:tcW w:w="1555" w:type="dxa"/>
            <w:tcBorders>
              <w:top w:val="nil"/>
              <w:left w:val="single" w:sz="8" w:space="0" w:color="auto"/>
              <w:bottom w:val="nil"/>
              <w:right w:val="single" w:sz="8" w:space="0" w:color="auto"/>
            </w:tcBorders>
            <w:shd w:val="clear" w:color="000000" w:fill="FFFFFF"/>
            <w:vAlign w:val="center"/>
            <w:hideMark/>
          </w:tcPr>
          <w:p w14:paraId="546240CF" w14:textId="77777777" w:rsidR="001130C7" w:rsidRPr="001130C7" w:rsidRDefault="001130C7" w:rsidP="001130C7">
            <w:pPr>
              <w:rPr>
                <w:rFonts w:cs="Arial"/>
                <w:color w:val="000000"/>
                <w:szCs w:val="24"/>
              </w:rPr>
            </w:pPr>
            <w:r w:rsidRPr="001130C7">
              <w:rPr>
                <w:rFonts w:cs="Arial"/>
                <w:color w:val="000000"/>
                <w:szCs w:val="24"/>
              </w:rPr>
              <w:t>Q1 2016</w:t>
            </w:r>
          </w:p>
        </w:tc>
        <w:tc>
          <w:tcPr>
            <w:tcW w:w="960" w:type="dxa"/>
            <w:tcBorders>
              <w:top w:val="nil"/>
              <w:left w:val="nil"/>
              <w:bottom w:val="nil"/>
              <w:right w:val="single" w:sz="8" w:space="0" w:color="auto"/>
            </w:tcBorders>
            <w:shd w:val="clear" w:color="000000" w:fill="FFFFFF"/>
            <w:noWrap/>
            <w:vAlign w:val="center"/>
            <w:hideMark/>
          </w:tcPr>
          <w:p w14:paraId="585D2DDF" w14:textId="77777777" w:rsidR="001130C7" w:rsidRPr="001130C7" w:rsidRDefault="001130C7" w:rsidP="001130C7">
            <w:pPr>
              <w:jc w:val="center"/>
              <w:rPr>
                <w:rFonts w:cs="Arial"/>
                <w:color w:val="000000"/>
                <w:szCs w:val="24"/>
              </w:rPr>
            </w:pPr>
            <w:r w:rsidRPr="001130C7">
              <w:rPr>
                <w:rFonts w:cs="Arial"/>
                <w:color w:val="000000"/>
                <w:szCs w:val="24"/>
              </w:rPr>
              <w:t>1.00</w:t>
            </w:r>
          </w:p>
        </w:tc>
        <w:tc>
          <w:tcPr>
            <w:tcW w:w="960" w:type="dxa"/>
            <w:tcBorders>
              <w:top w:val="nil"/>
              <w:left w:val="nil"/>
              <w:bottom w:val="nil"/>
              <w:right w:val="single" w:sz="8" w:space="0" w:color="auto"/>
            </w:tcBorders>
            <w:shd w:val="clear" w:color="000000" w:fill="FFFFFF"/>
            <w:noWrap/>
            <w:vAlign w:val="center"/>
            <w:hideMark/>
          </w:tcPr>
          <w:p w14:paraId="09B5BAB4" w14:textId="77777777" w:rsidR="001130C7" w:rsidRPr="001130C7" w:rsidRDefault="001130C7" w:rsidP="001130C7">
            <w:pPr>
              <w:jc w:val="center"/>
              <w:rPr>
                <w:rFonts w:cs="Arial"/>
                <w:color w:val="000000"/>
                <w:szCs w:val="24"/>
              </w:rPr>
            </w:pPr>
            <w:r w:rsidRPr="001130C7">
              <w:rPr>
                <w:rFonts w:cs="Arial"/>
                <w:color w:val="000000"/>
                <w:szCs w:val="24"/>
              </w:rPr>
              <w:t>1.15</w:t>
            </w:r>
          </w:p>
        </w:tc>
        <w:tc>
          <w:tcPr>
            <w:tcW w:w="960" w:type="dxa"/>
            <w:tcBorders>
              <w:top w:val="nil"/>
              <w:left w:val="nil"/>
              <w:bottom w:val="nil"/>
              <w:right w:val="single" w:sz="8" w:space="0" w:color="auto"/>
            </w:tcBorders>
            <w:shd w:val="clear" w:color="000000" w:fill="FFFFFF"/>
            <w:noWrap/>
            <w:vAlign w:val="center"/>
            <w:hideMark/>
          </w:tcPr>
          <w:p w14:paraId="1BC83414" w14:textId="77777777" w:rsidR="001130C7" w:rsidRPr="001130C7" w:rsidRDefault="001130C7" w:rsidP="001130C7">
            <w:pPr>
              <w:jc w:val="center"/>
              <w:rPr>
                <w:rFonts w:cs="Arial"/>
                <w:color w:val="000000"/>
                <w:szCs w:val="24"/>
              </w:rPr>
            </w:pPr>
            <w:r w:rsidRPr="001130C7">
              <w:rPr>
                <w:rFonts w:cs="Arial"/>
                <w:color w:val="000000"/>
                <w:szCs w:val="24"/>
              </w:rPr>
              <w:t>1.45</w:t>
            </w:r>
          </w:p>
        </w:tc>
        <w:tc>
          <w:tcPr>
            <w:tcW w:w="960" w:type="dxa"/>
            <w:tcBorders>
              <w:top w:val="nil"/>
              <w:left w:val="nil"/>
              <w:bottom w:val="nil"/>
              <w:right w:val="single" w:sz="8" w:space="0" w:color="auto"/>
            </w:tcBorders>
            <w:shd w:val="clear" w:color="000000" w:fill="FFFFFF"/>
            <w:noWrap/>
            <w:vAlign w:val="center"/>
            <w:hideMark/>
          </w:tcPr>
          <w:p w14:paraId="6A82AEF1" w14:textId="77777777" w:rsidR="001130C7" w:rsidRPr="001130C7" w:rsidRDefault="001130C7" w:rsidP="001130C7">
            <w:pPr>
              <w:jc w:val="center"/>
              <w:rPr>
                <w:rFonts w:cs="Arial"/>
                <w:color w:val="000000"/>
                <w:szCs w:val="24"/>
              </w:rPr>
            </w:pPr>
            <w:r w:rsidRPr="001130C7">
              <w:rPr>
                <w:rFonts w:cs="Arial"/>
                <w:color w:val="000000"/>
                <w:szCs w:val="24"/>
              </w:rPr>
              <w:t>3.75</w:t>
            </w:r>
          </w:p>
        </w:tc>
      </w:tr>
      <w:tr w:rsidR="001130C7" w:rsidRPr="001130C7" w14:paraId="64F2723B" w14:textId="77777777" w:rsidTr="00586AD4">
        <w:trPr>
          <w:trHeight w:val="300"/>
        </w:trPr>
        <w:tc>
          <w:tcPr>
            <w:tcW w:w="1555" w:type="dxa"/>
            <w:tcBorders>
              <w:top w:val="nil"/>
              <w:left w:val="single" w:sz="8" w:space="0" w:color="auto"/>
              <w:bottom w:val="nil"/>
              <w:right w:val="single" w:sz="8" w:space="0" w:color="auto"/>
            </w:tcBorders>
            <w:shd w:val="clear" w:color="000000" w:fill="FFFFFF"/>
            <w:vAlign w:val="center"/>
            <w:hideMark/>
          </w:tcPr>
          <w:p w14:paraId="3040C8BD" w14:textId="77777777" w:rsidR="001130C7" w:rsidRPr="001130C7" w:rsidRDefault="001130C7" w:rsidP="001130C7">
            <w:pPr>
              <w:rPr>
                <w:rFonts w:cs="Arial"/>
                <w:color w:val="000000"/>
                <w:szCs w:val="24"/>
              </w:rPr>
            </w:pPr>
            <w:r w:rsidRPr="001130C7">
              <w:rPr>
                <w:rFonts w:cs="Arial"/>
                <w:color w:val="000000"/>
                <w:szCs w:val="24"/>
              </w:rPr>
              <w:t>Q2 2016</w:t>
            </w:r>
          </w:p>
        </w:tc>
        <w:tc>
          <w:tcPr>
            <w:tcW w:w="960" w:type="dxa"/>
            <w:tcBorders>
              <w:top w:val="nil"/>
              <w:left w:val="nil"/>
              <w:bottom w:val="nil"/>
              <w:right w:val="single" w:sz="8" w:space="0" w:color="auto"/>
            </w:tcBorders>
            <w:shd w:val="clear" w:color="000000" w:fill="FFFFFF"/>
            <w:noWrap/>
            <w:vAlign w:val="center"/>
            <w:hideMark/>
          </w:tcPr>
          <w:p w14:paraId="4061CECE" w14:textId="77777777" w:rsidR="001130C7" w:rsidRPr="001130C7" w:rsidRDefault="001130C7" w:rsidP="001130C7">
            <w:pPr>
              <w:jc w:val="center"/>
              <w:rPr>
                <w:rFonts w:cs="Arial"/>
                <w:color w:val="000000"/>
                <w:szCs w:val="24"/>
              </w:rPr>
            </w:pPr>
            <w:r w:rsidRPr="001130C7">
              <w:rPr>
                <w:rFonts w:cs="Arial"/>
                <w:color w:val="000000"/>
                <w:szCs w:val="24"/>
              </w:rPr>
              <w:t>1.00</w:t>
            </w:r>
          </w:p>
        </w:tc>
        <w:tc>
          <w:tcPr>
            <w:tcW w:w="960" w:type="dxa"/>
            <w:tcBorders>
              <w:top w:val="nil"/>
              <w:left w:val="nil"/>
              <w:bottom w:val="nil"/>
              <w:right w:val="single" w:sz="8" w:space="0" w:color="auto"/>
            </w:tcBorders>
            <w:shd w:val="clear" w:color="000000" w:fill="FFFFFF"/>
            <w:noWrap/>
            <w:vAlign w:val="center"/>
            <w:hideMark/>
          </w:tcPr>
          <w:p w14:paraId="03478E01" w14:textId="77777777" w:rsidR="001130C7" w:rsidRPr="001130C7" w:rsidRDefault="001130C7" w:rsidP="001130C7">
            <w:pPr>
              <w:jc w:val="center"/>
              <w:rPr>
                <w:rFonts w:cs="Arial"/>
                <w:color w:val="000000"/>
                <w:szCs w:val="24"/>
              </w:rPr>
            </w:pPr>
            <w:r w:rsidRPr="001130C7">
              <w:rPr>
                <w:rFonts w:cs="Arial"/>
                <w:color w:val="000000"/>
                <w:szCs w:val="24"/>
              </w:rPr>
              <w:t>1.25</w:t>
            </w:r>
          </w:p>
        </w:tc>
        <w:tc>
          <w:tcPr>
            <w:tcW w:w="960" w:type="dxa"/>
            <w:tcBorders>
              <w:top w:val="nil"/>
              <w:left w:val="nil"/>
              <w:bottom w:val="nil"/>
              <w:right w:val="single" w:sz="8" w:space="0" w:color="auto"/>
            </w:tcBorders>
            <w:shd w:val="clear" w:color="000000" w:fill="FFFFFF"/>
            <w:noWrap/>
            <w:vAlign w:val="center"/>
            <w:hideMark/>
          </w:tcPr>
          <w:p w14:paraId="6B1F75AE" w14:textId="77777777" w:rsidR="001130C7" w:rsidRPr="001130C7" w:rsidRDefault="001130C7" w:rsidP="001130C7">
            <w:pPr>
              <w:jc w:val="center"/>
              <w:rPr>
                <w:rFonts w:cs="Arial"/>
                <w:color w:val="000000"/>
                <w:szCs w:val="24"/>
              </w:rPr>
            </w:pPr>
            <w:r w:rsidRPr="001130C7">
              <w:rPr>
                <w:rFonts w:cs="Arial"/>
                <w:color w:val="000000"/>
                <w:szCs w:val="24"/>
              </w:rPr>
              <w:t>1.55</w:t>
            </w:r>
          </w:p>
        </w:tc>
        <w:tc>
          <w:tcPr>
            <w:tcW w:w="960" w:type="dxa"/>
            <w:tcBorders>
              <w:top w:val="nil"/>
              <w:left w:val="nil"/>
              <w:bottom w:val="nil"/>
              <w:right w:val="single" w:sz="8" w:space="0" w:color="auto"/>
            </w:tcBorders>
            <w:shd w:val="clear" w:color="000000" w:fill="FFFFFF"/>
            <w:noWrap/>
            <w:vAlign w:val="center"/>
            <w:hideMark/>
          </w:tcPr>
          <w:p w14:paraId="30F292B2" w14:textId="77777777" w:rsidR="001130C7" w:rsidRPr="001130C7" w:rsidRDefault="001130C7" w:rsidP="001130C7">
            <w:pPr>
              <w:jc w:val="center"/>
              <w:rPr>
                <w:rFonts w:cs="Arial"/>
                <w:color w:val="000000"/>
                <w:szCs w:val="24"/>
              </w:rPr>
            </w:pPr>
            <w:r w:rsidRPr="001130C7">
              <w:rPr>
                <w:rFonts w:cs="Arial"/>
                <w:color w:val="000000"/>
                <w:szCs w:val="24"/>
              </w:rPr>
              <w:t>3.80</w:t>
            </w:r>
          </w:p>
        </w:tc>
      </w:tr>
      <w:tr w:rsidR="001130C7" w:rsidRPr="001130C7" w14:paraId="3F31B671" w14:textId="77777777" w:rsidTr="00586AD4">
        <w:trPr>
          <w:trHeight w:val="300"/>
        </w:trPr>
        <w:tc>
          <w:tcPr>
            <w:tcW w:w="1555" w:type="dxa"/>
            <w:tcBorders>
              <w:top w:val="nil"/>
              <w:left w:val="single" w:sz="8" w:space="0" w:color="auto"/>
              <w:bottom w:val="nil"/>
              <w:right w:val="single" w:sz="8" w:space="0" w:color="auto"/>
            </w:tcBorders>
            <w:shd w:val="clear" w:color="000000" w:fill="FFFFFF"/>
            <w:vAlign w:val="center"/>
            <w:hideMark/>
          </w:tcPr>
          <w:p w14:paraId="44152AC8" w14:textId="77777777" w:rsidR="001130C7" w:rsidRPr="001130C7" w:rsidRDefault="001130C7" w:rsidP="001130C7">
            <w:pPr>
              <w:rPr>
                <w:rFonts w:cs="Arial"/>
                <w:color w:val="000000"/>
                <w:szCs w:val="24"/>
              </w:rPr>
            </w:pPr>
            <w:r w:rsidRPr="001130C7">
              <w:rPr>
                <w:rFonts w:cs="Arial"/>
                <w:color w:val="000000"/>
                <w:szCs w:val="24"/>
              </w:rPr>
              <w:t>Q3 2016</w:t>
            </w:r>
          </w:p>
        </w:tc>
        <w:tc>
          <w:tcPr>
            <w:tcW w:w="960" w:type="dxa"/>
            <w:tcBorders>
              <w:top w:val="nil"/>
              <w:left w:val="nil"/>
              <w:bottom w:val="nil"/>
              <w:right w:val="single" w:sz="8" w:space="0" w:color="auto"/>
            </w:tcBorders>
            <w:shd w:val="clear" w:color="000000" w:fill="FFFFFF"/>
            <w:noWrap/>
            <w:vAlign w:val="center"/>
            <w:hideMark/>
          </w:tcPr>
          <w:p w14:paraId="7B172354" w14:textId="77777777" w:rsidR="001130C7" w:rsidRPr="001130C7" w:rsidRDefault="001130C7" w:rsidP="001130C7">
            <w:pPr>
              <w:jc w:val="center"/>
              <w:rPr>
                <w:rFonts w:cs="Arial"/>
                <w:color w:val="000000"/>
                <w:szCs w:val="24"/>
              </w:rPr>
            </w:pPr>
            <w:r w:rsidRPr="001130C7">
              <w:rPr>
                <w:rFonts w:cs="Arial"/>
                <w:color w:val="000000"/>
                <w:szCs w:val="24"/>
              </w:rPr>
              <w:t>1.25</w:t>
            </w:r>
          </w:p>
        </w:tc>
        <w:tc>
          <w:tcPr>
            <w:tcW w:w="960" w:type="dxa"/>
            <w:tcBorders>
              <w:top w:val="nil"/>
              <w:left w:val="nil"/>
              <w:bottom w:val="nil"/>
              <w:right w:val="single" w:sz="8" w:space="0" w:color="auto"/>
            </w:tcBorders>
            <w:shd w:val="clear" w:color="000000" w:fill="FFFFFF"/>
            <w:noWrap/>
            <w:vAlign w:val="center"/>
            <w:hideMark/>
          </w:tcPr>
          <w:p w14:paraId="41B34434" w14:textId="77777777" w:rsidR="001130C7" w:rsidRPr="001130C7" w:rsidRDefault="001130C7" w:rsidP="001130C7">
            <w:pPr>
              <w:jc w:val="center"/>
              <w:rPr>
                <w:rFonts w:cs="Arial"/>
                <w:color w:val="000000"/>
                <w:szCs w:val="24"/>
              </w:rPr>
            </w:pPr>
            <w:r w:rsidRPr="001130C7">
              <w:rPr>
                <w:rFonts w:cs="Arial"/>
                <w:color w:val="000000"/>
                <w:szCs w:val="24"/>
              </w:rPr>
              <w:t>1.40</w:t>
            </w:r>
          </w:p>
        </w:tc>
        <w:tc>
          <w:tcPr>
            <w:tcW w:w="960" w:type="dxa"/>
            <w:tcBorders>
              <w:top w:val="nil"/>
              <w:left w:val="nil"/>
              <w:bottom w:val="nil"/>
              <w:right w:val="single" w:sz="8" w:space="0" w:color="auto"/>
            </w:tcBorders>
            <w:shd w:val="clear" w:color="000000" w:fill="FFFFFF"/>
            <w:noWrap/>
            <w:vAlign w:val="center"/>
            <w:hideMark/>
          </w:tcPr>
          <w:p w14:paraId="154C4DF1" w14:textId="77777777" w:rsidR="001130C7" w:rsidRPr="001130C7" w:rsidRDefault="001130C7" w:rsidP="001130C7">
            <w:pPr>
              <w:jc w:val="center"/>
              <w:rPr>
                <w:rFonts w:cs="Arial"/>
                <w:color w:val="000000"/>
                <w:szCs w:val="24"/>
              </w:rPr>
            </w:pPr>
            <w:r w:rsidRPr="001130C7">
              <w:rPr>
                <w:rFonts w:cs="Arial"/>
                <w:color w:val="000000"/>
                <w:szCs w:val="24"/>
              </w:rPr>
              <w:t>1.65</w:t>
            </w:r>
          </w:p>
        </w:tc>
        <w:tc>
          <w:tcPr>
            <w:tcW w:w="960" w:type="dxa"/>
            <w:tcBorders>
              <w:top w:val="nil"/>
              <w:left w:val="nil"/>
              <w:bottom w:val="nil"/>
              <w:right w:val="single" w:sz="8" w:space="0" w:color="auto"/>
            </w:tcBorders>
            <w:shd w:val="clear" w:color="000000" w:fill="FFFFFF"/>
            <w:noWrap/>
            <w:vAlign w:val="center"/>
            <w:hideMark/>
          </w:tcPr>
          <w:p w14:paraId="2B56E23B" w14:textId="77777777" w:rsidR="001130C7" w:rsidRPr="001130C7" w:rsidRDefault="001130C7" w:rsidP="001130C7">
            <w:pPr>
              <w:jc w:val="center"/>
              <w:rPr>
                <w:rFonts w:cs="Arial"/>
                <w:color w:val="000000"/>
                <w:szCs w:val="24"/>
              </w:rPr>
            </w:pPr>
            <w:r w:rsidRPr="001130C7">
              <w:rPr>
                <w:rFonts w:cs="Arial"/>
                <w:color w:val="000000"/>
                <w:szCs w:val="24"/>
              </w:rPr>
              <w:t>3.85</w:t>
            </w:r>
          </w:p>
        </w:tc>
      </w:tr>
      <w:tr w:rsidR="001130C7" w:rsidRPr="001130C7" w14:paraId="7940D13C" w14:textId="77777777" w:rsidTr="00586AD4">
        <w:trPr>
          <w:trHeight w:val="300"/>
        </w:trPr>
        <w:tc>
          <w:tcPr>
            <w:tcW w:w="1555" w:type="dxa"/>
            <w:tcBorders>
              <w:top w:val="nil"/>
              <w:left w:val="single" w:sz="8" w:space="0" w:color="auto"/>
              <w:bottom w:val="nil"/>
              <w:right w:val="single" w:sz="8" w:space="0" w:color="auto"/>
            </w:tcBorders>
            <w:shd w:val="clear" w:color="000000" w:fill="FFFFFF"/>
            <w:vAlign w:val="center"/>
            <w:hideMark/>
          </w:tcPr>
          <w:p w14:paraId="7130F20D" w14:textId="77777777" w:rsidR="001130C7" w:rsidRPr="001130C7" w:rsidRDefault="001130C7" w:rsidP="001130C7">
            <w:pPr>
              <w:rPr>
                <w:rFonts w:cs="Arial"/>
                <w:color w:val="000000"/>
                <w:szCs w:val="24"/>
              </w:rPr>
            </w:pPr>
            <w:r w:rsidRPr="001130C7">
              <w:rPr>
                <w:rFonts w:cs="Arial"/>
                <w:color w:val="000000"/>
                <w:szCs w:val="24"/>
              </w:rPr>
              <w:t>Q4 2016</w:t>
            </w:r>
          </w:p>
        </w:tc>
        <w:tc>
          <w:tcPr>
            <w:tcW w:w="960" w:type="dxa"/>
            <w:tcBorders>
              <w:top w:val="nil"/>
              <w:left w:val="nil"/>
              <w:bottom w:val="nil"/>
              <w:right w:val="single" w:sz="8" w:space="0" w:color="auto"/>
            </w:tcBorders>
            <w:shd w:val="clear" w:color="000000" w:fill="FFFFFF"/>
            <w:noWrap/>
            <w:vAlign w:val="center"/>
            <w:hideMark/>
          </w:tcPr>
          <w:p w14:paraId="7DC2D73A" w14:textId="77777777" w:rsidR="001130C7" w:rsidRPr="001130C7" w:rsidRDefault="001130C7" w:rsidP="001130C7">
            <w:pPr>
              <w:jc w:val="center"/>
              <w:rPr>
                <w:rFonts w:cs="Arial"/>
                <w:color w:val="000000"/>
                <w:szCs w:val="24"/>
              </w:rPr>
            </w:pPr>
            <w:r w:rsidRPr="001130C7">
              <w:rPr>
                <w:rFonts w:cs="Arial"/>
                <w:color w:val="000000"/>
                <w:szCs w:val="24"/>
              </w:rPr>
              <w:t>1.25</w:t>
            </w:r>
          </w:p>
        </w:tc>
        <w:tc>
          <w:tcPr>
            <w:tcW w:w="960" w:type="dxa"/>
            <w:tcBorders>
              <w:top w:val="nil"/>
              <w:left w:val="nil"/>
              <w:bottom w:val="nil"/>
              <w:right w:val="single" w:sz="8" w:space="0" w:color="auto"/>
            </w:tcBorders>
            <w:shd w:val="clear" w:color="000000" w:fill="FFFFFF"/>
            <w:noWrap/>
            <w:vAlign w:val="center"/>
            <w:hideMark/>
          </w:tcPr>
          <w:p w14:paraId="36C7CBAD" w14:textId="77777777" w:rsidR="001130C7" w:rsidRPr="001130C7" w:rsidRDefault="001130C7" w:rsidP="001130C7">
            <w:pPr>
              <w:jc w:val="center"/>
              <w:rPr>
                <w:rFonts w:cs="Arial"/>
                <w:color w:val="000000"/>
                <w:szCs w:val="24"/>
              </w:rPr>
            </w:pPr>
            <w:r w:rsidRPr="001130C7">
              <w:rPr>
                <w:rFonts w:cs="Arial"/>
                <w:color w:val="000000"/>
                <w:szCs w:val="24"/>
              </w:rPr>
              <w:t>1.50</w:t>
            </w:r>
          </w:p>
        </w:tc>
        <w:tc>
          <w:tcPr>
            <w:tcW w:w="960" w:type="dxa"/>
            <w:tcBorders>
              <w:top w:val="nil"/>
              <w:left w:val="nil"/>
              <w:bottom w:val="nil"/>
              <w:right w:val="single" w:sz="8" w:space="0" w:color="auto"/>
            </w:tcBorders>
            <w:shd w:val="clear" w:color="000000" w:fill="FFFFFF"/>
            <w:noWrap/>
            <w:vAlign w:val="center"/>
            <w:hideMark/>
          </w:tcPr>
          <w:p w14:paraId="29DD6C36" w14:textId="77777777" w:rsidR="001130C7" w:rsidRPr="001130C7" w:rsidRDefault="001130C7" w:rsidP="001130C7">
            <w:pPr>
              <w:jc w:val="center"/>
              <w:rPr>
                <w:rFonts w:cs="Arial"/>
                <w:color w:val="000000"/>
                <w:szCs w:val="24"/>
              </w:rPr>
            </w:pPr>
            <w:r w:rsidRPr="001130C7">
              <w:rPr>
                <w:rFonts w:cs="Arial"/>
                <w:color w:val="000000"/>
                <w:szCs w:val="24"/>
              </w:rPr>
              <w:t>1.70</w:t>
            </w:r>
          </w:p>
        </w:tc>
        <w:tc>
          <w:tcPr>
            <w:tcW w:w="960" w:type="dxa"/>
            <w:tcBorders>
              <w:top w:val="nil"/>
              <w:left w:val="nil"/>
              <w:bottom w:val="nil"/>
              <w:right w:val="single" w:sz="8" w:space="0" w:color="auto"/>
            </w:tcBorders>
            <w:shd w:val="clear" w:color="000000" w:fill="FFFFFF"/>
            <w:noWrap/>
            <w:vAlign w:val="center"/>
            <w:hideMark/>
          </w:tcPr>
          <w:p w14:paraId="2E8D2E95" w14:textId="77777777" w:rsidR="001130C7" w:rsidRPr="001130C7" w:rsidRDefault="001130C7" w:rsidP="001130C7">
            <w:pPr>
              <w:jc w:val="center"/>
              <w:rPr>
                <w:rFonts w:cs="Arial"/>
                <w:color w:val="000000"/>
                <w:szCs w:val="24"/>
              </w:rPr>
            </w:pPr>
            <w:r w:rsidRPr="001130C7">
              <w:rPr>
                <w:rFonts w:cs="Arial"/>
                <w:color w:val="000000"/>
                <w:szCs w:val="24"/>
              </w:rPr>
              <w:t>3.90</w:t>
            </w:r>
          </w:p>
        </w:tc>
      </w:tr>
      <w:tr w:rsidR="001130C7" w:rsidRPr="001130C7" w14:paraId="19F724DA" w14:textId="77777777" w:rsidTr="00586AD4">
        <w:trPr>
          <w:trHeight w:val="300"/>
        </w:trPr>
        <w:tc>
          <w:tcPr>
            <w:tcW w:w="1555" w:type="dxa"/>
            <w:tcBorders>
              <w:top w:val="nil"/>
              <w:left w:val="single" w:sz="8" w:space="0" w:color="auto"/>
              <w:bottom w:val="nil"/>
              <w:right w:val="single" w:sz="8" w:space="0" w:color="auto"/>
            </w:tcBorders>
            <w:shd w:val="clear" w:color="000000" w:fill="FFFFFF"/>
            <w:vAlign w:val="center"/>
            <w:hideMark/>
          </w:tcPr>
          <w:p w14:paraId="46A7D319" w14:textId="77777777" w:rsidR="001130C7" w:rsidRPr="001130C7" w:rsidRDefault="001130C7" w:rsidP="001130C7">
            <w:pPr>
              <w:rPr>
                <w:rFonts w:cs="Arial"/>
                <w:color w:val="000000"/>
                <w:szCs w:val="24"/>
              </w:rPr>
            </w:pPr>
            <w:r w:rsidRPr="001130C7">
              <w:rPr>
                <w:rFonts w:cs="Arial"/>
                <w:color w:val="000000"/>
                <w:szCs w:val="24"/>
              </w:rPr>
              <w:t>Q1 2017</w:t>
            </w:r>
          </w:p>
        </w:tc>
        <w:tc>
          <w:tcPr>
            <w:tcW w:w="960" w:type="dxa"/>
            <w:tcBorders>
              <w:top w:val="nil"/>
              <w:left w:val="nil"/>
              <w:bottom w:val="nil"/>
              <w:right w:val="single" w:sz="8" w:space="0" w:color="auto"/>
            </w:tcBorders>
            <w:shd w:val="clear" w:color="000000" w:fill="FFFFFF"/>
            <w:noWrap/>
            <w:vAlign w:val="center"/>
            <w:hideMark/>
          </w:tcPr>
          <w:p w14:paraId="2F5A39EE" w14:textId="77777777" w:rsidR="001130C7" w:rsidRPr="001130C7" w:rsidRDefault="001130C7" w:rsidP="001130C7">
            <w:pPr>
              <w:jc w:val="center"/>
              <w:rPr>
                <w:rFonts w:cs="Arial"/>
                <w:color w:val="000000"/>
                <w:szCs w:val="24"/>
              </w:rPr>
            </w:pPr>
            <w:r w:rsidRPr="001130C7">
              <w:rPr>
                <w:rFonts w:cs="Arial"/>
                <w:color w:val="000000"/>
                <w:szCs w:val="24"/>
              </w:rPr>
              <w:t>1.50</w:t>
            </w:r>
          </w:p>
        </w:tc>
        <w:tc>
          <w:tcPr>
            <w:tcW w:w="960" w:type="dxa"/>
            <w:tcBorders>
              <w:top w:val="nil"/>
              <w:left w:val="nil"/>
              <w:bottom w:val="nil"/>
              <w:right w:val="single" w:sz="8" w:space="0" w:color="auto"/>
            </w:tcBorders>
            <w:shd w:val="clear" w:color="000000" w:fill="FFFFFF"/>
            <w:noWrap/>
            <w:vAlign w:val="center"/>
            <w:hideMark/>
          </w:tcPr>
          <w:p w14:paraId="336D1CC1" w14:textId="77777777" w:rsidR="001130C7" w:rsidRPr="001130C7" w:rsidRDefault="001130C7" w:rsidP="001130C7">
            <w:pPr>
              <w:jc w:val="center"/>
              <w:rPr>
                <w:rFonts w:cs="Arial"/>
                <w:color w:val="000000"/>
                <w:szCs w:val="24"/>
              </w:rPr>
            </w:pPr>
            <w:r w:rsidRPr="001130C7">
              <w:rPr>
                <w:rFonts w:cs="Arial"/>
                <w:color w:val="000000"/>
                <w:szCs w:val="24"/>
              </w:rPr>
              <w:t>1.65</w:t>
            </w:r>
          </w:p>
        </w:tc>
        <w:tc>
          <w:tcPr>
            <w:tcW w:w="960" w:type="dxa"/>
            <w:tcBorders>
              <w:top w:val="nil"/>
              <w:left w:val="nil"/>
              <w:bottom w:val="nil"/>
              <w:right w:val="single" w:sz="8" w:space="0" w:color="auto"/>
            </w:tcBorders>
            <w:shd w:val="clear" w:color="000000" w:fill="FFFFFF"/>
            <w:noWrap/>
            <w:vAlign w:val="center"/>
            <w:hideMark/>
          </w:tcPr>
          <w:p w14:paraId="7BF4E1EA" w14:textId="77777777" w:rsidR="001130C7" w:rsidRPr="001130C7" w:rsidRDefault="001130C7" w:rsidP="001130C7">
            <w:pPr>
              <w:jc w:val="center"/>
              <w:rPr>
                <w:rFonts w:cs="Arial"/>
                <w:color w:val="000000"/>
                <w:szCs w:val="24"/>
              </w:rPr>
            </w:pPr>
            <w:r w:rsidRPr="001130C7">
              <w:rPr>
                <w:rFonts w:cs="Arial"/>
                <w:color w:val="000000"/>
                <w:szCs w:val="24"/>
              </w:rPr>
              <w:t>1.80</w:t>
            </w:r>
          </w:p>
        </w:tc>
        <w:tc>
          <w:tcPr>
            <w:tcW w:w="960" w:type="dxa"/>
            <w:tcBorders>
              <w:top w:val="nil"/>
              <w:left w:val="nil"/>
              <w:bottom w:val="nil"/>
              <w:right w:val="single" w:sz="8" w:space="0" w:color="auto"/>
            </w:tcBorders>
            <w:shd w:val="clear" w:color="000000" w:fill="FFFFFF"/>
            <w:noWrap/>
            <w:vAlign w:val="center"/>
            <w:hideMark/>
          </w:tcPr>
          <w:p w14:paraId="7C8BCAFC" w14:textId="77777777" w:rsidR="001130C7" w:rsidRPr="001130C7" w:rsidRDefault="001130C7" w:rsidP="001130C7">
            <w:pPr>
              <w:jc w:val="center"/>
              <w:rPr>
                <w:rFonts w:cs="Arial"/>
                <w:color w:val="000000"/>
                <w:szCs w:val="24"/>
              </w:rPr>
            </w:pPr>
            <w:r w:rsidRPr="001130C7">
              <w:rPr>
                <w:rFonts w:cs="Arial"/>
                <w:color w:val="000000"/>
                <w:szCs w:val="24"/>
              </w:rPr>
              <w:t>3.95</w:t>
            </w:r>
          </w:p>
        </w:tc>
      </w:tr>
      <w:tr w:rsidR="001130C7" w:rsidRPr="001130C7" w14:paraId="121562F1" w14:textId="77777777" w:rsidTr="00386B52">
        <w:trPr>
          <w:trHeight w:val="315"/>
        </w:trPr>
        <w:tc>
          <w:tcPr>
            <w:tcW w:w="1555" w:type="dxa"/>
            <w:tcBorders>
              <w:top w:val="nil"/>
              <w:left w:val="single" w:sz="8" w:space="0" w:color="auto"/>
              <w:bottom w:val="nil"/>
              <w:right w:val="single" w:sz="8" w:space="0" w:color="auto"/>
            </w:tcBorders>
            <w:shd w:val="clear" w:color="000000" w:fill="FFFFFF"/>
            <w:vAlign w:val="center"/>
            <w:hideMark/>
          </w:tcPr>
          <w:p w14:paraId="394D8A0D" w14:textId="77777777" w:rsidR="001130C7" w:rsidRPr="001130C7" w:rsidRDefault="001130C7" w:rsidP="001130C7">
            <w:pPr>
              <w:rPr>
                <w:rFonts w:cs="Arial"/>
                <w:color w:val="000000"/>
                <w:szCs w:val="24"/>
              </w:rPr>
            </w:pPr>
            <w:r w:rsidRPr="001130C7">
              <w:rPr>
                <w:rFonts w:cs="Arial"/>
                <w:color w:val="000000"/>
                <w:szCs w:val="24"/>
              </w:rPr>
              <w:t>Q2 2017</w:t>
            </w:r>
          </w:p>
        </w:tc>
        <w:tc>
          <w:tcPr>
            <w:tcW w:w="960" w:type="dxa"/>
            <w:tcBorders>
              <w:top w:val="nil"/>
              <w:left w:val="nil"/>
              <w:bottom w:val="nil"/>
              <w:right w:val="single" w:sz="8" w:space="0" w:color="auto"/>
            </w:tcBorders>
            <w:shd w:val="clear" w:color="000000" w:fill="FFFFFF"/>
            <w:noWrap/>
            <w:vAlign w:val="center"/>
            <w:hideMark/>
          </w:tcPr>
          <w:p w14:paraId="6EB5D9CE" w14:textId="77777777" w:rsidR="001130C7" w:rsidRPr="001130C7" w:rsidRDefault="001130C7" w:rsidP="001130C7">
            <w:pPr>
              <w:jc w:val="center"/>
              <w:rPr>
                <w:rFonts w:cs="Arial"/>
                <w:color w:val="000000"/>
                <w:szCs w:val="24"/>
              </w:rPr>
            </w:pPr>
            <w:r w:rsidRPr="001130C7">
              <w:rPr>
                <w:rFonts w:cs="Arial"/>
                <w:color w:val="000000"/>
                <w:szCs w:val="24"/>
              </w:rPr>
              <w:t>1.50</w:t>
            </w:r>
          </w:p>
        </w:tc>
        <w:tc>
          <w:tcPr>
            <w:tcW w:w="960" w:type="dxa"/>
            <w:tcBorders>
              <w:top w:val="nil"/>
              <w:left w:val="nil"/>
              <w:bottom w:val="nil"/>
              <w:right w:val="single" w:sz="8" w:space="0" w:color="auto"/>
            </w:tcBorders>
            <w:shd w:val="clear" w:color="000000" w:fill="FFFFFF"/>
            <w:noWrap/>
            <w:vAlign w:val="center"/>
            <w:hideMark/>
          </w:tcPr>
          <w:p w14:paraId="51719FCF" w14:textId="77777777" w:rsidR="001130C7" w:rsidRPr="001130C7" w:rsidRDefault="001130C7" w:rsidP="001130C7">
            <w:pPr>
              <w:jc w:val="center"/>
              <w:rPr>
                <w:rFonts w:cs="Arial"/>
                <w:color w:val="000000"/>
                <w:szCs w:val="24"/>
              </w:rPr>
            </w:pPr>
            <w:r w:rsidRPr="001130C7">
              <w:rPr>
                <w:rFonts w:cs="Arial"/>
                <w:color w:val="000000"/>
                <w:szCs w:val="24"/>
              </w:rPr>
              <w:t>1.70</w:t>
            </w:r>
          </w:p>
        </w:tc>
        <w:tc>
          <w:tcPr>
            <w:tcW w:w="960" w:type="dxa"/>
            <w:tcBorders>
              <w:top w:val="nil"/>
              <w:left w:val="nil"/>
              <w:bottom w:val="nil"/>
              <w:right w:val="single" w:sz="8" w:space="0" w:color="auto"/>
            </w:tcBorders>
            <w:shd w:val="clear" w:color="000000" w:fill="FFFFFF"/>
            <w:noWrap/>
            <w:vAlign w:val="center"/>
            <w:hideMark/>
          </w:tcPr>
          <w:p w14:paraId="0F0C984D" w14:textId="77777777" w:rsidR="001130C7" w:rsidRPr="001130C7" w:rsidRDefault="001130C7" w:rsidP="001130C7">
            <w:pPr>
              <w:jc w:val="center"/>
              <w:rPr>
                <w:rFonts w:cs="Arial"/>
                <w:color w:val="000000"/>
                <w:szCs w:val="24"/>
              </w:rPr>
            </w:pPr>
            <w:r w:rsidRPr="001130C7">
              <w:rPr>
                <w:rFonts w:cs="Arial"/>
                <w:color w:val="000000"/>
                <w:szCs w:val="24"/>
              </w:rPr>
              <w:t>1.90</w:t>
            </w:r>
          </w:p>
        </w:tc>
        <w:tc>
          <w:tcPr>
            <w:tcW w:w="960" w:type="dxa"/>
            <w:tcBorders>
              <w:top w:val="nil"/>
              <w:left w:val="nil"/>
              <w:bottom w:val="nil"/>
              <w:right w:val="single" w:sz="8" w:space="0" w:color="auto"/>
            </w:tcBorders>
            <w:shd w:val="clear" w:color="000000" w:fill="FFFFFF"/>
            <w:noWrap/>
            <w:vAlign w:val="center"/>
            <w:hideMark/>
          </w:tcPr>
          <w:p w14:paraId="713B7C1D" w14:textId="77777777" w:rsidR="001130C7" w:rsidRPr="001130C7" w:rsidRDefault="001130C7" w:rsidP="001130C7">
            <w:pPr>
              <w:jc w:val="center"/>
              <w:rPr>
                <w:rFonts w:cs="Arial"/>
                <w:color w:val="000000"/>
                <w:szCs w:val="24"/>
              </w:rPr>
            </w:pPr>
            <w:r w:rsidRPr="001130C7">
              <w:rPr>
                <w:rFonts w:cs="Arial"/>
                <w:color w:val="000000"/>
                <w:szCs w:val="24"/>
              </w:rPr>
              <w:t>3.95</w:t>
            </w:r>
          </w:p>
        </w:tc>
      </w:tr>
      <w:tr w:rsidR="00386B52" w:rsidRPr="001130C7" w14:paraId="03AF3695" w14:textId="77777777" w:rsidTr="00586AD4">
        <w:trPr>
          <w:trHeight w:val="315"/>
        </w:trPr>
        <w:tc>
          <w:tcPr>
            <w:tcW w:w="1555" w:type="dxa"/>
            <w:tcBorders>
              <w:top w:val="nil"/>
              <w:left w:val="single" w:sz="8" w:space="0" w:color="auto"/>
              <w:bottom w:val="single" w:sz="8" w:space="0" w:color="auto"/>
              <w:right w:val="single" w:sz="8" w:space="0" w:color="auto"/>
            </w:tcBorders>
            <w:shd w:val="clear" w:color="000000" w:fill="FFFFFF"/>
            <w:vAlign w:val="center"/>
          </w:tcPr>
          <w:p w14:paraId="7EBAEB03" w14:textId="77777777" w:rsidR="00386B52" w:rsidRPr="001130C7" w:rsidRDefault="00386B52" w:rsidP="001130C7">
            <w:pPr>
              <w:rPr>
                <w:rFonts w:cs="Arial"/>
                <w:color w:val="000000"/>
                <w:szCs w:val="24"/>
              </w:rPr>
            </w:pPr>
          </w:p>
        </w:tc>
        <w:tc>
          <w:tcPr>
            <w:tcW w:w="960" w:type="dxa"/>
            <w:tcBorders>
              <w:top w:val="nil"/>
              <w:left w:val="nil"/>
              <w:bottom w:val="single" w:sz="8" w:space="0" w:color="auto"/>
              <w:right w:val="single" w:sz="8" w:space="0" w:color="auto"/>
            </w:tcBorders>
            <w:shd w:val="clear" w:color="000000" w:fill="FFFFFF"/>
            <w:noWrap/>
            <w:vAlign w:val="center"/>
          </w:tcPr>
          <w:p w14:paraId="63D6DC55" w14:textId="77777777" w:rsidR="00386B52" w:rsidRPr="001130C7" w:rsidRDefault="00386B52" w:rsidP="001130C7">
            <w:pPr>
              <w:jc w:val="center"/>
              <w:rPr>
                <w:rFonts w:cs="Arial"/>
                <w:color w:val="000000"/>
                <w:szCs w:val="24"/>
              </w:rPr>
            </w:pPr>
          </w:p>
        </w:tc>
        <w:tc>
          <w:tcPr>
            <w:tcW w:w="960" w:type="dxa"/>
            <w:tcBorders>
              <w:top w:val="nil"/>
              <w:left w:val="nil"/>
              <w:bottom w:val="single" w:sz="8" w:space="0" w:color="auto"/>
              <w:right w:val="single" w:sz="8" w:space="0" w:color="auto"/>
            </w:tcBorders>
            <w:shd w:val="clear" w:color="000000" w:fill="FFFFFF"/>
            <w:noWrap/>
            <w:vAlign w:val="center"/>
          </w:tcPr>
          <w:p w14:paraId="44CF87AA" w14:textId="77777777" w:rsidR="00386B52" w:rsidRPr="001130C7" w:rsidRDefault="00386B52" w:rsidP="001130C7">
            <w:pPr>
              <w:jc w:val="center"/>
              <w:rPr>
                <w:rFonts w:cs="Arial"/>
                <w:color w:val="000000"/>
                <w:szCs w:val="24"/>
              </w:rPr>
            </w:pPr>
          </w:p>
        </w:tc>
        <w:tc>
          <w:tcPr>
            <w:tcW w:w="960" w:type="dxa"/>
            <w:tcBorders>
              <w:top w:val="nil"/>
              <w:left w:val="nil"/>
              <w:bottom w:val="single" w:sz="8" w:space="0" w:color="auto"/>
              <w:right w:val="single" w:sz="8" w:space="0" w:color="auto"/>
            </w:tcBorders>
            <w:shd w:val="clear" w:color="000000" w:fill="FFFFFF"/>
            <w:noWrap/>
            <w:vAlign w:val="center"/>
          </w:tcPr>
          <w:p w14:paraId="689455FA" w14:textId="77777777" w:rsidR="00386B52" w:rsidRPr="001130C7" w:rsidRDefault="00386B52" w:rsidP="001130C7">
            <w:pPr>
              <w:jc w:val="center"/>
              <w:rPr>
                <w:rFonts w:cs="Arial"/>
                <w:color w:val="000000"/>
                <w:szCs w:val="24"/>
              </w:rPr>
            </w:pPr>
          </w:p>
        </w:tc>
        <w:tc>
          <w:tcPr>
            <w:tcW w:w="960" w:type="dxa"/>
            <w:tcBorders>
              <w:top w:val="nil"/>
              <w:left w:val="nil"/>
              <w:bottom w:val="single" w:sz="8" w:space="0" w:color="auto"/>
              <w:right w:val="single" w:sz="8" w:space="0" w:color="auto"/>
            </w:tcBorders>
            <w:shd w:val="clear" w:color="000000" w:fill="FFFFFF"/>
            <w:noWrap/>
            <w:vAlign w:val="center"/>
          </w:tcPr>
          <w:p w14:paraId="1DB35421" w14:textId="77777777" w:rsidR="00386B52" w:rsidRPr="001130C7" w:rsidRDefault="00386B52" w:rsidP="001130C7">
            <w:pPr>
              <w:jc w:val="center"/>
              <w:rPr>
                <w:rFonts w:cs="Arial"/>
                <w:color w:val="000000"/>
                <w:szCs w:val="24"/>
              </w:rPr>
            </w:pPr>
          </w:p>
        </w:tc>
      </w:tr>
    </w:tbl>
    <w:p w14:paraId="30E4592D" w14:textId="77777777" w:rsidR="00386B52" w:rsidRDefault="00386B52" w:rsidP="00386B52">
      <w:pPr>
        <w:keepNext/>
        <w:widowControl w:val="0"/>
        <w:tabs>
          <w:tab w:val="left" w:pos="720"/>
        </w:tabs>
        <w:suppressAutoHyphens/>
        <w:spacing w:line="270" w:lineRule="atLeast"/>
        <w:jc w:val="both"/>
        <w:outlineLvl w:val="0"/>
        <w:rPr>
          <w:rFonts w:cs="Arial"/>
          <w:color w:val="000000"/>
          <w:szCs w:val="24"/>
          <w:lang w:val="en"/>
        </w:rPr>
      </w:pPr>
    </w:p>
    <w:p w14:paraId="63B455EA" w14:textId="77777777" w:rsidR="00386B52" w:rsidRDefault="00386B52" w:rsidP="00386B52">
      <w:pPr>
        <w:keepNext/>
        <w:widowControl w:val="0"/>
        <w:tabs>
          <w:tab w:val="left" w:pos="720"/>
        </w:tabs>
        <w:suppressAutoHyphens/>
        <w:spacing w:line="270" w:lineRule="atLeast"/>
        <w:jc w:val="both"/>
        <w:outlineLvl w:val="0"/>
        <w:rPr>
          <w:rFonts w:cs="Arial"/>
          <w:color w:val="000000"/>
          <w:szCs w:val="24"/>
          <w:lang w:val="en"/>
        </w:rPr>
      </w:pPr>
    </w:p>
    <w:p w14:paraId="479F23BD" w14:textId="4F5182B6" w:rsidR="00386B52" w:rsidRPr="00386B52" w:rsidRDefault="00386B52" w:rsidP="00386B52">
      <w:pPr>
        <w:jc w:val="both"/>
        <w:rPr>
          <w:rFonts w:cs="Arial"/>
          <w:b/>
          <w:color w:val="000000"/>
          <w:szCs w:val="24"/>
          <w:lang w:val="en"/>
        </w:rPr>
      </w:pPr>
      <w:r>
        <w:rPr>
          <w:b/>
        </w:rPr>
        <w:t>2.3</w:t>
      </w:r>
      <w:r>
        <w:rPr>
          <w:b/>
        </w:rPr>
        <w:tab/>
      </w:r>
      <w:r w:rsidRPr="00386B52">
        <w:rPr>
          <w:b/>
        </w:rPr>
        <w:t>Implications</w:t>
      </w:r>
      <w:r w:rsidRPr="00386B52">
        <w:rPr>
          <w:rFonts w:cs="Arial"/>
          <w:b/>
          <w:color w:val="000000"/>
          <w:szCs w:val="24"/>
          <w:lang w:val="en"/>
        </w:rPr>
        <w:t xml:space="preserve"> for Lancashire County Council Treasury Strategy</w:t>
      </w:r>
    </w:p>
    <w:p w14:paraId="73CD9544" w14:textId="77777777" w:rsidR="00386B52" w:rsidRDefault="00386B52" w:rsidP="00386B52">
      <w:pPr>
        <w:keepNext/>
        <w:widowControl w:val="0"/>
        <w:tabs>
          <w:tab w:val="left" w:pos="720"/>
        </w:tabs>
        <w:suppressAutoHyphens/>
        <w:spacing w:line="270" w:lineRule="atLeast"/>
        <w:jc w:val="both"/>
        <w:outlineLvl w:val="0"/>
        <w:rPr>
          <w:rFonts w:cs="Arial"/>
          <w:color w:val="000000"/>
          <w:szCs w:val="24"/>
          <w:lang w:val="en"/>
        </w:rPr>
      </w:pPr>
    </w:p>
    <w:p w14:paraId="3F2ADA35" w14:textId="77777777" w:rsidR="00386B52" w:rsidRDefault="00386B52" w:rsidP="00386B52">
      <w:pPr>
        <w:keepNext/>
        <w:widowControl w:val="0"/>
        <w:tabs>
          <w:tab w:val="left" w:pos="720"/>
        </w:tabs>
        <w:suppressAutoHyphens/>
        <w:spacing w:line="270" w:lineRule="atLeast"/>
        <w:jc w:val="both"/>
        <w:outlineLvl w:val="0"/>
        <w:rPr>
          <w:rFonts w:cs="Arial"/>
          <w:color w:val="000000"/>
          <w:szCs w:val="24"/>
          <w:lang w:val="en"/>
        </w:rPr>
      </w:pPr>
      <w:r>
        <w:rPr>
          <w:rFonts w:cs="Arial"/>
          <w:color w:val="000000"/>
          <w:szCs w:val="24"/>
          <w:lang w:val="en"/>
        </w:rPr>
        <w:t>Whilst LCC continue to fund a substantial portion of its financing needs through short term borrowing taking advantage of the extremely low interest rates, we are always mindful of the potential for some form of rate normalization and how that would alter our funding strategy.</w:t>
      </w:r>
    </w:p>
    <w:p w14:paraId="6A020735" w14:textId="77777777" w:rsidR="00386B52" w:rsidRDefault="00386B52" w:rsidP="00386B52">
      <w:pPr>
        <w:keepNext/>
        <w:widowControl w:val="0"/>
        <w:tabs>
          <w:tab w:val="left" w:pos="720"/>
        </w:tabs>
        <w:suppressAutoHyphens/>
        <w:spacing w:line="270" w:lineRule="atLeast"/>
        <w:jc w:val="both"/>
        <w:outlineLvl w:val="0"/>
        <w:rPr>
          <w:rFonts w:cs="Arial"/>
          <w:color w:val="000000"/>
          <w:szCs w:val="24"/>
          <w:lang w:val="en"/>
        </w:rPr>
      </w:pPr>
    </w:p>
    <w:p w14:paraId="6ADB61EE" w14:textId="77777777" w:rsidR="00386B52" w:rsidRDefault="00386B52" w:rsidP="00386B52">
      <w:pPr>
        <w:keepNext/>
        <w:widowControl w:val="0"/>
        <w:tabs>
          <w:tab w:val="left" w:pos="720"/>
        </w:tabs>
        <w:suppressAutoHyphens/>
        <w:spacing w:line="270" w:lineRule="atLeast"/>
        <w:jc w:val="both"/>
        <w:outlineLvl w:val="0"/>
        <w:rPr>
          <w:rFonts w:cs="Arial"/>
          <w:color w:val="000000"/>
          <w:szCs w:val="24"/>
          <w:lang w:val="en"/>
        </w:rPr>
      </w:pPr>
      <w:r>
        <w:rPr>
          <w:rFonts w:cs="Arial"/>
          <w:color w:val="000000"/>
          <w:szCs w:val="24"/>
          <w:lang w:val="en"/>
        </w:rPr>
        <w:t xml:space="preserve">Having enacted this strategy in 2010, with an original expectation that base rate would remain lower for longer than generally assumed by markets, we had expected that full economic recovery would be a 10yr process. </w:t>
      </w:r>
    </w:p>
    <w:p w14:paraId="7D48D3F4" w14:textId="77777777" w:rsidR="00386B52" w:rsidRDefault="00386B52" w:rsidP="00386B52">
      <w:pPr>
        <w:keepNext/>
        <w:widowControl w:val="0"/>
        <w:tabs>
          <w:tab w:val="left" w:pos="720"/>
        </w:tabs>
        <w:suppressAutoHyphens/>
        <w:spacing w:line="270" w:lineRule="atLeast"/>
        <w:jc w:val="both"/>
        <w:outlineLvl w:val="0"/>
        <w:rPr>
          <w:rFonts w:cs="Arial"/>
          <w:color w:val="000000"/>
          <w:szCs w:val="24"/>
          <w:lang w:val="en"/>
        </w:rPr>
      </w:pPr>
    </w:p>
    <w:p w14:paraId="6DF83871" w14:textId="77777777" w:rsidR="00386B52" w:rsidRDefault="00386B52" w:rsidP="00386B52">
      <w:pPr>
        <w:keepNext/>
        <w:widowControl w:val="0"/>
        <w:tabs>
          <w:tab w:val="left" w:pos="720"/>
        </w:tabs>
        <w:suppressAutoHyphens/>
        <w:spacing w:line="270" w:lineRule="atLeast"/>
        <w:jc w:val="both"/>
        <w:outlineLvl w:val="0"/>
        <w:rPr>
          <w:rFonts w:cs="Arial"/>
          <w:color w:val="000000"/>
          <w:szCs w:val="24"/>
          <w:lang w:val="en"/>
        </w:rPr>
      </w:pPr>
      <w:r>
        <w:rPr>
          <w:rFonts w:cs="Arial"/>
          <w:color w:val="000000"/>
          <w:szCs w:val="24"/>
          <w:lang w:val="en"/>
        </w:rPr>
        <w:t>The current recovery in the UK is earlier and slightly stronger than our base case, and in the normal course of events we would now be looking to see slowly rising interest rates, but external risks are forcing the Bank of England to remain cautious;</w:t>
      </w:r>
    </w:p>
    <w:p w14:paraId="669A2A2E" w14:textId="77777777" w:rsidR="00386B52" w:rsidRDefault="00386B52" w:rsidP="00386B52">
      <w:pPr>
        <w:keepNext/>
        <w:widowControl w:val="0"/>
        <w:tabs>
          <w:tab w:val="left" w:pos="720"/>
        </w:tabs>
        <w:suppressAutoHyphens/>
        <w:spacing w:line="270" w:lineRule="atLeast"/>
        <w:jc w:val="both"/>
        <w:outlineLvl w:val="0"/>
        <w:rPr>
          <w:rFonts w:cs="Arial"/>
          <w:color w:val="000000"/>
          <w:szCs w:val="24"/>
          <w:lang w:val="en"/>
        </w:rPr>
      </w:pPr>
    </w:p>
    <w:p w14:paraId="43510C8A" w14:textId="77777777" w:rsidR="00386B52" w:rsidRDefault="00386B52" w:rsidP="00386B52">
      <w:pPr>
        <w:pStyle w:val="ListParagraph"/>
        <w:keepNext/>
        <w:widowControl w:val="0"/>
        <w:numPr>
          <w:ilvl w:val="0"/>
          <w:numId w:val="20"/>
        </w:numPr>
        <w:tabs>
          <w:tab w:val="left" w:pos="720"/>
        </w:tabs>
        <w:suppressAutoHyphens/>
        <w:spacing w:line="270" w:lineRule="atLeast"/>
        <w:jc w:val="both"/>
        <w:outlineLvl w:val="0"/>
        <w:rPr>
          <w:rFonts w:cs="Arial"/>
          <w:szCs w:val="24"/>
        </w:rPr>
      </w:pPr>
      <w:r>
        <w:rPr>
          <w:rFonts w:cs="Arial"/>
          <w:szCs w:val="24"/>
        </w:rPr>
        <w:t>Slow/zero European recovery plus potential for Quantitative Easing</w:t>
      </w:r>
    </w:p>
    <w:p w14:paraId="175ADE35" w14:textId="77777777" w:rsidR="00386B52" w:rsidRDefault="00386B52" w:rsidP="00386B52">
      <w:pPr>
        <w:pStyle w:val="ListParagraph"/>
        <w:keepNext/>
        <w:widowControl w:val="0"/>
        <w:numPr>
          <w:ilvl w:val="0"/>
          <w:numId w:val="20"/>
        </w:numPr>
        <w:tabs>
          <w:tab w:val="left" w:pos="720"/>
        </w:tabs>
        <w:suppressAutoHyphens/>
        <w:spacing w:line="270" w:lineRule="atLeast"/>
        <w:jc w:val="both"/>
        <w:outlineLvl w:val="0"/>
        <w:rPr>
          <w:rFonts w:cs="Arial"/>
          <w:szCs w:val="24"/>
        </w:rPr>
      </w:pPr>
      <w:r>
        <w:rPr>
          <w:rFonts w:cs="Arial"/>
          <w:szCs w:val="24"/>
        </w:rPr>
        <w:t>Growth risks in China and emerging markets</w:t>
      </w:r>
    </w:p>
    <w:p w14:paraId="140B4317" w14:textId="77777777" w:rsidR="00386B52" w:rsidRDefault="00386B52" w:rsidP="00386B52">
      <w:pPr>
        <w:pStyle w:val="ListParagraph"/>
        <w:keepNext/>
        <w:widowControl w:val="0"/>
        <w:numPr>
          <w:ilvl w:val="0"/>
          <w:numId w:val="20"/>
        </w:numPr>
        <w:tabs>
          <w:tab w:val="left" w:pos="720"/>
        </w:tabs>
        <w:suppressAutoHyphens/>
        <w:spacing w:line="270" w:lineRule="atLeast"/>
        <w:jc w:val="both"/>
        <w:outlineLvl w:val="0"/>
        <w:rPr>
          <w:rFonts w:cs="Arial"/>
          <w:szCs w:val="24"/>
        </w:rPr>
      </w:pPr>
      <w:r>
        <w:rPr>
          <w:rFonts w:cs="Arial"/>
          <w:szCs w:val="24"/>
        </w:rPr>
        <w:t xml:space="preserve">Potential for UK economic destabilization as a result of </w:t>
      </w:r>
      <w:r>
        <w:rPr>
          <w:rFonts w:cs="Arial"/>
          <w:szCs w:val="24"/>
        </w:rPr>
        <w:lastRenderedPageBreak/>
        <w:t>Scottish independence vote</w:t>
      </w:r>
    </w:p>
    <w:p w14:paraId="0F1986CD" w14:textId="77777777" w:rsidR="00386B52" w:rsidRDefault="00386B52" w:rsidP="00386B52">
      <w:pPr>
        <w:pStyle w:val="ListParagraph"/>
        <w:keepNext/>
        <w:widowControl w:val="0"/>
        <w:numPr>
          <w:ilvl w:val="0"/>
          <w:numId w:val="20"/>
        </w:numPr>
        <w:tabs>
          <w:tab w:val="left" w:pos="720"/>
        </w:tabs>
        <w:suppressAutoHyphens/>
        <w:spacing w:line="270" w:lineRule="atLeast"/>
        <w:jc w:val="both"/>
        <w:outlineLvl w:val="0"/>
        <w:rPr>
          <w:rFonts w:cs="Arial"/>
          <w:szCs w:val="24"/>
        </w:rPr>
      </w:pPr>
      <w:r>
        <w:rPr>
          <w:rFonts w:cs="Arial"/>
          <w:szCs w:val="24"/>
        </w:rPr>
        <w:t>Low and falling G7 inflation</w:t>
      </w:r>
    </w:p>
    <w:p w14:paraId="615517D9" w14:textId="77777777" w:rsidR="00386B52" w:rsidRDefault="00386B52" w:rsidP="00386B52">
      <w:pPr>
        <w:pStyle w:val="ListParagraph"/>
        <w:keepNext/>
        <w:widowControl w:val="0"/>
        <w:numPr>
          <w:ilvl w:val="0"/>
          <w:numId w:val="20"/>
        </w:numPr>
        <w:tabs>
          <w:tab w:val="left" w:pos="720"/>
        </w:tabs>
        <w:suppressAutoHyphens/>
        <w:spacing w:line="270" w:lineRule="atLeast"/>
        <w:jc w:val="both"/>
        <w:outlineLvl w:val="0"/>
        <w:rPr>
          <w:rFonts w:cs="Arial"/>
          <w:szCs w:val="24"/>
        </w:rPr>
      </w:pPr>
      <w:r>
        <w:rPr>
          <w:rFonts w:cs="Arial"/>
          <w:szCs w:val="24"/>
        </w:rPr>
        <w:t>Falling wholesale energy prices</w:t>
      </w:r>
    </w:p>
    <w:p w14:paraId="240CCFAC" w14:textId="77777777" w:rsidR="00386B52" w:rsidRDefault="00386B52" w:rsidP="00386B52">
      <w:pPr>
        <w:keepNext/>
        <w:widowControl w:val="0"/>
        <w:tabs>
          <w:tab w:val="left" w:pos="720"/>
        </w:tabs>
        <w:suppressAutoHyphens/>
        <w:spacing w:line="270" w:lineRule="atLeast"/>
        <w:jc w:val="both"/>
        <w:outlineLvl w:val="0"/>
        <w:rPr>
          <w:rFonts w:cs="Arial"/>
          <w:szCs w:val="24"/>
        </w:rPr>
      </w:pPr>
      <w:r>
        <w:rPr>
          <w:rFonts w:cs="Arial"/>
          <w:szCs w:val="24"/>
        </w:rPr>
        <w:t>In light of all of these factors we continue with our cautious funding approach, whilst retaining sufficient flexibility to make necessary changes should the path of interest rates change.</w:t>
      </w:r>
    </w:p>
    <w:p w14:paraId="59817B82" w14:textId="77777777" w:rsidR="00A732FD" w:rsidRDefault="00A732FD" w:rsidP="00257EF6">
      <w:pPr>
        <w:pStyle w:val="ListParagraph"/>
        <w:ind w:left="0"/>
        <w:rPr>
          <w:b/>
          <w:szCs w:val="24"/>
          <w:highlight w:val="yellow"/>
        </w:rPr>
      </w:pPr>
    </w:p>
    <w:p w14:paraId="576C20C3" w14:textId="77777777" w:rsidR="001D74C2" w:rsidRDefault="001D74C2" w:rsidP="001D74C2">
      <w:pPr>
        <w:pStyle w:val="ListParagraph"/>
        <w:numPr>
          <w:ilvl w:val="0"/>
          <w:numId w:val="13"/>
        </w:numPr>
        <w:rPr>
          <w:b/>
          <w:szCs w:val="24"/>
        </w:rPr>
      </w:pPr>
      <w:r w:rsidRPr="00FE506C">
        <w:rPr>
          <w:b/>
          <w:szCs w:val="24"/>
        </w:rPr>
        <w:t>Current Issues</w:t>
      </w:r>
    </w:p>
    <w:p w14:paraId="6A31C050" w14:textId="77777777" w:rsidR="002A5996" w:rsidRDefault="00A0708B" w:rsidP="00A0708B">
      <w:pPr>
        <w:rPr>
          <w:b/>
          <w:szCs w:val="24"/>
        </w:rPr>
      </w:pPr>
      <w:r w:rsidRPr="00A0708B">
        <w:rPr>
          <w:b/>
          <w:szCs w:val="24"/>
        </w:rPr>
        <w:t>PFI</w:t>
      </w:r>
    </w:p>
    <w:p w14:paraId="2B04F231" w14:textId="77777777" w:rsidR="00B41B77" w:rsidRPr="00A0708B" w:rsidRDefault="00B41B77" w:rsidP="00A0708B">
      <w:pPr>
        <w:rPr>
          <w:b/>
          <w:szCs w:val="24"/>
        </w:rPr>
      </w:pPr>
    </w:p>
    <w:p w14:paraId="11ABB759" w14:textId="21288863" w:rsidR="00FE506C" w:rsidRDefault="002A5996" w:rsidP="00257EF6">
      <w:pPr>
        <w:pStyle w:val="ListParagraph"/>
        <w:ind w:left="0"/>
        <w:rPr>
          <w:szCs w:val="24"/>
        </w:rPr>
      </w:pPr>
      <w:r w:rsidRPr="00FE506C">
        <w:rPr>
          <w:szCs w:val="24"/>
        </w:rPr>
        <w:t xml:space="preserve">In July the County Council refinanced the Waste Private Finance Initiative contract. </w:t>
      </w:r>
      <w:r w:rsidR="00FE506C" w:rsidRPr="00E539DA">
        <w:rPr>
          <w:szCs w:val="24"/>
        </w:rPr>
        <w:t>In order to facilitate this opera</w:t>
      </w:r>
      <w:r w:rsidR="00A0708B" w:rsidRPr="00E539DA">
        <w:rPr>
          <w:szCs w:val="24"/>
        </w:rPr>
        <w:t xml:space="preserve">tion within the treasury policy the limit on borrowing was increased and the limit on long term liabilities was reduced. This change to the </w:t>
      </w:r>
      <w:r w:rsidR="00FE506C" w:rsidRPr="00E539DA">
        <w:rPr>
          <w:szCs w:val="24"/>
        </w:rPr>
        <w:t xml:space="preserve">Prudential Indicator limits </w:t>
      </w:r>
      <w:r w:rsidR="00A0708B" w:rsidRPr="00E539DA">
        <w:rPr>
          <w:szCs w:val="24"/>
        </w:rPr>
        <w:t xml:space="preserve">was agreed by the County Treasurer under her delegated powers and reported to </w:t>
      </w:r>
      <w:r w:rsidR="00FE506C" w:rsidRPr="00E539DA">
        <w:rPr>
          <w:szCs w:val="24"/>
        </w:rPr>
        <w:t>cabinet on 15</w:t>
      </w:r>
      <w:r w:rsidR="00FE506C" w:rsidRPr="00E539DA">
        <w:rPr>
          <w:szCs w:val="24"/>
          <w:vertAlign w:val="superscript"/>
        </w:rPr>
        <w:t>th</w:t>
      </w:r>
      <w:r w:rsidR="00FE506C" w:rsidRPr="00E539DA">
        <w:rPr>
          <w:szCs w:val="24"/>
        </w:rPr>
        <w:t xml:space="preserve"> July.</w:t>
      </w:r>
    </w:p>
    <w:p w14:paraId="783CD496" w14:textId="77777777" w:rsidR="00386B52" w:rsidRDefault="00386B52" w:rsidP="00257EF6">
      <w:pPr>
        <w:pStyle w:val="ListParagraph"/>
        <w:ind w:left="0"/>
        <w:rPr>
          <w:szCs w:val="24"/>
        </w:rPr>
      </w:pPr>
    </w:p>
    <w:p w14:paraId="50B471A8" w14:textId="77777777" w:rsidR="00386B52" w:rsidRDefault="00386B52" w:rsidP="00257EF6">
      <w:pPr>
        <w:pStyle w:val="ListParagraph"/>
        <w:ind w:left="0"/>
        <w:rPr>
          <w:szCs w:val="24"/>
        </w:rPr>
      </w:pPr>
    </w:p>
    <w:p w14:paraId="35791AEA" w14:textId="77777777" w:rsidR="00386B52" w:rsidRDefault="00386B52" w:rsidP="00257EF6">
      <w:pPr>
        <w:pStyle w:val="ListParagraph"/>
        <w:ind w:left="0"/>
        <w:rPr>
          <w:szCs w:val="24"/>
        </w:rPr>
      </w:pPr>
    </w:p>
    <w:p w14:paraId="03A59599" w14:textId="77777777" w:rsidR="00A0708B" w:rsidRDefault="00A0708B" w:rsidP="00257EF6">
      <w:pPr>
        <w:pStyle w:val="ListParagraph"/>
        <w:ind w:left="0"/>
        <w:rPr>
          <w:szCs w:val="24"/>
        </w:rPr>
      </w:pPr>
    </w:p>
    <w:p w14:paraId="0268ADE8" w14:textId="77777777" w:rsidR="00A0708B" w:rsidRPr="00A0708B" w:rsidRDefault="00A0708B" w:rsidP="00257EF6">
      <w:pPr>
        <w:pStyle w:val="ListParagraph"/>
        <w:ind w:left="0"/>
        <w:rPr>
          <w:b/>
          <w:szCs w:val="24"/>
        </w:rPr>
      </w:pPr>
      <w:r w:rsidRPr="00A0708B">
        <w:rPr>
          <w:b/>
          <w:szCs w:val="24"/>
        </w:rPr>
        <w:t>Bond Issuance</w:t>
      </w:r>
    </w:p>
    <w:p w14:paraId="04E44DEA" w14:textId="77777777" w:rsidR="00FE506C" w:rsidRDefault="00FE506C" w:rsidP="00FE506C">
      <w:r>
        <w:t xml:space="preserve">Whilst the County Treasurer expects the current low rate environment to continue for a further period, the MPC is setting the scene </w:t>
      </w:r>
      <w:r>
        <w:lastRenderedPageBreak/>
        <w:t>for a slow rise in short term rates to a point somewhat lower that historic average, and therefore it is prudent for the Treasury team to prepare for a further change in capital financing strategy.</w:t>
      </w:r>
    </w:p>
    <w:p w14:paraId="458DB911" w14:textId="77777777" w:rsidR="00FE506C" w:rsidRDefault="00FE506C" w:rsidP="00FE506C"/>
    <w:p w14:paraId="69018E57" w14:textId="77777777" w:rsidR="00FE506C" w:rsidRDefault="00FE506C" w:rsidP="00FE506C">
      <w:r>
        <w:t xml:space="preserve">As a part of active treasury management, a series of funding options are regularly examined by the Treasurer with regards the medium to long term financing of the Council's capital programme. The aims of this are two fold – to ensure the Council has a secure route to finance its debt and that it achieves value for money. </w:t>
      </w:r>
    </w:p>
    <w:p w14:paraId="7BBE93F7" w14:textId="77777777" w:rsidR="00B53A14" w:rsidRDefault="00B53A14" w:rsidP="00FE506C"/>
    <w:p w14:paraId="593F6E4E" w14:textId="77777777" w:rsidR="00B53A14" w:rsidRDefault="00A0708B" w:rsidP="00FE506C">
      <w:r>
        <w:t>On 15 July c</w:t>
      </w:r>
      <w:r w:rsidR="00B53A14">
        <w:t>abinet approved the establishment of two additional channels of long term funding for future capital requirements and responding to a rising interest rate environment by fixing short term borrowing for a longer period:</w:t>
      </w:r>
    </w:p>
    <w:p w14:paraId="71777EAC" w14:textId="77777777" w:rsidR="00B53A14" w:rsidRDefault="00B53A14" w:rsidP="00FE506C"/>
    <w:p w14:paraId="1043929C" w14:textId="77777777" w:rsidR="00B53A14" w:rsidRPr="0024717D" w:rsidRDefault="00B53A14" w:rsidP="00B53A14">
      <w:pPr>
        <w:numPr>
          <w:ilvl w:val="0"/>
          <w:numId w:val="18"/>
        </w:numPr>
        <w:rPr>
          <w:szCs w:val="24"/>
        </w:rPr>
      </w:pPr>
      <w:r>
        <w:rPr>
          <w:szCs w:val="24"/>
        </w:rPr>
        <w:t>A discrete</w:t>
      </w:r>
      <w:r w:rsidRPr="0024717D">
        <w:rPr>
          <w:szCs w:val="24"/>
        </w:rPr>
        <w:t xml:space="preserve"> Lancashire County Council EMTN programme</w:t>
      </w:r>
    </w:p>
    <w:p w14:paraId="0B5C238C" w14:textId="77777777" w:rsidR="00B53A14" w:rsidRPr="0024717D" w:rsidRDefault="00B53A14" w:rsidP="00B53A14">
      <w:pPr>
        <w:numPr>
          <w:ilvl w:val="0"/>
          <w:numId w:val="18"/>
        </w:numPr>
        <w:rPr>
          <w:szCs w:val="24"/>
        </w:rPr>
      </w:pPr>
      <w:r w:rsidRPr="0024717D">
        <w:rPr>
          <w:szCs w:val="24"/>
        </w:rPr>
        <w:t>Participation in the proposed Local Government Association Bond Agency</w:t>
      </w:r>
    </w:p>
    <w:p w14:paraId="68CC602A" w14:textId="77777777" w:rsidR="00B53A14" w:rsidRPr="0024717D" w:rsidRDefault="00B53A14" w:rsidP="00B53A14">
      <w:pPr>
        <w:rPr>
          <w:szCs w:val="24"/>
        </w:rPr>
      </w:pPr>
    </w:p>
    <w:p w14:paraId="03920ED7" w14:textId="77777777" w:rsidR="00B53A14" w:rsidRDefault="00B53A14" w:rsidP="00B53A14">
      <w:pPr>
        <w:rPr>
          <w:szCs w:val="24"/>
        </w:rPr>
      </w:pPr>
      <w:r w:rsidRPr="0024717D">
        <w:rPr>
          <w:szCs w:val="24"/>
        </w:rPr>
        <w:t>Either of these routes will access the same pool of medium/long term debt capital available for investment in "high quality" bonds, or a combination of both may be used.</w:t>
      </w:r>
      <w:r>
        <w:rPr>
          <w:szCs w:val="24"/>
        </w:rPr>
        <w:t xml:space="preserve"> The major benefit of this method of financing is the financial certainty it can provide in terms of both cost and liquidity.</w:t>
      </w:r>
    </w:p>
    <w:p w14:paraId="155010F2" w14:textId="77777777" w:rsidR="00B53A14" w:rsidRDefault="00B53A14" w:rsidP="00FE506C"/>
    <w:p w14:paraId="3BA6C84A" w14:textId="3FD242AC" w:rsidR="009C2DFA" w:rsidRDefault="00A0708B" w:rsidP="000C4EC8">
      <w:pPr>
        <w:jc w:val="both"/>
        <w:rPr>
          <w:rFonts w:cs="Arial"/>
          <w:szCs w:val="24"/>
        </w:rPr>
      </w:pPr>
      <w:r>
        <w:rPr>
          <w:rFonts w:cs="Arial"/>
          <w:szCs w:val="24"/>
        </w:rPr>
        <w:t>In order to facilitate these programs a temporary increase in the borrowing and long term investment limits is required</w:t>
      </w:r>
      <w:r w:rsidR="000C4EC8" w:rsidRPr="000C4EC8">
        <w:t xml:space="preserve"> </w:t>
      </w:r>
      <w:r w:rsidR="000C4EC8">
        <w:t xml:space="preserve">to replace the </w:t>
      </w:r>
      <w:r w:rsidR="000C4EC8">
        <w:lastRenderedPageBreak/>
        <w:t xml:space="preserve">rolling short term debt to longer term debt financing.  </w:t>
      </w:r>
      <w:r w:rsidR="000C4EC8">
        <w:rPr>
          <w:rFonts w:cs="Arial"/>
          <w:szCs w:val="24"/>
        </w:rPr>
        <w:t xml:space="preserve">An </w:t>
      </w:r>
      <w:r>
        <w:rPr>
          <w:rFonts w:cs="Arial"/>
          <w:szCs w:val="24"/>
        </w:rPr>
        <w:t>increase</w:t>
      </w:r>
      <w:r w:rsidR="000C4EC8">
        <w:rPr>
          <w:rFonts w:cs="Arial"/>
          <w:szCs w:val="24"/>
        </w:rPr>
        <w:t xml:space="preserve"> of</w:t>
      </w:r>
      <w:r>
        <w:rPr>
          <w:rFonts w:cs="Arial"/>
          <w:szCs w:val="24"/>
        </w:rPr>
        <w:t xml:space="preserve"> both these limits by £300m for a </w:t>
      </w:r>
      <w:r w:rsidR="000C4EC8">
        <w:rPr>
          <w:rFonts w:cs="Arial"/>
          <w:szCs w:val="24"/>
        </w:rPr>
        <w:t>nine month period in</w:t>
      </w:r>
      <w:r w:rsidR="0046437F">
        <w:rPr>
          <w:rFonts w:cs="Arial"/>
          <w:szCs w:val="24"/>
        </w:rPr>
        <w:t xml:space="preserve"> </w:t>
      </w:r>
      <w:r w:rsidR="000C4EC8">
        <w:rPr>
          <w:rFonts w:cs="Arial"/>
          <w:szCs w:val="24"/>
        </w:rPr>
        <w:t>2014/15</w:t>
      </w:r>
      <w:r>
        <w:rPr>
          <w:rFonts w:cs="Arial"/>
          <w:szCs w:val="24"/>
        </w:rPr>
        <w:t xml:space="preserve"> </w:t>
      </w:r>
      <w:r w:rsidR="000C4EC8">
        <w:rPr>
          <w:rFonts w:cs="Arial"/>
          <w:szCs w:val="24"/>
        </w:rPr>
        <w:t xml:space="preserve">was </w:t>
      </w:r>
      <w:r w:rsidR="00D65CE9">
        <w:rPr>
          <w:rFonts w:cs="Arial"/>
          <w:szCs w:val="24"/>
        </w:rPr>
        <w:t xml:space="preserve">agreed by Cabinet </w:t>
      </w:r>
      <w:r w:rsidR="00B41B77">
        <w:rPr>
          <w:rFonts w:cs="Arial"/>
          <w:szCs w:val="24"/>
        </w:rPr>
        <w:t>and approved</w:t>
      </w:r>
      <w:r w:rsidR="00375B95">
        <w:rPr>
          <w:rFonts w:cs="Arial"/>
          <w:szCs w:val="24"/>
        </w:rPr>
        <w:t xml:space="preserve"> by Full</w:t>
      </w:r>
      <w:r w:rsidR="00D65CE9">
        <w:rPr>
          <w:rFonts w:cs="Arial"/>
          <w:szCs w:val="24"/>
        </w:rPr>
        <w:t xml:space="preserve"> Council</w:t>
      </w:r>
      <w:r w:rsidR="00375B95">
        <w:rPr>
          <w:rFonts w:cs="Arial"/>
          <w:szCs w:val="24"/>
        </w:rPr>
        <w:t>.</w:t>
      </w:r>
      <w:r>
        <w:rPr>
          <w:rFonts w:cs="Arial"/>
          <w:szCs w:val="24"/>
        </w:rPr>
        <w:t xml:space="preserve">  </w:t>
      </w:r>
    </w:p>
    <w:p w14:paraId="0054A977" w14:textId="77777777" w:rsidR="00375B95" w:rsidRPr="000C4EC8" w:rsidRDefault="00375B95" w:rsidP="000C4EC8">
      <w:pPr>
        <w:jc w:val="both"/>
      </w:pPr>
    </w:p>
    <w:p w14:paraId="085E9774" w14:textId="77777777" w:rsidR="001130C7" w:rsidRPr="00AD3E3C" w:rsidRDefault="002A5996" w:rsidP="00257EF6">
      <w:pPr>
        <w:pStyle w:val="ListParagraph"/>
        <w:ind w:left="0"/>
        <w:rPr>
          <w:b/>
          <w:szCs w:val="24"/>
          <w:highlight w:val="yellow"/>
        </w:rPr>
      </w:pPr>
      <w:r>
        <w:rPr>
          <w:b/>
          <w:szCs w:val="24"/>
          <w:highlight w:val="yellow"/>
        </w:rPr>
        <w:t xml:space="preserve"> </w:t>
      </w:r>
    </w:p>
    <w:p w14:paraId="2FE4E514" w14:textId="77777777" w:rsidR="00A732FD" w:rsidRPr="001130C7" w:rsidRDefault="00A732FD" w:rsidP="006B2962">
      <w:pPr>
        <w:pStyle w:val="ListParagraph"/>
        <w:numPr>
          <w:ilvl w:val="0"/>
          <w:numId w:val="13"/>
        </w:numPr>
        <w:rPr>
          <w:b/>
          <w:szCs w:val="24"/>
        </w:rPr>
      </w:pPr>
      <w:r w:rsidRPr="001130C7">
        <w:rPr>
          <w:b/>
          <w:szCs w:val="24"/>
        </w:rPr>
        <w:t>Current Treasury</w:t>
      </w:r>
      <w:r w:rsidR="00180500" w:rsidRPr="001130C7">
        <w:rPr>
          <w:b/>
          <w:szCs w:val="24"/>
        </w:rPr>
        <w:t xml:space="preserve"> Management</w:t>
      </w:r>
      <w:r w:rsidRPr="001130C7">
        <w:rPr>
          <w:b/>
          <w:szCs w:val="24"/>
        </w:rPr>
        <w:t xml:space="preserve"> Policy</w:t>
      </w:r>
    </w:p>
    <w:p w14:paraId="05C9A58F" w14:textId="77777777" w:rsidR="003A458A" w:rsidRDefault="003A458A" w:rsidP="00A70459">
      <w:pPr>
        <w:jc w:val="both"/>
        <w:rPr>
          <w:szCs w:val="24"/>
        </w:rPr>
      </w:pPr>
    </w:p>
    <w:p w14:paraId="3BC06BC4" w14:textId="77777777" w:rsidR="00A70459" w:rsidRPr="006B6339" w:rsidRDefault="00A70459" w:rsidP="00A70459">
      <w:pPr>
        <w:jc w:val="both"/>
        <w:rPr>
          <w:szCs w:val="24"/>
          <w:lang w:eastAsia="en-US"/>
        </w:rPr>
      </w:pPr>
      <w:r w:rsidRPr="006B6339">
        <w:rPr>
          <w:szCs w:val="24"/>
        </w:rPr>
        <w:t>Th</w:t>
      </w:r>
      <w:r w:rsidR="00DC602A">
        <w:rPr>
          <w:szCs w:val="24"/>
        </w:rPr>
        <w:t>e Full Council approved the 2014/15</w:t>
      </w:r>
      <w:r w:rsidRPr="006B6339">
        <w:rPr>
          <w:szCs w:val="24"/>
        </w:rPr>
        <w:t xml:space="preserve"> treasury management strategy at its meeting on </w:t>
      </w:r>
      <w:r w:rsidR="00DC602A">
        <w:rPr>
          <w:szCs w:val="24"/>
          <w:lang w:eastAsia="en-US"/>
        </w:rPr>
        <w:t>27</w:t>
      </w:r>
      <w:r w:rsidRPr="006B6339">
        <w:rPr>
          <w:szCs w:val="24"/>
          <w:vertAlign w:val="superscript"/>
          <w:lang w:eastAsia="en-US"/>
        </w:rPr>
        <w:t>th</w:t>
      </w:r>
      <w:r w:rsidRPr="006B6339">
        <w:rPr>
          <w:b/>
          <w:i/>
          <w:color w:val="FF0000"/>
          <w:szCs w:val="24"/>
          <w:lang w:eastAsia="en-US"/>
        </w:rPr>
        <w:t xml:space="preserve"> </w:t>
      </w:r>
      <w:r w:rsidRPr="006B6339">
        <w:rPr>
          <w:szCs w:val="24"/>
          <w:lang w:eastAsia="en-US"/>
        </w:rPr>
        <w:t>February 201</w:t>
      </w:r>
      <w:r w:rsidR="00DC602A">
        <w:rPr>
          <w:szCs w:val="24"/>
          <w:lang w:eastAsia="en-US"/>
        </w:rPr>
        <w:t>4</w:t>
      </w:r>
      <w:r w:rsidRPr="006B6339">
        <w:rPr>
          <w:szCs w:val="24"/>
          <w:lang w:eastAsia="en-US"/>
        </w:rPr>
        <w:t>.  The Council’s stated investment priorities were:</w:t>
      </w:r>
    </w:p>
    <w:p w14:paraId="5FF31F89" w14:textId="77777777" w:rsidR="00A70459" w:rsidRPr="006B6339" w:rsidRDefault="00A70459" w:rsidP="00A70459">
      <w:pPr>
        <w:jc w:val="both"/>
        <w:rPr>
          <w:szCs w:val="24"/>
          <w:lang w:eastAsia="en-US"/>
        </w:rPr>
      </w:pPr>
    </w:p>
    <w:p w14:paraId="0D0DA2BD" w14:textId="77777777" w:rsidR="00A70459" w:rsidRPr="006B6339" w:rsidRDefault="00A70459" w:rsidP="00A70459">
      <w:pPr>
        <w:spacing w:before="45" w:after="45"/>
        <w:jc w:val="both"/>
        <w:rPr>
          <w:rFonts w:cs="Arial"/>
          <w:szCs w:val="24"/>
        </w:rPr>
      </w:pPr>
      <w:r w:rsidRPr="006B6339">
        <w:rPr>
          <w:rFonts w:cs="Arial"/>
          <w:szCs w:val="24"/>
        </w:rPr>
        <w:t>(a)</w:t>
      </w:r>
      <w:r w:rsidRPr="006B6339">
        <w:rPr>
          <w:rFonts w:cs="Arial"/>
          <w:szCs w:val="24"/>
        </w:rPr>
        <w:tab/>
        <w:t xml:space="preserve">Security of capital and </w:t>
      </w:r>
    </w:p>
    <w:p w14:paraId="5F28E993" w14:textId="77777777" w:rsidR="00A70459" w:rsidRPr="006B6339" w:rsidRDefault="00A70459" w:rsidP="00A70459">
      <w:pPr>
        <w:spacing w:before="45" w:after="45"/>
        <w:jc w:val="both"/>
        <w:rPr>
          <w:rFonts w:cs="Arial"/>
          <w:szCs w:val="24"/>
        </w:rPr>
      </w:pPr>
      <w:r w:rsidRPr="006B6339">
        <w:rPr>
          <w:rFonts w:cs="Arial"/>
          <w:szCs w:val="24"/>
        </w:rPr>
        <w:t>(b)</w:t>
      </w:r>
      <w:r w:rsidRPr="006B6339">
        <w:rPr>
          <w:rFonts w:cs="Arial"/>
          <w:szCs w:val="24"/>
        </w:rPr>
        <w:tab/>
        <w:t xml:space="preserve">Liquidity of its investments. </w:t>
      </w:r>
    </w:p>
    <w:p w14:paraId="3F95A018" w14:textId="77777777" w:rsidR="00A70459" w:rsidRPr="006B6339" w:rsidRDefault="00A70459" w:rsidP="00A70459">
      <w:pPr>
        <w:jc w:val="both"/>
        <w:rPr>
          <w:rFonts w:cs="Arial"/>
          <w:szCs w:val="24"/>
        </w:rPr>
      </w:pPr>
    </w:p>
    <w:p w14:paraId="6A2B7D93" w14:textId="77777777" w:rsidR="00A70459" w:rsidRPr="006B6339" w:rsidRDefault="00A70459" w:rsidP="00A70459">
      <w:pPr>
        <w:jc w:val="both"/>
        <w:rPr>
          <w:szCs w:val="24"/>
          <w:lang w:eastAsia="en-US"/>
        </w:rPr>
      </w:pPr>
      <w:r w:rsidRPr="006B6339">
        <w:rPr>
          <w:rFonts w:cs="Arial"/>
          <w:szCs w:val="24"/>
        </w:rPr>
        <w:t xml:space="preserve">The Council also aimed to achieve the optimum return on its investments </w:t>
      </w:r>
      <w:bookmarkStart w:id="0" w:name="_GoBack"/>
      <w:bookmarkEnd w:id="0"/>
      <w:r w:rsidRPr="006B6339">
        <w:rPr>
          <w:rFonts w:cs="Arial"/>
          <w:szCs w:val="24"/>
        </w:rPr>
        <w:t xml:space="preserve">commensurate with proper levels of security and liquidity. The risk appetite of the Council is low in order to give priority to security of its investments.  </w:t>
      </w:r>
    </w:p>
    <w:p w14:paraId="217D6DD6" w14:textId="77777777" w:rsidR="00A70459" w:rsidRPr="006B6339" w:rsidRDefault="00A70459" w:rsidP="00A70459">
      <w:pPr>
        <w:jc w:val="both"/>
        <w:rPr>
          <w:szCs w:val="24"/>
          <w:lang w:eastAsia="en-US"/>
        </w:rPr>
      </w:pPr>
    </w:p>
    <w:p w14:paraId="63EB60C3" w14:textId="77777777" w:rsidR="00A70459" w:rsidRPr="006B6339" w:rsidRDefault="00A70459" w:rsidP="00A70459">
      <w:pPr>
        <w:jc w:val="both"/>
        <w:rPr>
          <w:szCs w:val="24"/>
          <w:lang w:eastAsia="en-US"/>
        </w:rPr>
      </w:pPr>
      <w:r w:rsidRPr="006B6339">
        <w:rPr>
          <w:szCs w:val="24"/>
          <w:lang w:eastAsia="en-US"/>
        </w:rPr>
        <w:t xml:space="preserve">The Council’s stated borrowing strategy was to take advantage of historically low short term interest rates by borrowing short term in the money markets rather than financing capital expenditure through long term </w:t>
      </w:r>
      <w:r w:rsidRPr="005455A5">
        <w:rPr>
          <w:szCs w:val="24"/>
          <w:lang w:eastAsia="en-US"/>
        </w:rPr>
        <w:t>Public Works Loan Board (PWLB)</w:t>
      </w:r>
      <w:r w:rsidRPr="00B8395C">
        <w:rPr>
          <w:color w:val="FF0000"/>
          <w:szCs w:val="24"/>
          <w:lang w:eastAsia="en-US"/>
        </w:rPr>
        <w:t xml:space="preserve"> </w:t>
      </w:r>
      <w:r w:rsidRPr="006B6339">
        <w:rPr>
          <w:szCs w:val="24"/>
          <w:lang w:eastAsia="en-US"/>
        </w:rPr>
        <w:t>loans.</w:t>
      </w:r>
    </w:p>
    <w:p w14:paraId="57EC179E" w14:textId="77777777" w:rsidR="00A70459" w:rsidRPr="006B6339" w:rsidRDefault="00A70459" w:rsidP="00A70459">
      <w:pPr>
        <w:jc w:val="both"/>
        <w:rPr>
          <w:szCs w:val="24"/>
        </w:rPr>
      </w:pPr>
    </w:p>
    <w:p w14:paraId="1752EF21" w14:textId="77777777" w:rsidR="00A70459" w:rsidRPr="006B6339" w:rsidRDefault="00A70459" w:rsidP="00A70459">
      <w:pPr>
        <w:jc w:val="both"/>
        <w:rPr>
          <w:szCs w:val="24"/>
        </w:rPr>
      </w:pPr>
      <w:r w:rsidRPr="006B6339">
        <w:rPr>
          <w:szCs w:val="24"/>
        </w:rPr>
        <w:lastRenderedPageBreak/>
        <w:t xml:space="preserve">The County Treasurer can report that all treasury management activity undertaken during the financial year complied with the </w:t>
      </w:r>
      <w:r w:rsidRPr="006B6339">
        <w:rPr>
          <w:i/>
          <w:szCs w:val="24"/>
        </w:rPr>
        <w:t>CIPFA Code of Practice</w:t>
      </w:r>
      <w:r w:rsidRPr="006B6339">
        <w:rPr>
          <w:szCs w:val="24"/>
        </w:rPr>
        <w:t xml:space="preserve"> and the relevant legislative provisions.  </w:t>
      </w:r>
    </w:p>
    <w:p w14:paraId="63AC7996" w14:textId="77777777" w:rsidR="00A70459" w:rsidRDefault="00A70459" w:rsidP="00A70459">
      <w:pPr>
        <w:rPr>
          <w:b/>
          <w:highlight w:val="yellow"/>
        </w:rPr>
      </w:pPr>
    </w:p>
    <w:p w14:paraId="6AC15CF6" w14:textId="77777777" w:rsidR="006B2962" w:rsidRPr="009848BD" w:rsidRDefault="00A732FD" w:rsidP="00257EF6">
      <w:pPr>
        <w:pStyle w:val="ListParagraph"/>
        <w:ind w:left="0"/>
        <w:rPr>
          <w:szCs w:val="24"/>
        </w:rPr>
      </w:pPr>
      <w:r w:rsidRPr="009848BD">
        <w:rPr>
          <w:szCs w:val="24"/>
        </w:rPr>
        <w:t xml:space="preserve">The current borrowing policy of keeping a higher proportion of borrowing at variable rates or short dated maturities is enabling the County Council to take advantage of the very low rates available </w:t>
      </w:r>
      <w:r w:rsidR="00180500" w:rsidRPr="009848BD">
        <w:rPr>
          <w:szCs w:val="24"/>
        </w:rPr>
        <w:t>on short term borrowing</w:t>
      </w:r>
      <w:r w:rsidRPr="009848BD">
        <w:rPr>
          <w:szCs w:val="24"/>
        </w:rPr>
        <w:t xml:space="preserve">. </w:t>
      </w:r>
      <w:r w:rsidR="00FB4640" w:rsidRPr="009848BD">
        <w:rPr>
          <w:szCs w:val="24"/>
        </w:rPr>
        <w:t xml:space="preserve">Rates will be carefully monitored and the proportion of </w:t>
      </w:r>
      <w:r w:rsidR="006B2962" w:rsidRPr="009848BD">
        <w:rPr>
          <w:szCs w:val="24"/>
        </w:rPr>
        <w:t xml:space="preserve">borrowing held on </w:t>
      </w:r>
      <w:r w:rsidR="00FB4640" w:rsidRPr="009848BD">
        <w:rPr>
          <w:szCs w:val="24"/>
        </w:rPr>
        <w:t xml:space="preserve">longer term fixed rates will be increased as rates </w:t>
      </w:r>
      <w:r w:rsidR="009848BD" w:rsidRPr="009848BD">
        <w:rPr>
          <w:szCs w:val="24"/>
        </w:rPr>
        <w:t>are expected</w:t>
      </w:r>
      <w:r w:rsidR="00FB4640" w:rsidRPr="009848BD">
        <w:rPr>
          <w:szCs w:val="24"/>
        </w:rPr>
        <w:t xml:space="preserve"> to rise. </w:t>
      </w:r>
    </w:p>
    <w:p w14:paraId="171831AC" w14:textId="77777777" w:rsidR="009848BD" w:rsidRPr="009848BD" w:rsidRDefault="009848BD" w:rsidP="00257EF6">
      <w:pPr>
        <w:pStyle w:val="ListParagraph"/>
        <w:ind w:left="0"/>
        <w:rPr>
          <w:szCs w:val="24"/>
        </w:rPr>
      </w:pPr>
    </w:p>
    <w:p w14:paraId="163640F8" w14:textId="77777777" w:rsidR="00A732FD" w:rsidRDefault="00A732FD" w:rsidP="00257EF6">
      <w:pPr>
        <w:pStyle w:val="ListParagraph"/>
        <w:ind w:left="0"/>
        <w:rPr>
          <w:b/>
          <w:szCs w:val="24"/>
        </w:rPr>
      </w:pPr>
      <w:r w:rsidRPr="009848BD">
        <w:rPr>
          <w:szCs w:val="24"/>
        </w:rPr>
        <w:t xml:space="preserve">The current investment policy of accessing high credit quality institutions through bond investments as opposed to placing fixed term deposits directly with banks continues to be </w:t>
      </w:r>
      <w:r w:rsidR="006B2962" w:rsidRPr="009848BD">
        <w:rPr>
          <w:szCs w:val="24"/>
        </w:rPr>
        <w:t>appropriate</w:t>
      </w:r>
      <w:r w:rsidRPr="009848BD">
        <w:rPr>
          <w:szCs w:val="24"/>
        </w:rPr>
        <w:t xml:space="preserve"> given the continued difficult credit environment.</w:t>
      </w:r>
    </w:p>
    <w:p w14:paraId="3A672763" w14:textId="77777777" w:rsidR="00A732FD" w:rsidRDefault="00A732FD" w:rsidP="00257EF6">
      <w:pPr>
        <w:pStyle w:val="ListParagraph"/>
        <w:ind w:left="0"/>
        <w:rPr>
          <w:b/>
          <w:szCs w:val="24"/>
        </w:rPr>
      </w:pPr>
    </w:p>
    <w:p w14:paraId="225ECAC5" w14:textId="77777777" w:rsidR="000C4EC8" w:rsidRDefault="000C4EC8" w:rsidP="00257EF6">
      <w:pPr>
        <w:pStyle w:val="ListParagraph"/>
        <w:ind w:left="0"/>
        <w:rPr>
          <w:b/>
          <w:szCs w:val="24"/>
        </w:rPr>
      </w:pPr>
    </w:p>
    <w:p w14:paraId="45366256" w14:textId="77777777" w:rsidR="000C4EC8" w:rsidRDefault="000C4EC8" w:rsidP="00257EF6">
      <w:pPr>
        <w:pStyle w:val="ListParagraph"/>
        <w:ind w:left="0"/>
        <w:rPr>
          <w:b/>
          <w:szCs w:val="24"/>
        </w:rPr>
      </w:pPr>
    </w:p>
    <w:p w14:paraId="52674E50" w14:textId="6FA918E9" w:rsidR="0071182D" w:rsidRDefault="007D2084" w:rsidP="00257EF6">
      <w:pPr>
        <w:pStyle w:val="ListParagraph"/>
        <w:ind w:left="0"/>
        <w:rPr>
          <w:b/>
          <w:szCs w:val="24"/>
        </w:rPr>
      </w:pPr>
      <w:r>
        <w:rPr>
          <w:b/>
          <w:szCs w:val="24"/>
        </w:rPr>
        <w:t>4</w:t>
      </w:r>
      <w:r w:rsidR="006B2962">
        <w:rPr>
          <w:b/>
          <w:szCs w:val="24"/>
        </w:rPr>
        <w:t>.1</w:t>
      </w:r>
      <w:r w:rsidR="006B2962">
        <w:rPr>
          <w:b/>
          <w:szCs w:val="24"/>
        </w:rPr>
        <w:tab/>
      </w:r>
      <w:r w:rsidR="008B31ED" w:rsidRPr="008B31ED">
        <w:rPr>
          <w:b/>
          <w:szCs w:val="24"/>
        </w:rPr>
        <w:t>Investment</w:t>
      </w:r>
      <w:r w:rsidR="00B65FA9">
        <w:rPr>
          <w:b/>
          <w:szCs w:val="24"/>
        </w:rPr>
        <w:t xml:space="preserve"> Activity</w:t>
      </w:r>
    </w:p>
    <w:p w14:paraId="6034416E" w14:textId="77777777" w:rsidR="003413AB" w:rsidRDefault="003413AB" w:rsidP="003413AB">
      <w:pPr>
        <w:ind w:hanging="11"/>
      </w:pPr>
      <w:r>
        <w:t xml:space="preserve">The table below shows investment activity </w:t>
      </w:r>
      <w:r w:rsidR="009B0BEE">
        <w:t>between 1</w:t>
      </w:r>
      <w:r w:rsidR="009B0BEE" w:rsidRPr="009B0BEE">
        <w:rPr>
          <w:vertAlign w:val="superscript"/>
        </w:rPr>
        <w:t>st</w:t>
      </w:r>
      <w:r w:rsidR="009B0BEE">
        <w:t xml:space="preserve"> </w:t>
      </w:r>
      <w:r w:rsidR="00AD3E3C">
        <w:t>April</w:t>
      </w:r>
      <w:r w:rsidR="009B0BEE">
        <w:t xml:space="preserve"> and </w:t>
      </w:r>
      <w:r w:rsidR="00AD3E3C">
        <w:t>31 August 2014</w:t>
      </w:r>
    </w:p>
    <w:p w14:paraId="4FBF0827" w14:textId="77777777" w:rsidR="003413AB" w:rsidRDefault="004D5BEC" w:rsidP="00AD3E3C">
      <w:pPr>
        <w:ind w:hanging="11"/>
      </w:pPr>
      <w:r>
        <w:tab/>
      </w:r>
    </w:p>
    <w:tbl>
      <w:tblPr>
        <w:tblW w:w="7740" w:type="dxa"/>
        <w:tblLook w:val="04A0" w:firstRow="1" w:lastRow="0" w:firstColumn="1" w:lastColumn="0" w:noHBand="0" w:noVBand="1"/>
      </w:tblPr>
      <w:tblGrid>
        <w:gridCol w:w="2940"/>
        <w:gridCol w:w="1200"/>
        <w:gridCol w:w="840"/>
        <w:gridCol w:w="1560"/>
        <w:gridCol w:w="1200"/>
      </w:tblGrid>
      <w:tr w:rsidR="00AD3E3C" w:rsidRPr="00AD3E3C" w14:paraId="762C990E" w14:textId="77777777" w:rsidTr="00AD3E3C">
        <w:trPr>
          <w:trHeight w:val="300"/>
        </w:trPr>
        <w:tc>
          <w:tcPr>
            <w:tcW w:w="2940" w:type="dxa"/>
            <w:tcBorders>
              <w:top w:val="nil"/>
              <w:left w:val="nil"/>
              <w:bottom w:val="nil"/>
              <w:right w:val="nil"/>
            </w:tcBorders>
            <w:noWrap/>
            <w:vAlign w:val="bottom"/>
            <w:hideMark/>
          </w:tcPr>
          <w:p w14:paraId="6EA8AF49" w14:textId="77777777" w:rsidR="00AD3E3C" w:rsidRPr="00AD3E3C" w:rsidRDefault="00AD3E3C" w:rsidP="00AD3E3C">
            <w:pPr>
              <w:rPr>
                <w:rFonts w:cs="Arial"/>
                <w:color w:val="000000"/>
                <w:szCs w:val="22"/>
              </w:rPr>
            </w:pPr>
          </w:p>
        </w:tc>
        <w:tc>
          <w:tcPr>
            <w:tcW w:w="1200" w:type="dxa"/>
            <w:tcBorders>
              <w:top w:val="nil"/>
              <w:left w:val="nil"/>
              <w:bottom w:val="nil"/>
              <w:right w:val="nil"/>
            </w:tcBorders>
            <w:noWrap/>
            <w:vAlign w:val="bottom"/>
            <w:hideMark/>
          </w:tcPr>
          <w:p w14:paraId="58596BAB" w14:textId="77777777" w:rsidR="00AD3E3C" w:rsidRPr="00AD3E3C" w:rsidRDefault="00AD3E3C" w:rsidP="00AD3E3C">
            <w:pPr>
              <w:rPr>
                <w:rFonts w:cs="Arial"/>
                <w:color w:val="000000"/>
                <w:szCs w:val="22"/>
              </w:rPr>
            </w:pPr>
          </w:p>
        </w:tc>
        <w:tc>
          <w:tcPr>
            <w:tcW w:w="2400" w:type="dxa"/>
            <w:gridSpan w:val="2"/>
            <w:tcBorders>
              <w:top w:val="nil"/>
              <w:left w:val="nil"/>
              <w:bottom w:val="nil"/>
              <w:right w:val="nil"/>
            </w:tcBorders>
            <w:noWrap/>
            <w:vAlign w:val="bottom"/>
            <w:hideMark/>
          </w:tcPr>
          <w:p w14:paraId="79846B8A" w14:textId="77777777" w:rsidR="00AD3E3C" w:rsidRPr="00AD3E3C" w:rsidRDefault="00AD3E3C" w:rsidP="00AD3E3C">
            <w:pPr>
              <w:jc w:val="center"/>
              <w:rPr>
                <w:rFonts w:ascii="Calibri" w:hAnsi="Calibri" w:cs="Arial"/>
                <w:b/>
                <w:bCs/>
                <w:color w:val="000000"/>
                <w:szCs w:val="22"/>
              </w:rPr>
            </w:pPr>
            <w:r w:rsidRPr="00AD3E3C">
              <w:rPr>
                <w:rFonts w:ascii="Calibri" w:hAnsi="Calibri" w:cs="Arial"/>
                <w:b/>
                <w:bCs/>
                <w:color w:val="000000"/>
                <w:sz w:val="22"/>
                <w:szCs w:val="22"/>
              </w:rPr>
              <w:t>Bank and Local Authority     Deposits</w:t>
            </w:r>
          </w:p>
        </w:tc>
        <w:tc>
          <w:tcPr>
            <w:tcW w:w="1200" w:type="dxa"/>
            <w:tcBorders>
              <w:top w:val="nil"/>
              <w:left w:val="nil"/>
              <w:bottom w:val="nil"/>
              <w:right w:val="nil"/>
            </w:tcBorders>
            <w:noWrap/>
            <w:vAlign w:val="bottom"/>
            <w:hideMark/>
          </w:tcPr>
          <w:p w14:paraId="681E86F7" w14:textId="77777777" w:rsidR="00AD3E3C" w:rsidRPr="00AD3E3C" w:rsidRDefault="00AD3E3C" w:rsidP="00AD3E3C">
            <w:pPr>
              <w:rPr>
                <w:rFonts w:cs="Arial"/>
                <w:color w:val="000000"/>
                <w:szCs w:val="22"/>
              </w:rPr>
            </w:pPr>
          </w:p>
        </w:tc>
      </w:tr>
      <w:tr w:rsidR="00AD3E3C" w:rsidRPr="00AD3E3C" w14:paraId="5A46140B" w14:textId="77777777" w:rsidTr="00AD3E3C">
        <w:trPr>
          <w:trHeight w:val="300"/>
        </w:trPr>
        <w:tc>
          <w:tcPr>
            <w:tcW w:w="2940" w:type="dxa"/>
            <w:tcBorders>
              <w:top w:val="nil"/>
              <w:left w:val="nil"/>
              <w:bottom w:val="nil"/>
              <w:right w:val="nil"/>
            </w:tcBorders>
            <w:noWrap/>
            <w:vAlign w:val="bottom"/>
            <w:hideMark/>
          </w:tcPr>
          <w:p w14:paraId="27F89A6F" w14:textId="77777777" w:rsidR="00AD3E3C" w:rsidRPr="00AD3E3C" w:rsidRDefault="00AD3E3C" w:rsidP="00AD3E3C">
            <w:pPr>
              <w:rPr>
                <w:rFonts w:cs="Arial"/>
                <w:color w:val="000000"/>
                <w:szCs w:val="22"/>
              </w:rPr>
            </w:pPr>
          </w:p>
        </w:tc>
        <w:tc>
          <w:tcPr>
            <w:tcW w:w="1200" w:type="dxa"/>
            <w:tcBorders>
              <w:top w:val="nil"/>
              <w:left w:val="nil"/>
              <w:bottom w:val="nil"/>
              <w:right w:val="nil"/>
            </w:tcBorders>
            <w:noWrap/>
            <w:vAlign w:val="bottom"/>
            <w:hideMark/>
          </w:tcPr>
          <w:p w14:paraId="074960FB" w14:textId="77777777" w:rsidR="00AD3E3C" w:rsidRPr="00AD3E3C" w:rsidRDefault="00AD3E3C" w:rsidP="00AD3E3C">
            <w:pPr>
              <w:rPr>
                <w:rFonts w:cs="Arial"/>
                <w:color w:val="000000"/>
                <w:szCs w:val="22"/>
              </w:rPr>
            </w:pPr>
          </w:p>
        </w:tc>
        <w:tc>
          <w:tcPr>
            <w:tcW w:w="840" w:type="dxa"/>
            <w:tcBorders>
              <w:top w:val="nil"/>
              <w:left w:val="nil"/>
              <w:bottom w:val="nil"/>
              <w:right w:val="nil"/>
            </w:tcBorders>
            <w:noWrap/>
            <w:vAlign w:val="bottom"/>
            <w:hideMark/>
          </w:tcPr>
          <w:p w14:paraId="251A29B1" w14:textId="77777777" w:rsidR="00AD3E3C" w:rsidRPr="00AD3E3C" w:rsidRDefault="00AD3E3C" w:rsidP="00AD3E3C">
            <w:pPr>
              <w:rPr>
                <w:rFonts w:cs="Arial"/>
                <w:color w:val="000000"/>
                <w:szCs w:val="22"/>
              </w:rPr>
            </w:pPr>
          </w:p>
        </w:tc>
        <w:tc>
          <w:tcPr>
            <w:tcW w:w="1560" w:type="dxa"/>
            <w:tcBorders>
              <w:top w:val="nil"/>
              <w:left w:val="nil"/>
              <w:bottom w:val="nil"/>
              <w:right w:val="nil"/>
            </w:tcBorders>
            <w:noWrap/>
            <w:vAlign w:val="bottom"/>
            <w:hideMark/>
          </w:tcPr>
          <w:p w14:paraId="77BE4117" w14:textId="77777777" w:rsidR="00AD3E3C" w:rsidRPr="00AD3E3C" w:rsidRDefault="00AD3E3C" w:rsidP="00AD3E3C">
            <w:pPr>
              <w:rPr>
                <w:rFonts w:cs="Arial"/>
                <w:color w:val="000000"/>
                <w:szCs w:val="22"/>
              </w:rPr>
            </w:pPr>
          </w:p>
        </w:tc>
        <w:tc>
          <w:tcPr>
            <w:tcW w:w="1200" w:type="dxa"/>
            <w:tcBorders>
              <w:top w:val="nil"/>
              <w:left w:val="nil"/>
              <w:bottom w:val="nil"/>
              <w:right w:val="nil"/>
            </w:tcBorders>
            <w:noWrap/>
            <w:vAlign w:val="bottom"/>
            <w:hideMark/>
          </w:tcPr>
          <w:p w14:paraId="58D40EBB" w14:textId="77777777" w:rsidR="00AD3E3C" w:rsidRPr="00AD3E3C" w:rsidRDefault="00AD3E3C" w:rsidP="00AD3E3C">
            <w:pPr>
              <w:rPr>
                <w:rFonts w:cs="Arial"/>
                <w:color w:val="000000"/>
                <w:szCs w:val="22"/>
              </w:rPr>
            </w:pPr>
          </w:p>
        </w:tc>
      </w:tr>
      <w:tr w:rsidR="00AD3E3C" w:rsidRPr="00AD3E3C" w14:paraId="08F626FC" w14:textId="77777777" w:rsidTr="00AD3E3C">
        <w:trPr>
          <w:trHeight w:val="300"/>
        </w:trPr>
        <w:tc>
          <w:tcPr>
            <w:tcW w:w="2940" w:type="dxa"/>
            <w:tcBorders>
              <w:top w:val="nil"/>
              <w:left w:val="nil"/>
              <w:bottom w:val="nil"/>
              <w:right w:val="nil"/>
            </w:tcBorders>
            <w:noWrap/>
            <w:vAlign w:val="bottom"/>
            <w:hideMark/>
          </w:tcPr>
          <w:p w14:paraId="4D7BCA5A" w14:textId="77777777" w:rsidR="00AD3E3C" w:rsidRPr="00AD3E3C" w:rsidRDefault="00AD3E3C" w:rsidP="00AD3E3C">
            <w:pPr>
              <w:rPr>
                <w:rFonts w:ascii="Times New Roman" w:hAnsi="Times New Roman"/>
                <w:sz w:val="20"/>
              </w:rPr>
            </w:pPr>
          </w:p>
        </w:tc>
        <w:tc>
          <w:tcPr>
            <w:tcW w:w="1200" w:type="dxa"/>
            <w:tcBorders>
              <w:top w:val="nil"/>
              <w:left w:val="nil"/>
              <w:bottom w:val="nil"/>
              <w:right w:val="nil"/>
            </w:tcBorders>
            <w:noWrap/>
            <w:vAlign w:val="bottom"/>
            <w:hideMark/>
          </w:tcPr>
          <w:p w14:paraId="210ECF2A"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Call/MMF</w:t>
            </w:r>
          </w:p>
        </w:tc>
        <w:tc>
          <w:tcPr>
            <w:tcW w:w="840" w:type="dxa"/>
            <w:tcBorders>
              <w:top w:val="nil"/>
              <w:left w:val="nil"/>
              <w:bottom w:val="nil"/>
              <w:right w:val="nil"/>
            </w:tcBorders>
            <w:noWrap/>
            <w:vAlign w:val="bottom"/>
            <w:hideMark/>
          </w:tcPr>
          <w:p w14:paraId="502E4A62"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Fixed</w:t>
            </w:r>
          </w:p>
        </w:tc>
        <w:tc>
          <w:tcPr>
            <w:tcW w:w="1560" w:type="dxa"/>
            <w:tcBorders>
              <w:top w:val="nil"/>
              <w:left w:val="nil"/>
              <w:bottom w:val="nil"/>
              <w:right w:val="nil"/>
            </w:tcBorders>
            <w:noWrap/>
            <w:vAlign w:val="bottom"/>
            <w:hideMark/>
          </w:tcPr>
          <w:p w14:paraId="1AE8806C"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Structured</w:t>
            </w:r>
          </w:p>
        </w:tc>
        <w:tc>
          <w:tcPr>
            <w:tcW w:w="1200" w:type="dxa"/>
            <w:tcBorders>
              <w:top w:val="nil"/>
              <w:left w:val="nil"/>
              <w:bottom w:val="nil"/>
              <w:right w:val="nil"/>
            </w:tcBorders>
            <w:noWrap/>
            <w:vAlign w:val="bottom"/>
            <w:hideMark/>
          </w:tcPr>
          <w:p w14:paraId="64937B82"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 xml:space="preserve"> Total </w:t>
            </w:r>
          </w:p>
        </w:tc>
      </w:tr>
      <w:tr w:rsidR="00AD3E3C" w:rsidRPr="00AD3E3C" w14:paraId="23C205E3" w14:textId="77777777" w:rsidTr="00AD3E3C">
        <w:trPr>
          <w:trHeight w:val="300"/>
        </w:trPr>
        <w:tc>
          <w:tcPr>
            <w:tcW w:w="2940" w:type="dxa"/>
            <w:tcBorders>
              <w:top w:val="nil"/>
              <w:left w:val="nil"/>
              <w:bottom w:val="nil"/>
              <w:right w:val="nil"/>
            </w:tcBorders>
            <w:noWrap/>
            <w:vAlign w:val="bottom"/>
            <w:hideMark/>
          </w:tcPr>
          <w:p w14:paraId="66425594" w14:textId="77777777" w:rsidR="00AD3E3C" w:rsidRPr="00AD3E3C" w:rsidRDefault="00AD3E3C" w:rsidP="00AD3E3C">
            <w:pPr>
              <w:jc w:val="center"/>
              <w:rPr>
                <w:rFonts w:ascii="Calibri" w:hAnsi="Calibri" w:cs="Arial"/>
                <w:b/>
                <w:bCs/>
                <w:color w:val="000000"/>
                <w:sz w:val="20"/>
              </w:rPr>
            </w:pPr>
          </w:p>
        </w:tc>
        <w:tc>
          <w:tcPr>
            <w:tcW w:w="1200" w:type="dxa"/>
            <w:tcBorders>
              <w:top w:val="nil"/>
              <w:left w:val="nil"/>
              <w:bottom w:val="nil"/>
              <w:right w:val="nil"/>
            </w:tcBorders>
            <w:noWrap/>
            <w:vAlign w:val="bottom"/>
            <w:hideMark/>
          </w:tcPr>
          <w:p w14:paraId="19DA0C46"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c>
          <w:tcPr>
            <w:tcW w:w="840" w:type="dxa"/>
            <w:tcBorders>
              <w:top w:val="nil"/>
              <w:left w:val="nil"/>
              <w:bottom w:val="nil"/>
              <w:right w:val="nil"/>
            </w:tcBorders>
            <w:noWrap/>
            <w:vAlign w:val="bottom"/>
            <w:hideMark/>
          </w:tcPr>
          <w:p w14:paraId="5D15966B"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c>
          <w:tcPr>
            <w:tcW w:w="1560" w:type="dxa"/>
            <w:tcBorders>
              <w:top w:val="nil"/>
              <w:left w:val="nil"/>
              <w:bottom w:val="nil"/>
              <w:right w:val="nil"/>
            </w:tcBorders>
            <w:noWrap/>
            <w:vAlign w:val="bottom"/>
            <w:hideMark/>
          </w:tcPr>
          <w:p w14:paraId="20388188"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c>
          <w:tcPr>
            <w:tcW w:w="1200" w:type="dxa"/>
            <w:tcBorders>
              <w:top w:val="nil"/>
              <w:left w:val="nil"/>
              <w:bottom w:val="nil"/>
              <w:right w:val="nil"/>
            </w:tcBorders>
            <w:noWrap/>
            <w:vAlign w:val="bottom"/>
            <w:hideMark/>
          </w:tcPr>
          <w:p w14:paraId="32CDFF25"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r>
      <w:tr w:rsidR="00AD3E3C" w:rsidRPr="00AD3E3C" w14:paraId="1B50527D" w14:textId="77777777" w:rsidTr="00AD3E3C">
        <w:trPr>
          <w:trHeight w:val="300"/>
        </w:trPr>
        <w:tc>
          <w:tcPr>
            <w:tcW w:w="2940" w:type="dxa"/>
            <w:tcBorders>
              <w:top w:val="nil"/>
              <w:left w:val="nil"/>
              <w:bottom w:val="nil"/>
              <w:right w:val="nil"/>
            </w:tcBorders>
            <w:noWrap/>
            <w:vAlign w:val="bottom"/>
            <w:hideMark/>
          </w:tcPr>
          <w:p w14:paraId="656887F7" w14:textId="77777777" w:rsidR="00AD3E3C" w:rsidRPr="00AD3E3C" w:rsidRDefault="00AD3E3C" w:rsidP="00AD3E3C">
            <w:pPr>
              <w:rPr>
                <w:rFonts w:ascii="Calibri" w:hAnsi="Calibri" w:cs="Arial"/>
                <w:b/>
                <w:bCs/>
                <w:color w:val="000000"/>
                <w:sz w:val="20"/>
              </w:rPr>
            </w:pPr>
            <w:r w:rsidRPr="00AD3E3C">
              <w:rPr>
                <w:rFonts w:ascii="Calibri" w:hAnsi="Calibri" w:cs="Arial"/>
                <w:b/>
                <w:bCs/>
                <w:color w:val="000000"/>
                <w:sz w:val="20"/>
              </w:rPr>
              <w:t>Balance 1 April 2014</w:t>
            </w:r>
          </w:p>
        </w:tc>
        <w:tc>
          <w:tcPr>
            <w:tcW w:w="1200" w:type="dxa"/>
            <w:tcBorders>
              <w:top w:val="nil"/>
              <w:left w:val="nil"/>
              <w:bottom w:val="nil"/>
              <w:right w:val="nil"/>
            </w:tcBorders>
            <w:noWrap/>
            <w:vAlign w:val="bottom"/>
            <w:hideMark/>
          </w:tcPr>
          <w:p w14:paraId="7634F8E7"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57.74</w:t>
            </w:r>
          </w:p>
        </w:tc>
        <w:tc>
          <w:tcPr>
            <w:tcW w:w="840" w:type="dxa"/>
            <w:tcBorders>
              <w:top w:val="nil"/>
              <w:left w:val="nil"/>
              <w:bottom w:val="nil"/>
              <w:right w:val="nil"/>
            </w:tcBorders>
            <w:noWrap/>
            <w:vAlign w:val="bottom"/>
            <w:hideMark/>
          </w:tcPr>
          <w:p w14:paraId="693D9E84"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66.50</w:t>
            </w:r>
          </w:p>
        </w:tc>
        <w:tc>
          <w:tcPr>
            <w:tcW w:w="1560" w:type="dxa"/>
            <w:tcBorders>
              <w:top w:val="nil"/>
              <w:left w:val="nil"/>
              <w:bottom w:val="nil"/>
              <w:right w:val="nil"/>
            </w:tcBorders>
            <w:noWrap/>
            <w:vAlign w:val="bottom"/>
            <w:hideMark/>
          </w:tcPr>
          <w:p w14:paraId="7BF71DAB"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73.68</w:t>
            </w:r>
          </w:p>
        </w:tc>
        <w:tc>
          <w:tcPr>
            <w:tcW w:w="1200" w:type="dxa"/>
            <w:tcBorders>
              <w:top w:val="nil"/>
              <w:left w:val="nil"/>
              <w:bottom w:val="nil"/>
              <w:right w:val="nil"/>
            </w:tcBorders>
            <w:noWrap/>
            <w:vAlign w:val="bottom"/>
            <w:hideMark/>
          </w:tcPr>
          <w:p w14:paraId="523A22A7"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197.92</w:t>
            </w:r>
          </w:p>
        </w:tc>
      </w:tr>
      <w:tr w:rsidR="00AD3E3C" w:rsidRPr="00AD3E3C" w14:paraId="60F8E091" w14:textId="77777777" w:rsidTr="00AD3E3C">
        <w:trPr>
          <w:trHeight w:val="300"/>
        </w:trPr>
        <w:tc>
          <w:tcPr>
            <w:tcW w:w="2940" w:type="dxa"/>
            <w:tcBorders>
              <w:top w:val="nil"/>
              <w:left w:val="nil"/>
              <w:bottom w:val="nil"/>
              <w:right w:val="nil"/>
            </w:tcBorders>
            <w:noWrap/>
            <w:vAlign w:val="bottom"/>
            <w:hideMark/>
          </w:tcPr>
          <w:p w14:paraId="73793583" w14:textId="77777777" w:rsidR="00AD3E3C" w:rsidRPr="00AD3E3C" w:rsidRDefault="00AD3E3C" w:rsidP="00AD3E3C">
            <w:pPr>
              <w:rPr>
                <w:rFonts w:ascii="Calibri" w:hAnsi="Calibri" w:cs="Arial"/>
                <w:bCs/>
                <w:color w:val="000000"/>
                <w:sz w:val="20"/>
              </w:rPr>
            </w:pPr>
            <w:r w:rsidRPr="00AD3E3C">
              <w:rPr>
                <w:rFonts w:ascii="Calibri" w:hAnsi="Calibri" w:cs="Arial"/>
                <w:bCs/>
                <w:color w:val="000000"/>
                <w:sz w:val="20"/>
              </w:rPr>
              <w:t>Maturities</w:t>
            </w:r>
          </w:p>
        </w:tc>
        <w:tc>
          <w:tcPr>
            <w:tcW w:w="1200" w:type="dxa"/>
            <w:tcBorders>
              <w:top w:val="nil"/>
              <w:left w:val="nil"/>
              <w:bottom w:val="nil"/>
              <w:right w:val="nil"/>
            </w:tcBorders>
            <w:noWrap/>
            <w:vAlign w:val="bottom"/>
            <w:hideMark/>
          </w:tcPr>
          <w:p w14:paraId="0C06D3F6"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-106.57</w:t>
            </w:r>
          </w:p>
        </w:tc>
        <w:tc>
          <w:tcPr>
            <w:tcW w:w="840" w:type="dxa"/>
            <w:tcBorders>
              <w:top w:val="nil"/>
              <w:left w:val="nil"/>
              <w:bottom w:val="nil"/>
              <w:right w:val="nil"/>
            </w:tcBorders>
            <w:noWrap/>
            <w:vAlign w:val="bottom"/>
            <w:hideMark/>
          </w:tcPr>
          <w:p w14:paraId="7CFE3119"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-20.00</w:t>
            </w:r>
          </w:p>
        </w:tc>
        <w:tc>
          <w:tcPr>
            <w:tcW w:w="1560" w:type="dxa"/>
            <w:tcBorders>
              <w:top w:val="nil"/>
              <w:left w:val="nil"/>
              <w:bottom w:val="nil"/>
              <w:right w:val="nil"/>
            </w:tcBorders>
            <w:noWrap/>
            <w:vAlign w:val="bottom"/>
            <w:hideMark/>
          </w:tcPr>
          <w:p w14:paraId="3EAE76C8"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0.00</w:t>
            </w:r>
          </w:p>
        </w:tc>
        <w:tc>
          <w:tcPr>
            <w:tcW w:w="1200" w:type="dxa"/>
            <w:tcBorders>
              <w:top w:val="nil"/>
              <w:left w:val="nil"/>
              <w:bottom w:val="nil"/>
              <w:right w:val="nil"/>
            </w:tcBorders>
            <w:noWrap/>
            <w:vAlign w:val="bottom"/>
            <w:hideMark/>
          </w:tcPr>
          <w:p w14:paraId="460FA34F" w14:textId="77777777" w:rsidR="00AD3E3C" w:rsidRPr="00AD3E3C" w:rsidRDefault="00AD3E3C" w:rsidP="00AD3E3C">
            <w:pPr>
              <w:jc w:val="center"/>
              <w:rPr>
                <w:rFonts w:ascii="Calibri" w:hAnsi="Calibri" w:cs="Arial"/>
                <w:bCs/>
                <w:color w:val="000000"/>
                <w:sz w:val="20"/>
              </w:rPr>
            </w:pPr>
            <w:r w:rsidRPr="00AD3E3C">
              <w:rPr>
                <w:rFonts w:ascii="Calibri" w:hAnsi="Calibri" w:cs="Arial"/>
                <w:bCs/>
                <w:color w:val="000000"/>
                <w:sz w:val="20"/>
              </w:rPr>
              <w:t>-126.57</w:t>
            </w:r>
          </w:p>
        </w:tc>
      </w:tr>
      <w:tr w:rsidR="00AD3E3C" w:rsidRPr="00AD3E3C" w14:paraId="6C69F65B" w14:textId="77777777" w:rsidTr="00AD3E3C">
        <w:trPr>
          <w:trHeight w:val="300"/>
        </w:trPr>
        <w:tc>
          <w:tcPr>
            <w:tcW w:w="2940" w:type="dxa"/>
            <w:tcBorders>
              <w:top w:val="nil"/>
              <w:left w:val="nil"/>
              <w:bottom w:val="nil"/>
              <w:right w:val="nil"/>
            </w:tcBorders>
            <w:noWrap/>
            <w:vAlign w:val="bottom"/>
            <w:hideMark/>
          </w:tcPr>
          <w:p w14:paraId="46CC16D5" w14:textId="77777777" w:rsidR="00AD3E3C" w:rsidRPr="00AD3E3C" w:rsidRDefault="00AD3E3C" w:rsidP="00AD3E3C">
            <w:pPr>
              <w:rPr>
                <w:rFonts w:ascii="Calibri" w:hAnsi="Calibri" w:cs="Arial"/>
                <w:bCs/>
                <w:color w:val="000000"/>
                <w:sz w:val="20"/>
              </w:rPr>
            </w:pPr>
            <w:r w:rsidRPr="00AD3E3C">
              <w:rPr>
                <w:rFonts w:ascii="Calibri" w:hAnsi="Calibri" w:cs="Arial"/>
                <w:bCs/>
                <w:color w:val="000000"/>
                <w:sz w:val="20"/>
              </w:rPr>
              <w:t>New Investments</w:t>
            </w:r>
          </w:p>
        </w:tc>
        <w:tc>
          <w:tcPr>
            <w:tcW w:w="1200" w:type="dxa"/>
            <w:tcBorders>
              <w:top w:val="nil"/>
              <w:left w:val="nil"/>
              <w:bottom w:val="nil"/>
              <w:right w:val="nil"/>
            </w:tcBorders>
            <w:noWrap/>
            <w:vAlign w:val="bottom"/>
            <w:hideMark/>
          </w:tcPr>
          <w:p w14:paraId="1E94C265"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138.10</w:t>
            </w:r>
          </w:p>
        </w:tc>
        <w:tc>
          <w:tcPr>
            <w:tcW w:w="840" w:type="dxa"/>
            <w:tcBorders>
              <w:top w:val="nil"/>
              <w:left w:val="nil"/>
              <w:bottom w:val="nil"/>
              <w:right w:val="nil"/>
            </w:tcBorders>
            <w:noWrap/>
            <w:vAlign w:val="bottom"/>
            <w:hideMark/>
          </w:tcPr>
          <w:p w14:paraId="4BF26E70"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10.00</w:t>
            </w:r>
          </w:p>
        </w:tc>
        <w:tc>
          <w:tcPr>
            <w:tcW w:w="1560" w:type="dxa"/>
            <w:tcBorders>
              <w:top w:val="nil"/>
              <w:left w:val="nil"/>
              <w:bottom w:val="nil"/>
              <w:right w:val="nil"/>
            </w:tcBorders>
            <w:noWrap/>
            <w:vAlign w:val="bottom"/>
            <w:hideMark/>
          </w:tcPr>
          <w:p w14:paraId="2E839F0C"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0.13</w:t>
            </w:r>
          </w:p>
        </w:tc>
        <w:tc>
          <w:tcPr>
            <w:tcW w:w="1200" w:type="dxa"/>
            <w:tcBorders>
              <w:top w:val="nil"/>
              <w:left w:val="nil"/>
              <w:bottom w:val="nil"/>
              <w:right w:val="nil"/>
            </w:tcBorders>
            <w:noWrap/>
            <w:vAlign w:val="bottom"/>
            <w:hideMark/>
          </w:tcPr>
          <w:p w14:paraId="0A795978" w14:textId="77777777" w:rsidR="00AD3E3C" w:rsidRPr="00AD3E3C" w:rsidRDefault="00AD3E3C" w:rsidP="00AD3E3C">
            <w:pPr>
              <w:jc w:val="center"/>
              <w:rPr>
                <w:rFonts w:ascii="Calibri" w:hAnsi="Calibri" w:cs="Arial"/>
                <w:bCs/>
                <w:color w:val="000000"/>
                <w:sz w:val="20"/>
              </w:rPr>
            </w:pPr>
            <w:r w:rsidRPr="00AD3E3C">
              <w:rPr>
                <w:rFonts w:ascii="Calibri" w:hAnsi="Calibri" w:cs="Arial"/>
                <w:bCs/>
                <w:color w:val="000000"/>
                <w:sz w:val="20"/>
              </w:rPr>
              <w:t>148.23</w:t>
            </w:r>
          </w:p>
        </w:tc>
      </w:tr>
      <w:tr w:rsidR="00AD3E3C" w:rsidRPr="00AD3E3C" w14:paraId="65A1891B" w14:textId="77777777" w:rsidTr="00AD3E3C">
        <w:trPr>
          <w:trHeight w:val="315"/>
        </w:trPr>
        <w:tc>
          <w:tcPr>
            <w:tcW w:w="2940" w:type="dxa"/>
            <w:tcBorders>
              <w:top w:val="nil"/>
              <w:left w:val="nil"/>
              <w:bottom w:val="nil"/>
              <w:right w:val="nil"/>
            </w:tcBorders>
            <w:noWrap/>
            <w:vAlign w:val="bottom"/>
            <w:hideMark/>
          </w:tcPr>
          <w:p w14:paraId="381CEFE1" w14:textId="77777777" w:rsidR="00AD3E3C" w:rsidRPr="00AD3E3C" w:rsidRDefault="00AD3E3C" w:rsidP="00AD3E3C">
            <w:pPr>
              <w:jc w:val="center"/>
              <w:rPr>
                <w:rFonts w:ascii="Calibri" w:hAnsi="Calibri" w:cs="Arial"/>
                <w:b/>
                <w:bCs/>
                <w:color w:val="000000"/>
                <w:sz w:val="20"/>
              </w:rPr>
            </w:pPr>
          </w:p>
        </w:tc>
        <w:tc>
          <w:tcPr>
            <w:tcW w:w="1200" w:type="dxa"/>
            <w:tcBorders>
              <w:top w:val="nil"/>
              <w:left w:val="nil"/>
              <w:bottom w:val="nil"/>
              <w:right w:val="nil"/>
            </w:tcBorders>
            <w:noWrap/>
            <w:vAlign w:val="bottom"/>
            <w:hideMark/>
          </w:tcPr>
          <w:p w14:paraId="492B5717" w14:textId="77777777" w:rsidR="00AD3E3C" w:rsidRPr="00AD3E3C" w:rsidRDefault="00AD3E3C" w:rsidP="00AD3E3C">
            <w:pPr>
              <w:rPr>
                <w:sz w:val="20"/>
              </w:rPr>
            </w:pPr>
          </w:p>
        </w:tc>
        <w:tc>
          <w:tcPr>
            <w:tcW w:w="840" w:type="dxa"/>
            <w:tcBorders>
              <w:top w:val="nil"/>
              <w:left w:val="nil"/>
              <w:bottom w:val="nil"/>
              <w:right w:val="nil"/>
            </w:tcBorders>
            <w:noWrap/>
            <w:vAlign w:val="bottom"/>
            <w:hideMark/>
          </w:tcPr>
          <w:p w14:paraId="1EB8EAB8" w14:textId="77777777" w:rsidR="00AD3E3C" w:rsidRPr="00AD3E3C" w:rsidRDefault="00AD3E3C" w:rsidP="00AD3E3C">
            <w:pPr>
              <w:jc w:val="center"/>
              <w:rPr>
                <w:sz w:val="20"/>
              </w:rPr>
            </w:pPr>
          </w:p>
        </w:tc>
        <w:tc>
          <w:tcPr>
            <w:tcW w:w="1560" w:type="dxa"/>
            <w:tcBorders>
              <w:top w:val="nil"/>
              <w:left w:val="nil"/>
              <w:bottom w:val="nil"/>
              <w:right w:val="nil"/>
            </w:tcBorders>
            <w:noWrap/>
            <w:vAlign w:val="bottom"/>
            <w:hideMark/>
          </w:tcPr>
          <w:p w14:paraId="371154C2" w14:textId="77777777" w:rsidR="00AD3E3C" w:rsidRPr="00AD3E3C" w:rsidRDefault="00AD3E3C" w:rsidP="00AD3E3C">
            <w:pPr>
              <w:jc w:val="center"/>
              <w:rPr>
                <w:sz w:val="20"/>
              </w:rPr>
            </w:pPr>
          </w:p>
        </w:tc>
        <w:tc>
          <w:tcPr>
            <w:tcW w:w="1200" w:type="dxa"/>
            <w:tcBorders>
              <w:top w:val="nil"/>
              <w:left w:val="nil"/>
              <w:bottom w:val="nil"/>
              <w:right w:val="nil"/>
            </w:tcBorders>
            <w:noWrap/>
            <w:vAlign w:val="bottom"/>
            <w:hideMark/>
          </w:tcPr>
          <w:p w14:paraId="2EED6DFF" w14:textId="77777777" w:rsidR="00AD3E3C" w:rsidRPr="00AD3E3C" w:rsidRDefault="00AD3E3C" w:rsidP="00AD3E3C">
            <w:pPr>
              <w:jc w:val="center"/>
              <w:rPr>
                <w:sz w:val="20"/>
              </w:rPr>
            </w:pPr>
          </w:p>
        </w:tc>
      </w:tr>
      <w:tr w:rsidR="00AD3E3C" w:rsidRPr="00AD3E3C" w14:paraId="6BC2BBB4" w14:textId="77777777" w:rsidTr="00AD3E3C">
        <w:trPr>
          <w:trHeight w:val="315"/>
        </w:trPr>
        <w:tc>
          <w:tcPr>
            <w:tcW w:w="2940" w:type="dxa"/>
            <w:tcBorders>
              <w:top w:val="nil"/>
              <w:left w:val="nil"/>
              <w:bottom w:val="nil"/>
              <w:right w:val="nil"/>
            </w:tcBorders>
            <w:noWrap/>
            <w:vAlign w:val="bottom"/>
            <w:hideMark/>
          </w:tcPr>
          <w:p w14:paraId="0115B6DD" w14:textId="77777777" w:rsidR="00AD3E3C" w:rsidRPr="00AD3E3C" w:rsidRDefault="00AD3E3C" w:rsidP="00AD3E3C">
            <w:pPr>
              <w:rPr>
                <w:rFonts w:ascii="Calibri" w:hAnsi="Calibri" w:cs="Arial"/>
                <w:b/>
                <w:bCs/>
                <w:color w:val="000000"/>
                <w:sz w:val="20"/>
              </w:rPr>
            </w:pPr>
            <w:r w:rsidRPr="00AD3E3C">
              <w:rPr>
                <w:rFonts w:ascii="Calibri" w:hAnsi="Calibri" w:cs="Arial"/>
                <w:b/>
                <w:bCs/>
                <w:color w:val="000000"/>
                <w:sz w:val="20"/>
              </w:rPr>
              <w:t>Balance 31 August 2014</w:t>
            </w:r>
          </w:p>
        </w:tc>
        <w:tc>
          <w:tcPr>
            <w:tcW w:w="1200" w:type="dxa"/>
            <w:tcBorders>
              <w:top w:val="single" w:sz="8" w:space="0" w:color="auto"/>
              <w:left w:val="nil"/>
              <w:bottom w:val="double" w:sz="6" w:space="0" w:color="auto"/>
              <w:right w:val="nil"/>
            </w:tcBorders>
            <w:noWrap/>
            <w:vAlign w:val="bottom"/>
            <w:hideMark/>
          </w:tcPr>
          <w:p w14:paraId="3914FEE6"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89.28</w:t>
            </w:r>
          </w:p>
        </w:tc>
        <w:tc>
          <w:tcPr>
            <w:tcW w:w="840" w:type="dxa"/>
            <w:tcBorders>
              <w:top w:val="single" w:sz="8" w:space="0" w:color="auto"/>
              <w:left w:val="nil"/>
              <w:bottom w:val="double" w:sz="6" w:space="0" w:color="auto"/>
              <w:right w:val="nil"/>
            </w:tcBorders>
            <w:noWrap/>
            <w:vAlign w:val="bottom"/>
            <w:hideMark/>
          </w:tcPr>
          <w:p w14:paraId="75838363"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56.50</w:t>
            </w:r>
          </w:p>
        </w:tc>
        <w:tc>
          <w:tcPr>
            <w:tcW w:w="1560" w:type="dxa"/>
            <w:tcBorders>
              <w:top w:val="single" w:sz="8" w:space="0" w:color="auto"/>
              <w:left w:val="nil"/>
              <w:bottom w:val="double" w:sz="6" w:space="0" w:color="auto"/>
              <w:right w:val="nil"/>
            </w:tcBorders>
            <w:noWrap/>
            <w:vAlign w:val="bottom"/>
            <w:hideMark/>
          </w:tcPr>
          <w:p w14:paraId="51545D5B"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73.81</w:t>
            </w:r>
          </w:p>
        </w:tc>
        <w:tc>
          <w:tcPr>
            <w:tcW w:w="1200" w:type="dxa"/>
            <w:tcBorders>
              <w:top w:val="single" w:sz="8" w:space="0" w:color="auto"/>
              <w:left w:val="nil"/>
              <w:bottom w:val="double" w:sz="6" w:space="0" w:color="auto"/>
              <w:right w:val="nil"/>
            </w:tcBorders>
            <w:noWrap/>
            <w:vAlign w:val="bottom"/>
            <w:hideMark/>
          </w:tcPr>
          <w:p w14:paraId="2C8E5795"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219.59</w:t>
            </w:r>
          </w:p>
        </w:tc>
      </w:tr>
    </w:tbl>
    <w:p w14:paraId="28A7DAA8" w14:textId="77777777" w:rsidR="00AD3E3C" w:rsidRPr="0005580E" w:rsidRDefault="00AD3E3C" w:rsidP="00AD3E3C"/>
    <w:tbl>
      <w:tblPr>
        <w:tblW w:w="7740" w:type="dxa"/>
        <w:tblLook w:val="04A0" w:firstRow="1" w:lastRow="0" w:firstColumn="1" w:lastColumn="0" w:noHBand="0" w:noVBand="1"/>
      </w:tblPr>
      <w:tblGrid>
        <w:gridCol w:w="2940"/>
        <w:gridCol w:w="1200"/>
        <w:gridCol w:w="1200"/>
        <w:gridCol w:w="1200"/>
        <w:gridCol w:w="1200"/>
      </w:tblGrid>
      <w:tr w:rsidR="00AD3E3C" w:rsidRPr="00AD3E3C" w14:paraId="637EE544" w14:textId="77777777" w:rsidTr="00AD3E3C">
        <w:trPr>
          <w:trHeight w:val="315"/>
        </w:trPr>
        <w:tc>
          <w:tcPr>
            <w:tcW w:w="2940" w:type="dxa"/>
            <w:tcBorders>
              <w:top w:val="nil"/>
              <w:left w:val="nil"/>
              <w:bottom w:val="nil"/>
              <w:right w:val="nil"/>
            </w:tcBorders>
            <w:noWrap/>
            <w:vAlign w:val="bottom"/>
            <w:hideMark/>
          </w:tcPr>
          <w:p w14:paraId="4A7C3905" w14:textId="77777777" w:rsidR="00AD3E3C" w:rsidRPr="00AD3E3C" w:rsidRDefault="00AD3E3C" w:rsidP="00AD3E3C">
            <w:pPr>
              <w:rPr>
                <w:rFonts w:ascii="Calibri" w:hAnsi="Calibri" w:cs="Arial"/>
                <w:color w:val="000000"/>
                <w:szCs w:val="22"/>
              </w:rPr>
            </w:pPr>
          </w:p>
        </w:tc>
        <w:tc>
          <w:tcPr>
            <w:tcW w:w="1200" w:type="dxa"/>
            <w:tcBorders>
              <w:top w:val="nil"/>
              <w:left w:val="nil"/>
              <w:bottom w:val="nil"/>
              <w:right w:val="nil"/>
            </w:tcBorders>
            <w:noWrap/>
            <w:vAlign w:val="bottom"/>
            <w:hideMark/>
          </w:tcPr>
          <w:p w14:paraId="1AA4546D" w14:textId="77777777" w:rsidR="00AD3E3C" w:rsidRPr="00AD3E3C" w:rsidRDefault="00AD3E3C" w:rsidP="00AD3E3C">
            <w:pPr>
              <w:jc w:val="center"/>
              <w:rPr>
                <w:rFonts w:ascii="Calibri" w:hAnsi="Calibri" w:cs="Arial"/>
                <w:color w:val="000000"/>
                <w:szCs w:val="22"/>
              </w:rPr>
            </w:pPr>
          </w:p>
        </w:tc>
        <w:tc>
          <w:tcPr>
            <w:tcW w:w="1200" w:type="dxa"/>
            <w:tcBorders>
              <w:top w:val="nil"/>
              <w:left w:val="nil"/>
              <w:bottom w:val="nil"/>
              <w:right w:val="nil"/>
            </w:tcBorders>
            <w:noWrap/>
            <w:vAlign w:val="bottom"/>
            <w:hideMark/>
          </w:tcPr>
          <w:p w14:paraId="2D47AABF" w14:textId="77777777" w:rsidR="00AD3E3C" w:rsidRPr="00AD3E3C" w:rsidRDefault="00AD3E3C" w:rsidP="00AD3E3C">
            <w:pPr>
              <w:jc w:val="center"/>
              <w:rPr>
                <w:rFonts w:ascii="Calibri" w:hAnsi="Calibri" w:cs="Arial"/>
                <w:b/>
                <w:bCs/>
                <w:color w:val="000000"/>
                <w:szCs w:val="22"/>
              </w:rPr>
            </w:pPr>
            <w:r w:rsidRPr="00AD3E3C">
              <w:rPr>
                <w:rFonts w:ascii="Calibri" w:hAnsi="Calibri" w:cs="Arial"/>
                <w:b/>
                <w:bCs/>
                <w:color w:val="000000"/>
                <w:sz w:val="22"/>
                <w:szCs w:val="22"/>
              </w:rPr>
              <w:t xml:space="preserve">        Bonds</w:t>
            </w:r>
          </w:p>
        </w:tc>
        <w:tc>
          <w:tcPr>
            <w:tcW w:w="1200" w:type="dxa"/>
            <w:tcBorders>
              <w:top w:val="nil"/>
              <w:left w:val="nil"/>
              <w:bottom w:val="nil"/>
              <w:right w:val="nil"/>
            </w:tcBorders>
            <w:noWrap/>
            <w:vAlign w:val="bottom"/>
            <w:hideMark/>
          </w:tcPr>
          <w:p w14:paraId="316E305D" w14:textId="77777777" w:rsidR="00AD3E3C" w:rsidRPr="00AD3E3C" w:rsidRDefault="00AD3E3C" w:rsidP="00AD3E3C">
            <w:pPr>
              <w:jc w:val="center"/>
              <w:rPr>
                <w:rFonts w:ascii="Calibri" w:hAnsi="Calibri" w:cs="Arial"/>
                <w:color w:val="000000"/>
                <w:szCs w:val="22"/>
              </w:rPr>
            </w:pPr>
          </w:p>
        </w:tc>
        <w:tc>
          <w:tcPr>
            <w:tcW w:w="1200" w:type="dxa"/>
            <w:tcBorders>
              <w:top w:val="nil"/>
              <w:left w:val="nil"/>
              <w:bottom w:val="nil"/>
              <w:right w:val="nil"/>
            </w:tcBorders>
            <w:noWrap/>
            <w:vAlign w:val="bottom"/>
            <w:hideMark/>
          </w:tcPr>
          <w:p w14:paraId="6B42247E" w14:textId="77777777" w:rsidR="00AD3E3C" w:rsidRPr="00AD3E3C" w:rsidRDefault="00AD3E3C" w:rsidP="00AD3E3C">
            <w:pPr>
              <w:jc w:val="center"/>
              <w:rPr>
                <w:rFonts w:ascii="Calibri" w:hAnsi="Calibri" w:cs="Arial"/>
                <w:color w:val="000000"/>
                <w:szCs w:val="22"/>
              </w:rPr>
            </w:pPr>
          </w:p>
        </w:tc>
      </w:tr>
      <w:tr w:rsidR="00AD3E3C" w:rsidRPr="00AD3E3C" w14:paraId="56E2CB37" w14:textId="77777777" w:rsidTr="00AD3E3C">
        <w:trPr>
          <w:trHeight w:val="315"/>
        </w:trPr>
        <w:tc>
          <w:tcPr>
            <w:tcW w:w="2940" w:type="dxa"/>
            <w:tcBorders>
              <w:top w:val="nil"/>
              <w:left w:val="nil"/>
              <w:bottom w:val="nil"/>
              <w:right w:val="nil"/>
            </w:tcBorders>
            <w:noWrap/>
            <w:vAlign w:val="bottom"/>
            <w:hideMark/>
          </w:tcPr>
          <w:p w14:paraId="162E4656" w14:textId="77777777" w:rsidR="00AD3E3C" w:rsidRPr="00AD3E3C" w:rsidRDefault="00AD3E3C" w:rsidP="00AD3E3C">
            <w:pPr>
              <w:rPr>
                <w:rFonts w:ascii="Calibri" w:hAnsi="Calibri" w:cs="Arial"/>
                <w:color w:val="000000"/>
                <w:szCs w:val="22"/>
              </w:rPr>
            </w:pPr>
          </w:p>
        </w:tc>
        <w:tc>
          <w:tcPr>
            <w:tcW w:w="1200" w:type="dxa"/>
            <w:tcBorders>
              <w:top w:val="nil"/>
              <w:left w:val="nil"/>
              <w:bottom w:val="nil"/>
              <w:right w:val="nil"/>
            </w:tcBorders>
            <w:noWrap/>
            <w:vAlign w:val="bottom"/>
            <w:hideMark/>
          </w:tcPr>
          <w:p w14:paraId="084D028C" w14:textId="77777777" w:rsidR="00AD3E3C" w:rsidRPr="00AD3E3C" w:rsidRDefault="00AD3E3C" w:rsidP="00AD3E3C">
            <w:pPr>
              <w:rPr>
                <w:rFonts w:ascii="Calibri" w:hAnsi="Calibri" w:cs="Arial"/>
                <w:color w:val="000000"/>
                <w:szCs w:val="22"/>
              </w:rPr>
            </w:pPr>
          </w:p>
        </w:tc>
        <w:tc>
          <w:tcPr>
            <w:tcW w:w="1200" w:type="dxa"/>
            <w:tcBorders>
              <w:top w:val="nil"/>
              <w:left w:val="nil"/>
              <w:bottom w:val="nil"/>
              <w:right w:val="nil"/>
            </w:tcBorders>
            <w:noWrap/>
            <w:vAlign w:val="bottom"/>
            <w:hideMark/>
          </w:tcPr>
          <w:p w14:paraId="0D677C45" w14:textId="77777777" w:rsidR="00AD3E3C" w:rsidRPr="00AD3E3C" w:rsidRDefault="00AD3E3C" w:rsidP="00AD3E3C">
            <w:pPr>
              <w:rPr>
                <w:rFonts w:ascii="Calibri" w:hAnsi="Calibri" w:cs="Arial"/>
                <w:color w:val="000000"/>
                <w:szCs w:val="22"/>
              </w:rPr>
            </w:pPr>
          </w:p>
        </w:tc>
        <w:tc>
          <w:tcPr>
            <w:tcW w:w="1200" w:type="dxa"/>
            <w:tcBorders>
              <w:top w:val="nil"/>
              <w:left w:val="nil"/>
              <w:bottom w:val="nil"/>
              <w:right w:val="nil"/>
            </w:tcBorders>
            <w:noWrap/>
            <w:vAlign w:val="bottom"/>
            <w:hideMark/>
          </w:tcPr>
          <w:p w14:paraId="56171A83" w14:textId="77777777" w:rsidR="00AD3E3C" w:rsidRPr="00AD3E3C" w:rsidRDefault="00AD3E3C" w:rsidP="00AD3E3C">
            <w:pPr>
              <w:rPr>
                <w:rFonts w:ascii="Calibri" w:hAnsi="Calibri" w:cs="Arial"/>
                <w:color w:val="000000"/>
                <w:szCs w:val="22"/>
              </w:rPr>
            </w:pPr>
          </w:p>
        </w:tc>
        <w:tc>
          <w:tcPr>
            <w:tcW w:w="1200" w:type="dxa"/>
            <w:tcBorders>
              <w:top w:val="nil"/>
              <w:left w:val="nil"/>
              <w:bottom w:val="nil"/>
              <w:right w:val="nil"/>
            </w:tcBorders>
            <w:noWrap/>
            <w:vAlign w:val="bottom"/>
            <w:hideMark/>
          </w:tcPr>
          <w:p w14:paraId="4F60FD50" w14:textId="77777777" w:rsidR="00AD3E3C" w:rsidRPr="00AD3E3C" w:rsidRDefault="00AD3E3C" w:rsidP="00AD3E3C">
            <w:pPr>
              <w:rPr>
                <w:rFonts w:ascii="Calibri" w:hAnsi="Calibri" w:cs="Arial"/>
                <w:color w:val="000000"/>
                <w:szCs w:val="22"/>
              </w:rPr>
            </w:pPr>
          </w:p>
        </w:tc>
      </w:tr>
      <w:tr w:rsidR="00AD3E3C" w:rsidRPr="00AD3E3C" w14:paraId="4423CD21" w14:textId="77777777" w:rsidTr="00AD3E3C">
        <w:trPr>
          <w:trHeight w:val="315"/>
        </w:trPr>
        <w:tc>
          <w:tcPr>
            <w:tcW w:w="2940" w:type="dxa"/>
            <w:tcBorders>
              <w:top w:val="nil"/>
              <w:left w:val="nil"/>
              <w:bottom w:val="nil"/>
              <w:right w:val="nil"/>
            </w:tcBorders>
            <w:noWrap/>
            <w:vAlign w:val="bottom"/>
            <w:hideMark/>
          </w:tcPr>
          <w:p w14:paraId="559ADF10" w14:textId="77777777" w:rsidR="00AD3E3C" w:rsidRPr="00AD3E3C" w:rsidRDefault="00AD3E3C" w:rsidP="00AD3E3C">
            <w:pPr>
              <w:rPr>
                <w:rFonts w:ascii="Times New Roman" w:hAnsi="Times New Roman"/>
                <w:sz w:val="20"/>
              </w:rPr>
            </w:pPr>
          </w:p>
        </w:tc>
        <w:tc>
          <w:tcPr>
            <w:tcW w:w="1200" w:type="dxa"/>
            <w:tcBorders>
              <w:top w:val="nil"/>
              <w:left w:val="nil"/>
              <w:bottom w:val="nil"/>
              <w:right w:val="nil"/>
            </w:tcBorders>
            <w:noWrap/>
            <w:vAlign w:val="bottom"/>
            <w:hideMark/>
          </w:tcPr>
          <w:p w14:paraId="316C39BC"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LA Bonds</w:t>
            </w:r>
          </w:p>
        </w:tc>
        <w:tc>
          <w:tcPr>
            <w:tcW w:w="1200" w:type="dxa"/>
            <w:tcBorders>
              <w:top w:val="nil"/>
              <w:left w:val="nil"/>
              <w:bottom w:val="nil"/>
              <w:right w:val="nil"/>
            </w:tcBorders>
            <w:noWrap/>
            <w:vAlign w:val="bottom"/>
            <w:hideMark/>
          </w:tcPr>
          <w:p w14:paraId="1FEFC1BB"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Gilts</w:t>
            </w:r>
          </w:p>
        </w:tc>
        <w:tc>
          <w:tcPr>
            <w:tcW w:w="1200" w:type="dxa"/>
            <w:tcBorders>
              <w:top w:val="nil"/>
              <w:left w:val="nil"/>
              <w:bottom w:val="nil"/>
              <w:right w:val="nil"/>
            </w:tcBorders>
            <w:noWrap/>
            <w:vAlign w:val="bottom"/>
            <w:hideMark/>
          </w:tcPr>
          <w:p w14:paraId="4BE7F401"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Others</w:t>
            </w:r>
          </w:p>
        </w:tc>
        <w:tc>
          <w:tcPr>
            <w:tcW w:w="1200" w:type="dxa"/>
            <w:tcBorders>
              <w:top w:val="nil"/>
              <w:left w:val="nil"/>
              <w:bottom w:val="nil"/>
              <w:right w:val="nil"/>
            </w:tcBorders>
            <w:noWrap/>
            <w:vAlign w:val="bottom"/>
            <w:hideMark/>
          </w:tcPr>
          <w:p w14:paraId="1C88B8BC"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 xml:space="preserve"> Total </w:t>
            </w:r>
          </w:p>
        </w:tc>
      </w:tr>
      <w:tr w:rsidR="00AD3E3C" w:rsidRPr="00AD3E3C" w14:paraId="0EE21071" w14:textId="77777777" w:rsidTr="00AD3E3C">
        <w:trPr>
          <w:trHeight w:val="315"/>
        </w:trPr>
        <w:tc>
          <w:tcPr>
            <w:tcW w:w="2940" w:type="dxa"/>
            <w:tcBorders>
              <w:top w:val="nil"/>
              <w:left w:val="nil"/>
              <w:bottom w:val="nil"/>
              <w:right w:val="nil"/>
            </w:tcBorders>
            <w:noWrap/>
            <w:vAlign w:val="bottom"/>
            <w:hideMark/>
          </w:tcPr>
          <w:p w14:paraId="2C8133BF" w14:textId="77777777" w:rsidR="00AD3E3C" w:rsidRPr="00AD3E3C" w:rsidRDefault="00AD3E3C" w:rsidP="00AD3E3C">
            <w:pPr>
              <w:jc w:val="center"/>
              <w:rPr>
                <w:rFonts w:ascii="Calibri" w:hAnsi="Calibri" w:cs="Arial"/>
                <w:b/>
                <w:bCs/>
                <w:color w:val="000000"/>
                <w:sz w:val="20"/>
              </w:rPr>
            </w:pPr>
          </w:p>
        </w:tc>
        <w:tc>
          <w:tcPr>
            <w:tcW w:w="1200" w:type="dxa"/>
            <w:tcBorders>
              <w:top w:val="nil"/>
              <w:left w:val="nil"/>
              <w:bottom w:val="nil"/>
              <w:right w:val="nil"/>
            </w:tcBorders>
            <w:noWrap/>
            <w:vAlign w:val="bottom"/>
            <w:hideMark/>
          </w:tcPr>
          <w:p w14:paraId="73AAE82C"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c>
          <w:tcPr>
            <w:tcW w:w="1200" w:type="dxa"/>
            <w:tcBorders>
              <w:top w:val="nil"/>
              <w:left w:val="nil"/>
              <w:bottom w:val="nil"/>
              <w:right w:val="nil"/>
            </w:tcBorders>
            <w:noWrap/>
            <w:vAlign w:val="bottom"/>
            <w:hideMark/>
          </w:tcPr>
          <w:p w14:paraId="7E99CC41"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c>
          <w:tcPr>
            <w:tcW w:w="1200" w:type="dxa"/>
            <w:tcBorders>
              <w:top w:val="nil"/>
              <w:left w:val="nil"/>
              <w:bottom w:val="nil"/>
              <w:right w:val="nil"/>
            </w:tcBorders>
            <w:noWrap/>
            <w:vAlign w:val="bottom"/>
            <w:hideMark/>
          </w:tcPr>
          <w:p w14:paraId="6D3DC595"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c>
          <w:tcPr>
            <w:tcW w:w="1200" w:type="dxa"/>
            <w:tcBorders>
              <w:top w:val="nil"/>
              <w:left w:val="nil"/>
              <w:bottom w:val="nil"/>
              <w:right w:val="nil"/>
            </w:tcBorders>
            <w:noWrap/>
            <w:vAlign w:val="bottom"/>
            <w:hideMark/>
          </w:tcPr>
          <w:p w14:paraId="75D1DB96"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r>
      <w:tr w:rsidR="00AD3E3C" w:rsidRPr="00AD3E3C" w14:paraId="36F26B70" w14:textId="77777777" w:rsidTr="00AD3E3C">
        <w:trPr>
          <w:trHeight w:val="300"/>
        </w:trPr>
        <w:tc>
          <w:tcPr>
            <w:tcW w:w="2940" w:type="dxa"/>
            <w:tcBorders>
              <w:top w:val="nil"/>
              <w:left w:val="nil"/>
              <w:bottom w:val="nil"/>
              <w:right w:val="nil"/>
            </w:tcBorders>
            <w:noWrap/>
            <w:vAlign w:val="bottom"/>
            <w:hideMark/>
          </w:tcPr>
          <w:p w14:paraId="119D77C6" w14:textId="77777777" w:rsidR="00AD3E3C" w:rsidRPr="00AD3E3C" w:rsidRDefault="00AD3E3C" w:rsidP="00AD3E3C">
            <w:pPr>
              <w:rPr>
                <w:rFonts w:ascii="Calibri" w:hAnsi="Calibri" w:cs="Arial"/>
                <w:b/>
                <w:bCs/>
                <w:color w:val="000000"/>
                <w:sz w:val="20"/>
              </w:rPr>
            </w:pPr>
            <w:r w:rsidRPr="00AD3E3C">
              <w:rPr>
                <w:rFonts w:ascii="Calibri" w:hAnsi="Calibri" w:cs="Arial"/>
                <w:b/>
                <w:bCs/>
                <w:color w:val="000000"/>
                <w:sz w:val="20"/>
              </w:rPr>
              <w:t>Balance 1 April 2014</w:t>
            </w:r>
          </w:p>
        </w:tc>
        <w:tc>
          <w:tcPr>
            <w:tcW w:w="1200" w:type="dxa"/>
            <w:tcBorders>
              <w:top w:val="nil"/>
              <w:left w:val="nil"/>
              <w:bottom w:val="nil"/>
              <w:right w:val="nil"/>
            </w:tcBorders>
            <w:noWrap/>
            <w:vAlign w:val="bottom"/>
            <w:hideMark/>
          </w:tcPr>
          <w:p w14:paraId="6108ADA9"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20.31</w:t>
            </w:r>
          </w:p>
        </w:tc>
        <w:tc>
          <w:tcPr>
            <w:tcW w:w="1200" w:type="dxa"/>
            <w:tcBorders>
              <w:top w:val="nil"/>
              <w:left w:val="nil"/>
              <w:bottom w:val="nil"/>
              <w:right w:val="nil"/>
            </w:tcBorders>
            <w:noWrap/>
            <w:vAlign w:val="bottom"/>
            <w:hideMark/>
          </w:tcPr>
          <w:p w14:paraId="24FB1838"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227.59</w:t>
            </w:r>
          </w:p>
        </w:tc>
        <w:tc>
          <w:tcPr>
            <w:tcW w:w="1200" w:type="dxa"/>
            <w:tcBorders>
              <w:top w:val="nil"/>
              <w:left w:val="nil"/>
              <w:bottom w:val="nil"/>
              <w:right w:val="nil"/>
            </w:tcBorders>
            <w:noWrap/>
            <w:vAlign w:val="bottom"/>
            <w:hideMark/>
          </w:tcPr>
          <w:p w14:paraId="4FDCDE6E"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141.24</w:t>
            </w:r>
          </w:p>
        </w:tc>
        <w:tc>
          <w:tcPr>
            <w:tcW w:w="1200" w:type="dxa"/>
            <w:tcBorders>
              <w:top w:val="nil"/>
              <w:left w:val="nil"/>
              <w:bottom w:val="nil"/>
              <w:right w:val="nil"/>
            </w:tcBorders>
            <w:noWrap/>
            <w:vAlign w:val="bottom"/>
            <w:hideMark/>
          </w:tcPr>
          <w:p w14:paraId="674E03BE"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389.14</w:t>
            </w:r>
          </w:p>
        </w:tc>
      </w:tr>
      <w:tr w:rsidR="00AD3E3C" w:rsidRPr="00AD3E3C" w14:paraId="3407B226" w14:textId="77777777" w:rsidTr="00AD3E3C">
        <w:trPr>
          <w:trHeight w:val="300"/>
        </w:trPr>
        <w:tc>
          <w:tcPr>
            <w:tcW w:w="2940" w:type="dxa"/>
            <w:tcBorders>
              <w:top w:val="nil"/>
              <w:left w:val="nil"/>
              <w:bottom w:val="nil"/>
              <w:right w:val="nil"/>
            </w:tcBorders>
            <w:noWrap/>
            <w:vAlign w:val="bottom"/>
            <w:hideMark/>
          </w:tcPr>
          <w:p w14:paraId="0D10723F" w14:textId="77777777" w:rsidR="00AD3E3C" w:rsidRPr="00AD3E3C" w:rsidRDefault="00AD3E3C" w:rsidP="00AD3E3C">
            <w:pPr>
              <w:rPr>
                <w:rFonts w:ascii="Calibri" w:hAnsi="Calibri" w:cs="Arial"/>
                <w:color w:val="000000"/>
                <w:sz w:val="20"/>
              </w:rPr>
            </w:pPr>
            <w:r w:rsidRPr="00AD3E3C">
              <w:rPr>
                <w:rFonts w:ascii="Calibri" w:hAnsi="Calibri" w:cs="Arial"/>
                <w:color w:val="000000"/>
                <w:sz w:val="20"/>
              </w:rPr>
              <w:t>Maturities</w:t>
            </w:r>
          </w:p>
        </w:tc>
        <w:tc>
          <w:tcPr>
            <w:tcW w:w="1200" w:type="dxa"/>
            <w:tcBorders>
              <w:top w:val="nil"/>
              <w:left w:val="nil"/>
              <w:bottom w:val="nil"/>
              <w:right w:val="nil"/>
            </w:tcBorders>
            <w:noWrap/>
            <w:vAlign w:val="bottom"/>
            <w:hideMark/>
          </w:tcPr>
          <w:p w14:paraId="4AFB8419"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-0.22</w:t>
            </w:r>
          </w:p>
        </w:tc>
        <w:tc>
          <w:tcPr>
            <w:tcW w:w="1200" w:type="dxa"/>
            <w:tcBorders>
              <w:top w:val="nil"/>
              <w:left w:val="nil"/>
              <w:bottom w:val="nil"/>
              <w:right w:val="nil"/>
            </w:tcBorders>
            <w:noWrap/>
            <w:vAlign w:val="bottom"/>
            <w:hideMark/>
          </w:tcPr>
          <w:p w14:paraId="2E07892D"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-1,315.03</w:t>
            </w:r>
          </w:p>
        </w:tc>
        <w:tc>
          <w:tcPr>
            <w:tcW w:w="1200" w:type="dxa"/>
            <w:tcBorders>
              <w:top w:val="nil"/>
              <w:left w:val="nil"/>
              <w:bottom w:val="nil"/>
              <w:right w:val="nil"/>
            </w:tcBorders>
            <w:noWrap/>
            <w:vAlign w:val="bottom"/>
            <w:hideMark/>
          </w:tcPr>
          <w:p w14:paraId="722651DF"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-207.91</w:t>
            </w:r>
          </w:p>
        </w:tc>
        <w:tc>
          <w:tcPr>
            <w:tcW w:w="1200" w:type="dxa"/>
            <w:tcBorders>
              <w:top w:val="nil"/>
              <w:left w:val="nil"/>
              <w:bottom w:val="nil"/>
              <w:right w:val="nil"/>
            </w:tcBorders>
            <w:noWrap/>
            <w:vAlign w:val="bottom"/>
            <w:hideMark/>
          </w:tcPr>
          <w:p w14:paraId="431FBFA3"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-1,523.15</w:t>
            </w:r>
          </w:p>
        </w:tc>
      </w:tr>
      <w:tr w:rsidR="00AD3E3C" w:rsidRPr="00AD3E3C" w14:paraId="68C5144B" w14:textId="77777777" w:rsidTr="00AD3E3C">
        <w:trPr>
          <w:trHeight w:val="300"/>
        </w:trPr>
        <w:tc>
          <w:tcPr>
            <w:tcW w:w="2940" w:type="dxa"/>
            <w:tcBorders>
              <w:top w:val="nil"/>
              <w:left w:val="nil"/>
              <w:bottom w:val="nil"/>
              <w:right w:val="nil"/>
            </w:tcBorders>
            <w:noWrap/>
            <w:vAlign w:val="bottom"/>
            <w:hideMark/>
          </w:tcPr>
          <w:p w14:paraId="264A1ECB" w14:textId="77777777" w:rsidR="00AD3E3C" w:rsidRPr="00AD3E3C" w:rsidRDefault="00AD3E3C" w:rsidP="00AD3E3C">
            <w:pPr>
              <w:rPr>
                <w:rFonts w:ascii="Calibri" w:hAnsi="Calibri" w:cs="Arial"/>
                <w:color w:val="000000"/>
                <w:sz w:val="20"/>
              </w:rPr>
            </w:pPr>
            <w:r w:rsidRPr="00AD3E3C">
              <w:rPr>
                <w:rFonts w:ascii="Calibri" w:hAnsi="Calibri" w:cs="Arial"/>
                <w:color w:val="000000"/>
                <w:sz w:val="20"/>
              </w:rPr>
              <w:t>New Investments</w:t>
            </w:r>
          </w:p>
        </w:tc>
        <w:tc>
          <w:tcPr>
            <w:tcW w:w="1200" w:type="dxa"/>
            <w:tcBorders>
              <w:top w:val="nil"/>
              <w:left w:val="nil"/>
              <w:bottom w:val="nil"/>
              <w:right w:val="nil"/>
            </w:tcBorders>
            <w:noWrap/>
            <w:vAlign w:val="bottom"/>
            <w:hideMark/>
          </w:tcPr>
          <w:p w14:paraId="048C1410"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0.00</w:t>
            </w:r>
          </w:p>
        </w:tc>
        <w:tc>
          <w:tcPr>
            <w:tcW w:w="1200" w:type="dxa"/>
            <w:tcBorders>
              <w:top w:val="nil"/>
              <w:left w:val="nil"/>
              <w:bottom w:val="nil"/>
              <w:right w:val="nil"/>
            </w:tcBorders>
            <w:noWrap/>
            <w:vAlign w:val="bottom"/>
            <w:hideMark/>
          </w:tcPr>
          <w:p w14:paraId="0CEA53C7"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1,131.10</w:t>
            </w:r>
          </w:p>
        </w:tc>
        <w:tc>
          <w:tcPr>
            <w:tcW w:w="1200" w:type="dxa"/>
            <w:tcBorders>
              <w:top w:val="nil"/>
              <w:left w:val="nil"/>
              <w:bottom w:val="nil"/>
              <w:right w:val="nil"/>
            </w:tcBorders>
            <w:noWrap/>
            <w:vAlign w:val="bottom"/>
            <w:hideMark/>
          </w:tcPr>
          <w:p w14:paraId="149CA1FB"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256.81</w:t>
            </w:r>
          </w:p>
        </w:tc>
        <w:tc>
          <w:tcPr>
            <w:tcW w:w="1200" w:type="dxa"/>
            <w:tcBorders>
              <w:top w:val="nil"/>
              <w:left w:val="nil"/>
              <w:bottom w:val="nil"/>
              <w:right w:val="nil"/>
            </w:tcBorders>
            <w:noWrap/>
            <w:vAlign w:val="bottom"/>
            <w:hideMark/>
          </w:tcPr>
          <w:p w14:paraId="57FEE5DC"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1,387.91</w:t>
            </w:r>
          </w:p>
        </w:tc>
      </w:tr>
      <w:tr w:rsidR="00AD3E3C" w:rsidRPr="00AD3E3C" w14:paraId="50E1B1B5" w14:textId="77777777" w:rsidTr="00AD3E3C">
        <w:trPr>
          <w:trHeight w:val="315"/>
        </w:trPr>
        <w:tc>
          <w:tcPr>
            <w:tcW w:w="2940" w:type="dxa"/>
            <w:tcBorders>
              <w:top w:val="nil"/>
              <w:left w:val="nil"/>
              <w:bottom w:val="nil"/>
              <w:right w:val="nil"/>
            </w:tcBorders>
            <w:noWrap/>
            <w:vAlign w:val="bottom"/>
            <w:hideMark/>
          </w:tcPr>
          <w:p w14:paraId="6BA8663F" w14:textId="77777777" w:rsidR="00AD3E3C" w:rsidRPr="00AD3E3C" w:rsidRDefault="00AD3E3C" w:rsidP="00AD3E3C">
            <w:pPr>
              <w:jc w:val="center"/>
              <w:rPr>
                <w:rFonts w:ascii="Calibri" w:hAnsi="Calibri" w:cs="Arial"/>
                <w:color w:val="000000"/>
                <w:sz w:val="20"/>
              </w:rPr>
            </w:pPr>
          </w:p>
        </w:tc>
        <w:tc>
          <w:tcPr>
            <w:tcW w:w="1200" w:type="dxa"/>
            <w:tcBorders>
              <w:top w:val="nil"/>
              <w:left w:val="nil"/>
              <w:bottom w:val="nil"/>
              <w:right w:val="nil"/>
            </w:tcBorders>
            <w:noWrap/>
            <w:vAlign w:val="bottom"/>
            <w:hideMark/>
          </w:tcPr>
          <w:p w14:paraId="36677965" w14:textId="77777777" w:rsidR="00AD3E3C" w:rsidRPr="00AD3E3C" w:rsidRDefault="00AD3E3C" w:rsidP="00AD3E3C">
            <w:pPr>
              <w:rPr>
                <w:sz w:val="20"/>
              </w:rPr>
            </w:pPr>
          </w:p>
        </w:tc>
        <w:tc>
          <w:tcPr>
            <w:tcW w:w="1200" w:type="dxa"/>
            <w:tcBorders>
              <w:top w:val="nil"/>
              <w:left w:val="nil"/>
              <w:bottom w:val="nil"/>
              <w:right w:val="nil"/>
            </w:tcBorders>
            <w:noWrap/>
            <w:vAlign w:val="bottom"/>
            <w:hideMark/>
          </w:tcPr>
          <w:p w14:paraId="3AA8F0EF" w14:textId="77777777" w:rsidR="00AD3E3C" w:rsidRPr="00AD3E3C" w:rsidRDefault="00AD3E3C" w:rsidP="00AD3E3C">
            <w:pPr>
              <w:jc w:val="center"/>
              <w:rPr>
                <w:sz w:val="20"/>
              </w:rPr>
            </w:pPr>
          </w:p>
        </w:tc>
        <w:tc>
          <w:tcPr>
            <w:tcW w:w="1200" w:type="dxa"/>
            <w:tcBorders>
              <w:top w:val="nil"/>
              <w:left w:val="nil"/>
              <w:bottom w:val="nil"/>
              <w:right w:val="nil"/>
            </w:tcBorders>
            <w:noWrap/>
            <w:vAlign w:val="bottom"/>
            <w:hideMark/>
          </w:tcPr>
          <w:p w14:paraId="7E2FC11C" w14:textId="77777777" w:rsidR="00AD3E3C" w:rsidRPr="00AD3E3C" w:rsidRDefault="00AD3E3C" w:rsidP="00AD3E3C">
            <w:pPr>
              <w:jc w:val="center"/>
              <w:rPr>
                <w:sz w:val="20"/>
              </w:rPr>
            </w:pPr>
          </w:p>
        </w:tc>
        <w:tc>
          <w:tcPr>
            <w:tcW w:w="1200" w:type="dxa"/>
            <w:tcBorders>
              <w:top w:val="nil"/>
              <w:left w:val="nil"/>
              <w:bottom w:val="nil"/>
              <w:right w:val="nil"/>
            </w:tcBorders>
            <w:noWrap/>
            <w:vAlign w:val="bottom"/>
            <w:hideMark/>
          </w:tcPr>
          <w:p w14:paraId="09104989" w14:textId="77777777" w:rsidR="00AD3E3C" w:rsidRPr="00AD3E3C" w:rsidRDefault="00AD3E3C" w:rsidP="00AD3E3C">
            <w:pPr>
              <w:jc w:val="center"/>
              <w:rPr>
                <w:sz w:val="20"/>
              </w:rPr>
            </w:pPr>
          </w:p>
        </w:tc>
      </w:tr>
      <w:tr w:rsidR="00AD3E3C" w:rsidRPr="00AD3E3C" w14:paraId="505FB0A3" w14:textId="77777777" w:rsidTr="00AD3E3C">
        <w:trPr>
          <w:trHeight w:val="315"/>
        </w:trPr>
        <w:tc>
          <w:tcPr>
            <w:tcW w:w="2940" w:type="dxa"/>
            <w:tcBorders>
              <w:top w:val="nil"/>
              <w:left w:val="nil"/>
              <w:bottom w:val="nil"/>
              <w:right w:val="nil"/>
            </w:tcBorders>
            <w:noWrap/>
            <w:vAlign w:val="bottom"/>
            <w:hideMark/>
          </w:tcPr>
          <w:p w14:paraId="7D6B5BA5" w14:textId="77777777" w:rsidR="00AD3E3C" w:rsidRPr="00AD3E3C" w:rsidRDefault="00AD3E3C" w:rsidP="00AD3E3C">
            <w:pPr>
              <w:rPr>
                <w:rFonts w:ascii="Calibri" w:hAnsi="Calibri" w:cs="Arial"/>
                <w:b/>
                <w:bCs/>
                <w:color w:val="000000"/>
                <w:sz w:val="20"/>
              </w:rPr>
            </w:pPr>
            <w:r w:rsidRPr="00AD3E3C">
              <w:rPr>
                <w:rFonts w:ascii="Calibri" w:hAnsi="Calibri" w:cs="Arial"/>
                <w:b/>
                <w:bCs/>
                <w:color w:val="000000"/>
                <w:sz w:val="20"/>
              </w:rPr>
              <w:t>Balance 31 August 2014</w:t>
            </w:r>
          </w:p>
        </w:tc>
        <w:tc>
          <w:tcPr>
            <w:tcW w:w="1200" w:type="dxa"/>
            <w:tcBorders>
              <w:top w:val="single" w:sz="8" w:space="0" w:color="auto"/>
              <w:left w:val="nil"/>
              <w:bottom w:val="double" w:sz="6" w:space="0" w:color="auto"/>
              <w:right w:val="nil"/>
            </w:tcBorders>
            <w:noWrap/>
            <w:vAlign w:val="bottom"/>
            <w:hideMark/>
          </w:tcPr>
          <w:p w14:paraId="1AA7C28D"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20.09</w:t>
            </w:r>
          </w:p>
        </w:tc>
        <w:tc>
          <w:tcPr>
            <w:tcW w:w="1200" w:type="dxa"/>
            <w:tcBorders>
              <w:top w:val="single" w:sz="8" w:space="0" w:color="auto"/>
              <w:left w:val="nil"/>
              <w:bottom w:val="double" w:sz="6" w:space="0" w:color="auto"/>
              <w:right w:val="nil"/>
            </w:tcBorders>
            <w:noWrap/>
            <w:vAlign w:val="bottom"/>
            <w:hideMark/>
          </w:tcPr>
          <w:p w14:paraId="30DF6D92"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43.66</w:t>
            </w:r>
          </w:p>
        </w:tc>
        <w:tc>
          <w:tcPr>
            <w:tcW w:w="1200" w:type="dxa"/>
            <w:tcBorders>
              <w:top w:val="single" w:sz="8" w:space="0" w:color="auto"/>
              <w:left w:val="nil"/>
              <w:bottom w:val="double" w:sz="6" w:space="0" w:color="auto"/>
              <w:right w:val="nil"/>
            </w:tcBorders>
            <w:noWrap/>
            <w:vAlign w:val="bottom"/>
            <w:hideMark/>
          </w:tcPr>
          <w:p w14:paraId="067B456C"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190.15</w:t>
            </w:r>
          </w:p>
        </w:tc>
        <w:tc>
          <w:tcPr>
            <w:tcW w:w="1200" w:type="dxa"/>
            <w:tcBorders>
              <w:top w:val="single" w:sz="8" w:space="0" w:color="auto"/>
              <w:left w:val="nil"/>
              <w:bottom w:val="double" w:sz="6" w:space="0" w:color="auto"/>
              <w:right w:val="nil"/>
            </w:tcBorders>
            <w:noWrap/>
            <w:vAlign w:val="bottom"/>
            <w:hideMark/>
          </w:tcPr>
          <w:p w14:paraId="4222E95F"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253.90</w:t>
            </w:r>
          </w:p>
        </w:tc>
      </w:tr>
    </w:tbl>
    <w:p w14:paraId="02082FDD" w14:textId="77777777" w:rsidR="00AD3E3C" w:rsidRPr="00AD3E3C" w:rsidRDefault="00AD3E3C" w:rsidP="00AD3E3C">
      <w:pPr>
        <w:rPr>
          <w:szCs w:val="22"/>
        </w:rPr>
      </w:pPr>
    </w:p>
    <w:p w14:paraId="0F20F22D" w14:textId="77777777" w:rsidR="003413AB" w:rsidRPr="0005580E" w:rsidRDefault="003413AB" w:rsidP="00AD3E3C"/>
    <w:p w14:paraId="7DF7675C" w14:textId="77777777" w:rsidR="000C4EC8" w:rsidRDefault="00AD3E3C" w:rsidP="00AD3E3C">
      <w:pPr>
        <w:rPr>
          <w:rFonts w:cs="Arial"/>
          <w:color w:val="000000"/>
          <w:szCs w:val="24"/>
        </w:rPr>
      </w:pPr>
      <w:r w:rsidRPr="00AD3E3C">
        <w:rPr>
          <w:rFonts w:cs="Arial"/>
          <w:color w:val="000000"/>
          <w:szCs w:val="24"/>
        </w:rPr>
        <w:t>Overall the level of investments have decreased in the period by £113.57m</w:t>
      </w:r>
      <w:r w:rsidR="00E539DA">
        <w:rPr>
          <w:rFonts w:cs="Arial"/>
          <w:color w:val="000000"/>
          <w:szCs w:val="24"/>
        </w:rPr>
        <w:t>.  This is partly due to</w:t>
      </w:r>
      <w:r w:rsidR="000C4EC8">
        <w:rPr>
          <w:rFonts w:cs="Arial"/>
          <w:color w:val="000000"/>
          <w:szCs w:val="24"/>
        </w:rPr>
        <w:t xml:space="preserve"> sales of the liquidity asset to </w:t>
      </w:r>
      <w:r w:rsidR="00E539DA">
        <w:rPr>
          <w:rFonts w:cs="Arial"/>
          <w:color w:val="000000"/>
          <w:szCs w:val="24"/>
        </w:rPr>
        <w:t xml:space="preserve">refinance </w:t>
      </w:r>
      <w:r w:rsidR="00AC6359">
        <w:rPr>
          <w:rFonts w:cs="Arial"/>
          <w:color w:val="000000"/>
          <w:szCs w:val="24"/>
        </w:rPr>
        <w:t>the long term liabilities associated with the Waste PFI project</w:t>
      </w:r>
      <w:r w:rsidR="004F1BA8">
        <w:rPr>
          <w:rFonts w:cs="Arial"/>
          <w:color w:val="000000"/>
          <w:szCs w:val="24"/>
        </w:rPr>
        <w:t>.</w:t>
      </w:r>
      <w:r w:rsidR="000C4EC8">
        <w:rPr>
          <w:rFonts w:cs="Arial"/>
          <w:color w:val="000000"/>
          <w:szCs w:val="24"/>
        </w:rPr>
        <w:t xml:space="preserve">  These</w:t>
      </w:r>
      <w:r w:rsidRPr="00AD3E3C">
        <w:rPr>
          <w:rFonts w:cs="Arial"/>
          <w:color w:val="000000"/>
          <w:szCs w:val="24"/>
        </w:rPr>
        <w:t xml:space="preserve"> </w:t>
      </w:r>
      <w:r w:rsidR="000C4EC8" w:rsidRPr="00E51B32">
        <w:rPr>
          <w:rFonts w:cs="Arial"/>
          <w:color w:val="000000"/>
          <w:szCs w:val="24"/>
        </w:rPr>
        <w:t>L</w:t>
      </w:r>
      <w:r w:rsidR="000C4EC8" w:rsidRPr="00E51B32">
        <w:t>iqui</w:t>
      </w:r>
      <w:r w:rsidR="000C4EC8">
        <w:t xml:space="preserve">dity assets will be rebought over the following months to </w:t>
      </w:r>
      <w:r w:rsidR="000C4EC8" w:rsidRPr="00E51B32">
        <w:t>cash back the council's reserves.</w:t>
      </w:r>
    </w:p>
    <w:p w14:paraId="1745426A" w14:textId="77777777" w:rsidR="000C4EC8" w:rsidRDefault="000C4EC8" w:rsidP="00AD3E3C">
      <w:pPr>
        <w:rPr>
          <w:rFonts w:cs="Arial"/>
          <w:color w:val="000000"/>
          <w:szCs w:val="24"/>
        </w:rPr>
      </w:pPr>
    </w:p>
    <w:p w14:paraId="57119813" w14:textId="77777777" w:rsidR="003413AB" w:rsidRDefault="000C4EC8" w:rsidP="00AD3E3C">
      <w:r>
        <w:rPr>
          <w:rFonts w:cs="Arial"/>
          <w:color w:val="000000"/>
          <w:szCs w:val="24"/>
        </w:rPr>
        <w:t xml:space="preserve">Significant sales have also been made from the Council's core bond holdings as a rebalancing exercise by the Chief Investment officer in response to market movements. </w:t>
      </w:r>
    </w:p>
    <w:p w14:paraId="5903FA40" w14:textId="77777777" w:rsidR="00651796" w:rsidRDefault="00651796" w:rsidP="003413AB"/>
    <w:p w14:paraId="08A451EE" w14:textId="77777777" w:rsidR="004F1BA8" w:rsidRDefault="006E79AD" w:rsidP="004F1BA8">
      <w:pPr>
        <w:jc w:val="both"/>
      </w:pPr>
      <w:r w:rsidRPr="00651796">
        <w:lastRenderedPageBreak/>
        <w:t xml:space="preserve">The current rate of return on the investment portfolio measured by </w:t>
      </w:r>
      <w:proofErr w:type="spellStart"/>
      <w:r w:rsidRPr="00651796">
        <w:t>Arlingclose</w:t>
      </w:r>
      <w:proofErr w:type="spellEnd"/>
      <w:r w:rsidRPr="00651796">
        <w:t xml:space="preserve"> Ltd treasury consultants is </w:t>
      </w:r>
      <w:r w:rsidRPr="007D5CE4">
        <w:t>2.</w:t>
      </w:r>
      <w:r w:rsidR="007D5CE4" w:rsidRPr="007D5CE4">
        <w:t>044</w:t>
      </w:r>
      <w:r w:rsidRPr="007D5CE4">
        <w:t>%</w:t>
      </w:r>
      <w:r w:rsidRPr="00651796">
        <w:t xml:space="preserve"> which </w:t>
      </w:r>
      <w:r w:rsidR="004F1BA8" w:rsidRPr="00356745">
        <w:t xml:space="preserve">compares favourably with the benchmark 7 day </w:t>
      </w:r>
      <w:r w:rsidR="004F1BA8">
        <w:t xml:space="preserve">LIBID </w:t>
      </w:r>
      <w:r w:rsidR="004F1BA8" w:rsidRPr="00356745">
        <w:t xml:space="preserve">which </w:t>
      </w:r>
      <w:r w:rsidR="004F1BA8" w:rsidRPr="00E51B32">
        <w:t>averages 0.3</w:t>
      </w:r>
      <w:r w:rsidR="00334457" w:rsidRPr="00E51B32">
        <w:t>5</w:t>
      </w:r>
      <w:r w:rsidR="004F1BA8" w:rsidRPr="00E51B32">
        <w:t>% over</w:t>
      </w:r>
      <w:r w:rsidR="004F1BA8">
        <w:t xml:space="preserve"> the same period.</w:t>
      </w:r>
    </w:p>
    <w:p w14:paraId="22E7C16C" w14:textId="77777777" w:rsidR="003413AB" w:rsidRPr="00651796" w:rsidRDefault="003413AB" w:rsidP="003413AB">
      <w:pPr>
        <w:ind w:hanging="11"/>
      </w:pPr>
    </w:p>
    <w:p w14:paraId="2FF41B49" w14:textId="028833B0" w:rsidR="003413AB" w:rsidRDefault="007D2084" w:rsidP="003413AB">
      <w:pPr>
        <w:ind w:hanging="11"/>
        <w:rPr>
          <w:b/>
        </w:rPr>
      </w:pPr>
      <w:r>
        <w:rPr>
          <w:b/>
        </w:rPr>
        <w:t>4</w:t>
      </w:r>
      <w:r w:rsidR="00AE729C">
        <w:rPr>
          <w:b/>
        </w:rPr>
        <w:t>.2</w:t>
      </w:r>
      <w:r w:rsidR="00AE729C">
        <w:rPr>
          <w:b/>
        </w:rPr>
        <w:tab/>
      </w:r>
      <w:r w:rsidR="003413AB">
        <w:rPr>
          <w:b/>
        </w:rPr>
        <w:t>Borrowing Activity</w:t>
      </w:r>
    </w:p>
    <w:p w14:paraId="42C78B32" w14:textId="77777777" w:rsidR="003413AB" w:rsidRDefault="003413AB" w:rsidP="003413AB">
      <w:pPr>
        <w:ind w:hanging="11"/>
        <w:rPr>
          <w:b/>
        </w:rPr>
      </w:pPr>
    </w:p>
    <w:p w14:paraId="7C33E888" w14:textId="77777777" w:rsidR="00651796" w:rsidRDefault="003413AB" w:rsidP="00AD3E3C">
      <w:pPr>
        <w:ind w:hanging="11"/>
      </w:pPr>
      <w:r w:rsidRPr="00722DBE">
        <w:t>Current market conditions continue to enable the County Council to take advantage of short term market borrowing</w:t>
      </w:r>
      <w:r>
        <w:t xml:space="preserve">. The table below shows the borrowing activity which has taken place between </w:t>
      </w:r>
      <w:r w:rsidR="00AD3E3C">
        <w:t>1</w:t>
      </w:r>
      <w:r w:rsidR="00AD3E3C" w:rsidRPr="009B0BEE">
        <w:rPr>
          <w:vertAlign w:val="superscript"/>
        </w:rPr>
        <w:t>st</w:t>
      </w:r>
      <w:r w:rsidR="00AD3E3C">
        <w:t xml:space="preserve"> April and 31 August 2014</w:t>
      </w:r>
    </w:p>
    <w:p w14:paraId="6E6CB4C5" w14:textId="77777777" w:rsidR="00AD3E3C" w:rsidRDefault="00AD3E3C" w:rsidP="00AD3E3C">
      <w:pPr>
        <w:ind w:hanging="11"/>
      </w:pPr>
    </w:p>
    <w:p w14:paraId="5B5FE413" w14:textId="77777777" w:rsidR="00920396" w:rsidRDefault="00920396" w:rsidP="00AD3E3C">
      <w:pPr>
        <w:ind w:hanging="11"/>
      </w:pPr>
    </w:p>
    <w:p w14:paraId="08BD8625" w14:textId="77777777" w:rsidR="00920396" w:rsidRPr="00AD3E3C" w:rsidRDefault="00920396" w:rsidP="00AD3E3C">
      <w:pPr>
        <w:ind w:hanging="11"/>
      </w:pPr>
    </w:p>
    <w:p w14:paraId="69CFF9BA" w14:textId="77777777" w:rsidR="00AD3E3C" w:rsidRPr="00AD3E3C" w:rsidRDefault="00AD3E3C" w:rsidP="00AD3E3C">
      <w:pPr>
        <w:rPr>
          <w:b/>
        </w:rPr>
      </w:pPr>
    </w:p>
    <w:tbl>
      <w:tblPr>
        <w:tblW w:w="8530" w:type="dxa"/>
        <w:tblInd w:w="91" w:type="dxa"/>
        <w:tblLook w:val="04A0" w:firstRow="1" w:lastRow="0" w:firstColumn="1" w:lastColumn="0" w:noHBand="0" w:noVBand="1"/>
      </w:tblPr>
      <w:tblGrid>
        <w:gridCol w:w="1894"/>
        <w:gridCol w:w="906"/>
        <w:gridCol w:w="1200"/>
        <w:gridCol w:w="1200"/>
        <w:gridCol w:w="1200"/>
        <w:gridCol w:w="1200"/>
        <w:gridCol w:w="930"/>
      </w:tblGrid>
      <w:tr w:rsidR="00AD3E3C" w:rsidRPr="00AD3E3C" w14:paraId="09166305" w14:textId="77777777" w:rsidTr="00AD3E3C">
        <w:trPr>
          <w:trHeight w:val="1020"/>
        </w:trPr>
        <w:tc>
          <w:tcPr>
            <w:tcW w:w="1894" w:type="dxa"/>
            <w:tcBorders>
              <w:top w:val="nil"/>
              <w:left w:val="nil"/>
              <w:bottom w:val="nil"/>
              <w:right w:val="nil"/>
            </w:tcBorders>
            <w:vAlign w:val="bottom"/>
            <w:hideMark/>
          </w:tcPr>
          <w:p w14:paraId="6AAC4EED" w14:textId="77777777" w:rsidR="00AD3E3C" w:rsidRPr="00AD3E3C" w:rsidRDefault="00AD3E3C" w:rsidP="00AD3E3C">
            <w:pPr>
              <w:rPr>
                <w:rFonts w:cs="Arial"/>
                <w:color w:val="000000"/>
                <w:szCs w:val="24"/>
              </w:rPr>
            </w:pPr>
          </w:p>
        </w:tc>
        <w:tc>
          <w:tcPr>
            <w:tcW w:w="906" w:type="dxa"/>
            <w:tcBorders>
              <w:top w:val="nil"/>
              <w:left w:val="nil"/>
              <w:bottom w:val="nil"/>
              <w:right w:val="nil"/>
            </w:tcBorders>
            <w:vAlign w:val="bottom"/>
            <w:hideMark/>
          </w:tcPr>
          <w:p w14:paraId="6F5CCBB0"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PWLB Fixed</w:t>
            </w:r>
          </w:p>
        </w:tc>
        <w:tc>
          <w:tcPr>
            <w:tcW w:w="1200" w:type="dxa"/>
            <w:tcBorders>
              <w:top w:val="nil"/>
              <w:left w:val="nil"/>
              <w:bottom w:val="nil"/>
              <w:right w:val="nil"/>
            </w:tcBorders>
            <w:vAlign w:val="bottom"/>
            <w:hideMark/>
          </w:tcPr>
          <w:p w14:paraId="55FF06DD"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PWLB Var</w:t>
            </w:r>
            <w:r>
              <w:rPr>
                <w:rFonts w:ascii="Calibri" w:hAnsi="Calibri" w:cs="Arial"/>
                <w:b/>
                <w:bCs/>
                <w:color w:val="000000"/>
                <w:sz w:val="20"/>
              </w:rPr>
              <w:t>iable</w:t>
            </w:r>
          </w:p>
        </w:tc>
        <w:tc>
          <w:tcPr>
            <w:tcW w:w="1200" w:type="dxa"/>
            <w:tcBorders>
              <w:top w:val="nil"/>
              <w:left w:val="nil"/>
              <w:bottom w:val="nil"/>
              <w:right w:val="nil"/>
            </w:tcBorders>
            <w:vAlign w:val="bottom"/>
            <w:hideMark/>
          </w:tcPr>
          <w:p w14:paraId="33B723BA"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Long Term Market Loan</w:t>
            </w:r>
          </w:p>
        </w:tc>
        <w:tc>
          <w:tcPr>
            <w:tcW w:w="1200" w:type="dxa"/>
            <w:tcBorders>
              <w:top w:val="nil"/>
              <w:left w:val="nil"/>
              <w:bottom w:val="nil"/>
              <w:right w:val="nil"/>
            </w:tcBorders>
            <w:vAlign w:val="bottom"/>
            <w:hideMark/>
          </w:tcPr>
          <w:p w14:paraId="13E26F70"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Other Locals</w:t>
            </w:r>
          </w:p>
        </w:tc>
        <w:tc>
          <w:tcPr>
            <w:tcW w:w="1200" w:type="dxa"/>
            <w:tcBorders>
              <w:top w:val="nil"/>
              <w:left w:val="nil"/>
              <w:bottom w:val="nil"/>
              <w:right w:val="nil"/>
            </w:tcBorders>
            <w:vAlign w:val="bottom"/>
            <w:hideMark/>
          </w:tcPr>
          <w:p w14:paraId="70D9DF7F"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Police, Fire &amp; Lancashire District Councils</w:t>
            </w:r>
          </w:p>
        </w:tc>
        <w:tc>
          <w:tcPr>
            <w:tcW w:w="930" w:type="dxa"/>
            <w:tcBorders>
              <w:top w:val="nil"/>
              <w:left w:val="nil"/>
              <w:bottom w:val="nil"/>
              <w:right w:val="nil"/>
            </w:tcBorders>
            <w:vAlign w:val="bottom"/>
            <w:hideMark/>
          </w:tcPr>
          <w:p w14:paraId="715FF3BC"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 xml:space="preserve"> Total </w:t>
            </w:r>
          </w:p>
        </w:tc>
      </w:tr>
      <w:tr w:rsidR="00AD3E3C" w:rsidRPr="00AD3E3C" w14:paraId="1FF870B2" w14:textId="77777777" w:rsidTr="00AD3E3C">
        <w:trPr>
          <w:trHeight w:val="300"/>
        </w:trPr>
        <w:tc>
          <w:tcPr>
            <w:tcW w:w="1894" w:type="dxa"/>
            <w:tcBorders>
              <w:top w:val="nil"/>
              <w:left w:val="nil"/>
              <w:bottom w:val="nil"/>
              <w:right w:val="nil"/>
            </w:tcBorders>
            <w:noWrap/>
            <w:vAlign w:val="bottom"/>
            <w:hideMark/>
          </w:tcPr>
          <w:p w14:paraId="3AE163B3" w14:textId="77777777" w:rsidR="00AD3E3C" w:rsidRPr="00AD3E3C" w:rsidRDefault="00AD3E3C" w:rsidP="00AD3E3C">
            <w:pPr>
              <w:rPr>
                <w:rFonts w:cs="Arial"/>
                <w:color w:val="000000"/>
                <w:szCs w:val="24"/>
              </w:rPr>
            </w:pPr>
          </w:p>
        </w:tc>
        <w:tc>
          <w:tcPr>
            <w:tcW w:w="906" w:type="dxa"/>
            <w:tcBorders>
              <w:top w:val="nil"/>
              <w:left w:val="nil"/>
              <w:bottom w:val="nil"/>
              <w:right w:val="nil"/>
            </w:tcBorders>
            <w:noWrap/>
            <w:vAlign w:val="bottom"/>
            <w:hideMark/>
          </w:tcPr>
          <w:p w14:paraId="73BA9C4C"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c>
          <w:tcPr>
            <w:tcW w:w="1200" w:type="dxa"/>
            <w:tcBorders>
              <w:top w:val="nil"/>
              <w:left w:val="nil"/>
              <w:bottom w:val="nil"/>
              <w:right w:val="nil"/>
            </w:tcBorders>
            <w:noWrap/>
            <w:vAlign w:val="bottom"/>
            <w:hideMark/>
          </w:tcPr>
          <w:p w14:paraId="590AFA62"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c>
          <w:tcPr>
            <w:tcW w:w="1200" w:type="dxa"/>
            <w:tcBorders>
              <w:top w:val="nil"/>
              <w:left w:val="nil"/>
              <w:bottom w:val="nil"/>
              <w:right w:val="nil"/>
            </w:tcBorders>
            <w:noWrap/>
            <w:vAlign w:val="bottom"/>
            <w:hideMark/>
          </w:tcPr>
          <w:p w14:paraId="1534554D"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c>
          <w:tcPr>
            <w:tcW w:w="1200" w:type="dxa"/>
            <w:tcBorders>
              <w:top w:val="nil"/>
              <w:left w:val="nil"/>
              <w:bottom w:val="nil"/>
              <w:right w:val="nil"/>
            </w:tcBorders>
            <w:noWrap/>
            <w:vAlign w:val="bottom"/>
            <w:hideMark/>
          </w:tcPr>
          <w:p w14:paraId="13B91A55"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c>
          <w:tcPr>
            <w:tcW w:w="1200" w:type="dxa"/>
            <w:tcBorders>
              <w:top w:val="nil"/>
              <w:left w:val="nil"/>
              <w:bottom w:val="nil"/>
              <w:right w:val="nil"/>
            </w:tcBorders>
            <w:noWrap/>
            <w:vAlign w:val="bottom"/>
            <w:hideMark/>
          </w:tcPr>
          <w:p w14:paraId="3F33DA90"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c>
          <w:tcPr>
            <w:tcW w:w="930" w:type="dxa"/>
            <w:tcBorders>
              <w:top w:val="nil"/>
              <w:left w:val="nil"/>
              <w:bottom w:val="nil"/>
              <w:right w:val="nil"/>
            </w:tcBorders>
            <w:noWrap/>
            <w:vAlign w:val="bottom"/>
            <w:hideMark/>
          </w:tcPr>
          <w:p w14:paraId="43549C2E"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£m</w:t>
            </w:r>
          </w:p>
        </w:tc>
      </w:tr>
      <w:tr w:rsidR="00AD3E3C" w:rsidRPr="00AD3E3C" w14:paraId="0EF35A86" w14:textId="77777777" w:rsidTr="00AD3E3C">
        <w:trPr>
          <w:trHeight w:val="510"/>
        </w:trPr>
        <w:tc>
          <w:tcPr>
            <w:tcW w:w="1894" w:type="dxa"/>
            <w:tcBorders>
              <w:top w:val="nil"/>
              <w:left w:val="nil"/>
              <w:bottom w:val="nil"/>
              <w:right w:val="nil"/>
            </w:tcBorders>
            <w:vAlign w:val="bottom"/>
            <w:hideMark/>
          </w:tcPr>
          <w:p w14:paraId="19082A4B" w14:textId="77777777" w:rsidR="00AD3E3C" w:rsidRPr="00AD3E3C" w:rsidRDefault="00AD3E3C" w:rsidP="00AD3E3C">
            <w:pPr>
              <w:rPr>
                <w:rFonts w:ascii="Calibri" w:hAnsi="Calibri" w:cs="Arial"/>
                <w:b/>
                <w:bCs/>
                <w:color w:val="000000"/>
                <w:sz w:val="20"/>
              </w:rPr>
            </w:pPr>
            <w:r w:rsidRPr="00AD3E3C">
              <w:rPr>
                <w:rFonts w:ascii="Calibri" w:hAnsi="Calibri" w:cs="Arial"/>
                <w:b/>
                <w:bCs/>
                <w:color w:val="000000"/>
                <w:sz w:val="20"/>
              </w:rPr>
              <w:t>Balance 1st April 2014</w:t>
            </w:r>
          </w:p>
        </w:tc>
        <w:tc>
          <w:tcPr>
            <w:tcW w:w="906" w:type="dxa"/>
            <w:tcBorders>
              <w:top w:val="nil"/>
              <w:left w:val="nil"/>
              <w:bottom w:val="nil"/>
              <w:right w:val="nil"/>
            </w:tcBorders>
            <w:noWrap/>
            <w:vAlign w:val="bottom"/>
            <w:hideMark/>
          </w:tcPr>
          <w:p w14:paraId="694B399D"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213.10</w:t>
            </w:r>
          </w:p>
        </w:tc>
        <w:tc>
          <w:tcPr>
            <w:tcW w:w="1200" w:type="dxa"/>
            <w:tcBorders>
              <w:top w:val="nil"/>
              <w:left w:val="nil"/>
              <w:bottom w:val="nil"/>
              <w:right w:val="nil"/>
            </w:tcBorders>
            <w:noWrap/>
            <w:vAlign w:val="bottom"/>
            <w:hideMark/>
          </w:tcPr>
          <w:p w14:paraId="05EE28FC"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125.75</w:t>
            </w:r>
          </w:p>
        </w:tc>
        <w:tc>
          <w:tcPr>
            <w:tcW w:w="1200" w:type="dxa"/>
            <w:tcBorders>
              <w:top w:val="nil"/>
              <w:left w:val="nil"/>
              <w:bottom w:val="nil"/>
              <w:right w:val="nil"/>
            </w:tcBorders>
            <w:noWrap/>
            <w:vAlign w:val="bottom"/>
            <w:hideMark/>
          </w:tcPr>
          <w:p w14:paraId="1CA70312"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52.27</w:t>
            </w:r>
          </w:p>
        </w:tc>
        <w:tc>
          <w:tcPr>
            <w:tcW w:w="1200" w:type="dxa"/>
            <w:tcBorders>
              <w:top w:val="nil"/>
              <w:left w:val="nil"/>
              <w:bottom w:val="nil"/>
              <w:right w:val="nil"/>
            </w:tcBorders>
            <w:noWrap/>
            <w:vAlign w:val="bottom"/>
            <w:hideMark/>
          </w:tcPr>
          <w:p w14:paraId="4E2D93DE"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330.97</w:t>
            </w:r>
          </w:p>
        </w:tc>
        <w:tc>
          <w:tcPr>
            <w:tcW w:w="1200" w:type="dxa"/>
            <w:tcBorders>
              <w:top w:val="nil"/>
              <w:left w:val="nil"/>
              <w:bottom w:val="nil"/>
              <w:right w:val="nil"/>
            </w:tcBorders>
            <w:noWrap/>
            <w:vAlign w:val="bottom"/>
            <w:hideMark/>
          </w:tcPr>
          <w:p w14:paraId="458E8CAE"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92.77</w:t>
            </w:r>
          </w:p>
        </w:tc>
        <w:tc>
          <w:tcPr>
            <w:tcW w:w="930" w:type="dxa"/>
            <w:tcBorders>
              <w:top w:val="nil"/>
              <w:left w:val="nil"/>
              <w:bottom w:val="nil"/>
              <w:right w:val="nil"/>
            </w:tcBorders>
            <w:noWrap/>
            <w:vAlign w:val="bottom"/>
            <w:hideMark/>
          </w:tcPr>
          <w:p w14:paraId="08B7D1AC"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814.86</w:t>
            </w:r>
          </w:p>
        </w:tc>
      </w:tr>
      <w:tr w:rsidR="00AD3E3C" w:rsidRPr="00AD3E3C" w14:paraId="7D49F290" w14:textId="77777777" w:rsidTr="00AD3E3C">
        <w:trPr>
          <w:trHeight w:val="300"/>
        </w:trPr>
        <w:tc>
          <w:tcPr>
            <w:tcW w:w="1894" w:type="dxa"/>
            <w:tcBorders>
              <w:top w:val="nil"/>
              <w:left w:val="nil"/>
              <w:bottom w:val="nil"/>
              <w:right w:val="nil"/>
            </w:tcBorders>
            <w:noWrap/>
            <w:vAlign w:val="bottom"/>
            <w:hideMark/>
          </w:tcPr>
          <w:p w14:paraId="28E49282" w14:textId="77777777" w:rsidR="00AD3E3C" w:rsidRPr="00AD3E3C" w:rsidRDefault="00792CF2" w:rsidP="00AD3E3C">
            <w:pPr>
              <w:rPr>
                <w:rFonts w:ascii="Calibri" w:hAnsi="Calibri" w:cs="Arial"/>
                <w:color w:val="000000"/>
                <w:sz w:val="20"/>
              </w:rPr>
            </w:pPr>
            <w:r>
              <w:rPr>
                <w:rFonts w:ascii="Calibri" w:hAnsi="Calibri" w:cs="Arial"/>
                <w:color w:val="000000"/>
                <w:sz w:val="20"/>
              </w:rPr>
              <w:t>New Borrowing</w:t>
            </w:r>
          </w:p>
        </w:tc>
        <w:tc>
          <w:tcPr>
            <w:tcW w:w="906" w:type="dxa"/>
            <w:tcBorders>
              <w:top w:val="nil"/>
              <w:left w:val="nil"/>
              <w:bottom w:val="nil"/>
              <w:right w:val="nil"/>
            </w:tcBorders>
            <w:noWrap/>
            <w:vAlign w:val="bottom"/>
            <w:hideMark/>
          </w:tcPr>
          <w:p w14:paraId="63D5582C"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0.00</w:t>
            </w:r>
          </w:p>
        </w:tc>
        <w:tc>
          <w:tcPr>
            <w:tcW w:w="1200" w:type="dxa"/>
            <w:tcBorders>
              <w:top w:val="nil"/>
              <w:left w:val="nil"/>
              <w:bottom w:val="nil"/>
              <w:right w:val="nil"/>
            </w:tcBorders>
            <w:noWrap/>
            <w:vAlign w:val="bottom"/>
            <w:hideMark/>
          </w:tcPr>
          <w:p w14:paraId="0AA46CC0"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0.00</w:t>
            </w:r>
          </w:p>
        </w:tc>
        <w:tc>
          <w:tcPr>
            <w:tcW w:w="1200" w:type="dxa"/>
            <w:tcBorders>
              <w:top w:val="nil"/>
              <w:left w:val="nil"/>
              <w:bottom w:val="nil"/>
              <w:right w:val="nil"/>
            </w:tcBorders>
            <w:noWrap/>
            <w:vAlign w:val="bottom"/>
            <w:hideMark/>
          </w:tcPr>
          <w:p w14:paraId="60ECB047"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0.00</w:t>
            </w:r>
          </w:p>
        </w:tc>
        <w:tc>
          <w:tcPr>
            <w:tcW w:w="1200" w:type="dxa"/>
            <w:tcBorders>
              <w:top w:val="nil"/>
              <w:left w:val="nil"/>
              <w:bottom w:val="nil"/>
              <w:right w:val="nil"/>
            </w:tcBorders>
            <w:noWrap/>
            <w:vAlign w:val="bottom"/>
            <w:hideMark/>
          </w:tcPr>
          <w:p w14:paraId="73338C46"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269.30</w:t>
            </w:r>
          </w:p>
        </w:tc>
        <w:tc>
          <w:tcPr>
            <w:tcW w:w="1200" w:type="dxa"/>
            <w:tcBorders>
              <w:top w:val="nil"/>
              <w:left w:val="nil"/>
              <w:bottom w:val="nil"/>
              <w:right w:val="nil"/>
            </w:tcBorders>
            <w:noWrap/>
            <w:vAlign w:val="bottom"/>
            <w:hideMark/>
          </w:tcPr>
          <w:p w14:paraId="1B995CA2"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278.04</w:t>
            </w:r>
          </w:p>
        </w:tc>
        <w:tc>
          <w:tcPr>
            <w:tcW w:w="930" w:type="dxa"/>
            <w:tcBorders>
              <w:top w:val="nil"/>
              <w:left w:val="nil"/>
              <w:bottom w:val="nil"/>
              <w:right w:val="nil"/>
            </w:tcBorders>
            <w:noWrap/>
            <w:vAlign w:val="bottom"/>
            <w:hideMark/>
          </w:tcPr>
          <w:p w14:paraId="6583686C"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547.34</w:t>
            </w:r>
          </w:p>
        </w:tc>
      </w:tr>
      <w:tr w:rsidR="00AD3E3C" w:rsidRPr="00AD3E3C" w14:paraId="0716591B" w14:textId="77777777" w:rsidTr="00AD3E3C">
        <w:trPr>
          <w:trHeight w:val="300"/>
        </w:trPr>
        <w:tc>
          <w:tcPr>
            <w:tcW w:w="1894" w:type="dxa"/>
            <w:tcBorders>
              <w:top w:val="nil"/>
              <w:left w:val="nil"/>
              <w:bottom w:val="nil"/>
              <w:right w:val="nil"/>
            </w:tcBorders>
            <w:noWrap/>
            <w:vAlign w:val="bottom"/>
            <w:hideMark/>
          </w:tcPr>
          <w:p w14:paraId="18EB7DC5" w14:textId="77777777" w:rsidR="00AD3E3C" w:rsidRPr="00AD3E3C" w:rsidRDefault="00792CF2" w:rsidP="00AD3E3C">
            <w:pPr>
              <w:rPr>
                <w:rFonts w:ascii="Calibri" w:hAnsi="Calibri" w:cs="Arial"/>
                <w:color w:val="000000"/>
                <w:sz w:val="20"/>
              </w:rPr>
            </w:pPr>
            <w:r>
              <w:rPr>
                <w:rFonts w:ascii="Calibri" w:hAnsi="Calibri" w:cs="Arial"/>
                <w:color w:val="000000"/>
                <w:sz w:val="20"/>
              </w:rPr>
              <w:t>Maturities</w:t>
            </w:r>
          </w:p>
        </w:tc>
        <w:tc>
          <w:tcPr>
            <w:tcW w:w="906" w:type="dxa"/>
            <w:tcBorders>
              <w:top w:val="nil"/>
              <w:left w:val="nil"/>
              <w:bottom w:val="nil"/>
              <w:right w:val="nil"/>
            </w:tcBorders>
            <w:noWrap/>
            <w:vAlign w:val="bottom"/>
            <w:hideMark/>
          </w:tcPr>
          <w:p w14:paraId="1D44A0FF"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0.00</w:t>
            </w:r>
          </w:p>
        </w:tc>
        <w:tc>
          <w:tcPr>
            <w:tcW w:w="1200" w:type="dxa"/>
            <w:tcBorders>
              <w:top w:val="nil"/>
              <w:left w:val="nil"/>
              <w:bottom w:val="nil"/>
              <w:right w:val="nil"/>
            </w:tcBorders>
            <w:noWrap/>
            <w:vAlign w:val="bottom"/>
            <w:hideMark/>
          </w:tcPr>
          <w:p w14:paraId="6CE1137A"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0.00</w:t>
            </w:r>
          </w:p>
        </w:tc>
        <w:tc>
          <w:tcPr>
            <w:tcW w:w="1200" w:type="dxa"/>
            <w:tcBorders>
              <w:top w:val="nil"/>
              <w:left w:val="nil"/>
              <w:bottom w:val="nil"/>
              <w:right w:val="nil"/>
            </w:tcBorders>
            <w:noWrap/>
            <w:vAlign w:val="bottom"/>
            <w:hideMark/>
          </w:tcPr>
          <w:p w14:paraId="11B51C0B"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0.00</w:t>
            </w:r>
          </w:p>
        </w:tc>
        <w:tc>
          <w:tcPr>
            <w:tcW w:w="1200" w:type="dxa"/>
            <w:tcBorders>
              <w:top w:val="nil"/>
              <w:left w:val="nil"/>
              <w:bottom w:val="nil"/>
              <w:right w:val="nil"/>
            </w:tcBorders>
            <w:noWrap/>
            <w:vAlign w:val="bottom"/>
            <w:hideMark/>
          </w:tcPr>
          <w:p w14:paraId="6C019B0C"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-93.00</w:t>
            </w:r>
          </w:p>
        </w:tc>
        <w:tc>
          <w:tcPr>
            <w:tcW w:w="1200" w:type="dxa"/>
            <w:tcBorders>
              <w:top w:val="nil"/>
              <w:left w:val="nil"/>
              <w:bottom w:val="nil"/>
              <w:right w:val="nil"/>
            </w:tcBorders>
            <w:noWrap/>
            <w:vAlign w:val="bottom"/>
            <w:hideMark/>
          </w:tcPr>
          <w:p w14:paraId="14A61F63"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-266.15</w:t>
            </w:r>
          </w:p>
        </w:tc>
        <w:tc>
          <w:tcPr>
            <w:tcW w:w="930" w:type="dxa"/>
            <w:tcBorders>
              <w:top w:val="nil"/>
              <w:left w:val="nil"/>
              <w:bottom w:val="nil"/>
              <w:right w:val="nil"/>
            </w:tcBorders>
            <w:noWrap/>
            <w:vAlign w:val="bottom"/>
            <w:hideMark/>
          </w:tcPr>
          <w:p w14:paraId="440ECE8A" w14:textId="77777777" w:rsidR="00AD3E3C" w:rsidRPr="00AD3E3C" w:rsidRDefault="00AD3E3C" w:rsidP="00AD3E3C">
            <w:pPr>
              <w:jc w:val="center"/>
              <w:rPr>
                <w:rFonts w:ascii="Calibri" w:hAnsi="Calibri" w:cs="Arial"/>
                <w:color w:val="000000"/>
                <w:sz w:val="20"/>
              </w:rPr>
            </w:pPr>
            <w:r w:rsidRPr="00AD3E3C">
              <w:rPr>
                <w:rFonts w:ascii="Calibri" w:hAnsi="Calibri" w:cs="Arial"/>
                <w:color w:val="000000"/>
                <w:sz w:val="20"/>
              </w:rPr>
              <w:t>-359.15</w:t>
            </w:r>
          </w:p>
        </w:tc>
      </w:tr>
      <w:tr w:rsidR="00AD3E3C" w:rsidRPr="00AD3E3C" w14:paraId="65609D29" w14:textId="77777777" w:rsidTr="00AD3E3C">
        <w:trPr>
          <w:trHeight w:val="315"/>
        </w:trPr>
        <w:tc>
          <w:tcPr>
            <w:tcW w:w="1894" w:type="dxa"/>
            <w:tcBorders>
              <w:top w:val="nil"/>
              <w:left w:val="nil"/>
              <w:bottom w:val="nil"/>
              <w:right w:val="nil"/>
            </w:tcBorders>
            <w:noWrap/>
            <w:vAlign w:val="bottom"/>
            <w:hideMark/>
          </w:tcPr>
          <w:p w14:paraId="7F651388" w14:textId="77777777" w:rsidR="00AD3E3C" w:rsidRPr="00AD3E3C" w:rsidRDefault="00AD3E3C" w:rsidP="00AD3E3C">
            <w:pPr>
              <w:jc w:val="center"/>
              <w:rPr>
                <w:rFonts w:ascii="Calibri" w:hAnsi="Calibri" w:cs="Arial"/>
                <w:color w:val="000000"/>
                <w:sz w:val="20"/>
              </w:rPr>
            </w:pPr>
          </w:p>
        </w:tc>
        <w:tc>
          <w:tcPr>
            <w:tcW w:w="906" w:type="dxa"/>
            <w:tcBorders>
              <w:top w:val="nil"/>
              <w:left w:val="nil"/>
              <w:bottom w:val="nil"/>
              <w:right w:val="nil"/>
            </w:tcBorders>
            <w:noWrap/>
            <w:vAlign w:val="bottom"/>
            <w:hideMark/>
          </w:tcPr>
          <w:p w14:paraId="63AB477C" w14:textId="77777777" w:rsidR="00AD3E3C" w:rsidRPr="00AD3E3C" w:rsidRDefault="00AD3E3C" w:rsidP="00AD3E3C">
            <w:pPr>
              <w:rPr>
                <w:sz w:val="20"/>
              </w:rPr>
            </w:pPr>
          </w:p>
        </w:tc>
        <w:tc>
          <w:tcPr>
            <w:tcW w:w="1200" w:type="dxa"/>
            <w:tcBorders>
              <w:top w:val="nil"/>
              <w:left w:val="nil"/>
              <w:bottom w:val="nil"/>
              <w:right w:val="nil"/>
            </w:tcBorders>
            <w:noWrap/>
            <w:vAlign w:val="bottom"/>
            <w:hideMark/>
          </w:tcPr>
          <w:p w14:paraId="3CE23C49" w14:textId="77777777" w:rsidR="00AD3E3C" w:rsidRPr="00AD3E3C" w:rsidRDefault="00AD3E3C" w:rsidP="00AD3E3C">
            <w:pPr>
              <w:rPr>
                <w:sz w:val="20"/>
              </w:rPr>
            </w:pPr>
          </w:p>
        </w:tc>
        <w:tc>
          <w:tcPr>
            <w:tcW w:w="1200" w:type="dxa"/>
            <w:tcBorders>
              <w:top w:val="nil"/>
              <w:left w:val="nil"/>
              <w:bottom w:val="nil"/>
              <w:right w:val="nil"/>
            </w:tcBorders>
            <w:noWrap/>
            <w:vAlign w:val="bottom"/>
            <w:hideMark/>
          </w:tcPr>
          <w:p w14:paraId="4E2F86FF" w14:textId="77777777" w:rsidR="00AD3E3C" w:rsidRPr="00AD3E3C" w:rsidRDefault="00AD3E3C" w:rsidP="00AD3E3C">
            <w:pPr>
              <w:rPr>
                <w:sz w:val="20"/>
              </w:rPr>
            </w:pPr>
          </w:p>
        </w:tc>
        <w:tc>
          <w:tcPr>
            <w:tcW w:w="1200" w:type="dxa"/>
            <w:tcBorders>
              <w:top w:val="nil"/>
              <w:left w:val="nil"/>
              <w:bottom w:val="nil"/>
              <w:right w:val="nil"/>
            </w:tcBorders>
            <w:noWrap/>
            <w:vAlign w:val="bottom"/>
            <w:hideMark/>
          </w:tcPr>
          <w:p w14:paraId="105AD39C" w14:textId="77777777" w:rsidR="00AD3E3C" w:rsidRPr="00AD3E3C" w:rsidRDefault="00AD3E3C" w:rsidP="00AD3E3C">
            <w:pPr>
              <w:rPr>
                <w:sz w:val="20"/>
              </w:rPr>
            </w:pPr>
          </w:p>
        </w:tc>
        <w:tc>
          <w:tcPr>
            <w:tcW w:w="1200" w:type="dxa"/>
            <w:tcBorders>
              <w:top w:val="nil"/>
              <w:left w:val="nil"/>
              <w:bottom w:val="nil"/>
              <w:right w:val="nil"/>
            </w:tcBorders>
            <w:noWrap/>
            <w:vAlign w:val="bottom"/>
            <w:hideMark/>
          </w:tcPr>
          <w:p w14:paraId="0774BB87" w14:textId="77777777" w:rsidR="00AD3E3C" w:rsidRPr="00AD3E3C" w:rsidRDefault="00AD3E3C" w:rsidP="00AD3E3C">
            <w:pPr>
              <w:rPr>
                <w:sz w:val="20"/>
              </w:rPr>
            </w:pPr>
          </w:p>
        </w:tc>
        <w:tc>
          <w:tcPr>
            <w:tcW w:w="930" w:type="dxa"/>
            <w:tcBorders>
              <w:top w:val="nil"/>
              <w:left w:val="nil"/>
              <w:bottom w:val="nil"/>
              <w:right w:val="nil"/>
            </w:tcBorders>
            <w:noWrap/>
            <w:vAlign w:val="bottom"/>
            <w:hideMark/>
          </w:tcPr>
          <w:p w14:paraId="244AD1D5" w14:textId="77777777" w:rsidR="00AD3E3C" w:rsidRPr="00AD3E3C" w:rsidRDefault="00AD3E3C" w:rsidP="00AD3E3C">
            <w:pPr>
              <w:rPr>
                <w:sz w:val="20"/>
              </w:rPr>
            </w:pPr>
          </w:p>
        </w:tc>
      </w:tr>
      <w:tr w:rsidR="00AD3E3C" w:rsidRPr="00AD3E3C" w14:paraId="45B9DC74" w14:textId="77777777" w:rsidTr="00AD3E3C">
        <w:trPr>
          <w:trHeight w:val="309"/>
        </w:trPr>
        <w:tc>
          <w:tcPr>
            <w:tcW w:w="1894" w:type="dxa"/>
            <w:tcBorders>
              <w:top w:val="nil"/>
              <w:left w:val="nil"/>
              <w:bottom w:val="nil"/>
              <w:right w:val="nil"/>
            </w:tcBorders>
            <w:vAlign w:val="bottom"/>
            <w:hideMark/>
          </w:tcPr>
          <w:p w14:paraId="467A245B" w14:textId="77777777" w:rsidR="00AD3E3C" w:rsidRPr="00AD3E3C" w:rsidRDefault="00AD3E3C" w:rsidP="00AD3E3C">
            <w:pPr>
              <w:rPr>
                <w:rFonts w:ascii="Calibri" w:hAnsi="Calibri" w:cs="Arial"/>
                <w:b/>
                <w:bCs/>
                <w:color w:val="000000"/>
                <w:sz w:val="20"/>
              </w:rPr>
            </w:pPr>
            <w:r w:rsidRPr="00AD3E3C">
              <w:rPr>
                <w:rFonts w:ascii="Calibri" w:hAnsi="Calibri" w:cs="Arial"/>
                <w:b/>
                <w:bCs/>
                <w:color w:val="000000"/>
                <w:sz w:val="20"/>
              </w:rPr>
              <w:t>Balance 31 August 2014</w:t>
            </w:r>
          </w:p>
        </w:tc>
        <w:tc>
          <w:tcPr>
            <w:tcW w:w="906" w:type="dxa"/>
            <w:tcBorders>
              <w:top w:val="single" w:sz="8" w:space="0" w:color="auto"/>
              <w:left w:val="nil"/>
              <w:bottom w:val="double" w:sz="6" w:space="0" w:color="auto"/>
              <w:right w:val="nil"/>
            </w:tcBorders>
            <w:noWrap/>
            <w:vAlign w:val="bottom"/>
            <w:hideMark/>
          </w:tcPr>
          <w:p w14:paraId="56D19791"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213.10</w:t>
            </w:r>
          </w:p>
        </w:tc>
        <w:tc>
          <w:tcPr>
            <w:tcW w:w="1200" w:type="dxa"/>
            <w:tcBorders>
              <w:top w:val="single" w:sz="8" w:space="0" w:color="auto"/>
              <w:left w:val="nil"/>
              <w:bottom w:val="double" w:sz="6" w:space="0" w:color="auto"/>
              <w:right w:val="nil"/>
            </w:tcBorders>
            <w:noWrap/>
            <w:vAlign w:val="bottom"/>
            <w:hideMark/>
          </w:tcPr>
          <w:p w14:paraId="41B06DB7"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125.75</w:t>
            </w:r>
          </w:p>
        </w:tc>
        <w:tc>
          <w:tcPr>
            <w:tcW w:w="1200" w:type="dxa"/>
            <w:tcBorders>
              <w:top w:val="single" w:sz="8" w:space="0" w:color="auto"/>
              <w:left w:val="nil"/>
              <w:bottom w:val="double" w:sz="6" w:space="0" w:color="auto"/>
              <w:right w:val="nil"/>
            </w:tcBorders>
            <w:noWrap/>
            <w:vAlign w:val="bottom"/>
            <w:hideMark/>
          </w:tcPr>
          <w:p w14:paraId="286DEFBB"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52.27</w:t>
            </w:r>
          </w:p>
        </w:tc>
        <w:tc>
          <w:tcPr>
            <w:tcW w:w="1200" w:type="dxa"/>
            <w:tcBorders>
              <w:top w:val="single" w:sz="8" w:space="0" w:color="auto"/>
              <w:left w:val="nil"/>
              <w:bottom w:val="double" w:sz="6" w:space="0" w:color="auto"/>
              <w:right w:val="nil"/>
            </w:tcBorders>
            <w:noWrap/>
            <w:vAlign w:val="bottom"/>
            <w:hideMark/>
          </w:tcPr>
          <w:p w14:paraId="1C92A224"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507.27</w:t>
            </w:r>
          </w:p>
        </w:tc>
        <w:tc>
          <w:tcPr>
            <w:tcW w:w="1200" w:type="dxa"/>
            <w:tcBorders>
              <w:top w:val="single" w:sz="8" w:space="0" w:color="auto"/>
              <w:left w:val="nil"/>
              <w:bottom w:val="double" w:sz="6" w:space="0" w:color="auto"/>
              <w:right w:val="nil"/>
            </w:tcBorders>
            <w:noWrap/>
            <w:vAlign w:val="bottom"/>
            <w:hideMark/>
          </w:tcPr>
          <w:p w14:paraId="40630450"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104.66</w:t>
            </w:r>
          </w:p>
        </w:tc>
        <w:tc>
          <w:tcPr>
            <w:tcW w:w="930" w:type="dxa"/>
            <w:tcBorders>
              <w:top w:val="single" w:sz="8" w:space="0" w:color="auto"/>
              <w:left w:val="nil"/>
              <w:bottom w:val="double" w:sz="6" w:space="0" w:color="auto"/>
              <w:right w:val="nil"/>
            </w:tcBorders>
            <w:noWrap/>
            <w:vAlign w:val="bottom"/>
            <w:hideMark/>
          </w:tcPr>
          <w:p w14:paraId="31A9449C" w14:textId="77777777" w:rsidR="00AD3E3C" w:rsidRPr="00AD3E3C" w:rsidRDefault="00AD3E3C" w:rsidP="00AD3E3C">
            <w:pPr>
              <w:jc w:val="center"/>
              <w:rPr>
                <w:rFonts w:ascii="Calibri" w:hAnsi="Calibri" w:cs="Arial"/>
                <w:b/>
                <w:bCs/>
                <w:color w:val="000000"/>
                <w:sz w:val="20"/>
              </w:rPr>
            </w:pPr>
            <w:r w:rsidRPr="00AD3E3C">
              <w:rPr>
                <w:rFonts w:ascii="Calibri" w:hAnsi="Calibri" w:cs="Arial"/>
                <w:b/>
                <w:bCs/>
                <w:color w:val="000000"/>
                <w:sz w:val="20"/>
              </w:rPr>
              <w:t>1,003.05</w:t>
            </w:r>
          </w:p>
        </w:tc>
      </w:tr>
    </w:tbl>
    <w:p w14:paraId="064B286F" w14:textId="77777777" w:rsidR="00651796" w:rsidRDefault="00651796" w:rsidP="003413AB">
      <w:pPr>
        <w:ind w:hanging="11"/>
      </w:pPr>
    </w:p>
    <w:p w14:paraId="0C5AD915" w14:textId="77777777" w:rsidR="00AD3E3C" w:rsidRDefault="00AD3E3C" w:rsidP="003413AB">
      <w:pPr>
        <w:rPr>
          <w:rFonts w:cs="Arial"/>
          <w:color w:val="000000"/>
          <w:szCs w:val="24"/>
        </w:rPr>
      </w:pPr>
    </w:p>
    <w:p w14:paraId="1446BB4C" w14:textId="77777777" w:rsidR="00AD3E3C" w:rsidRDefault="00AD3E3C" w:rsidP="003413AB">
      <w:pPr>
        <w:rPr>
          <w:rFonts w:cs="Arial"/>
          <w:color w:val="000000"/>
          <w:szCs w:val="24"/>
        </w:rPr>
      </w:pPr>
    </w:p>
    <w:p w14:paraId="788BFCB7" w14:textId="3E6FB1F2" w:rsidR="003413AB" w:rsidRDefault="00792CF2" w:rsidP="003413AB">
      <w:pPr>
        <w:rPr>
          <w:rFonts w:cs="Arial"/>
          <w:color w:val="000000"/>
          <w:szCs w:val="24"/>
        </w:rPr>
      </w:pPr>
      <w:r>
        <w:rPr>
          <w:rFonts w:cs="Arial"/>
          <w:color w:val="000000"/>
          <w:szCs w:val="24"/>
        </w:rPr>
        <w:lastRenderedPageBreak/>
        <w:t>Treasury b</w:t>
      </w:r>
      <w:r w:rsidR="004F1BA8">
        <w:rPr>
          <w:rFonts w:cs="Arial"/>
          <w:color w:val="000000"/>
          <w:szCs w:val="24"/>
        </w:rPr>
        <w:t xml:space="preserve">orrowing has </w:t>
      </w:r>
      <w:r w:rsidR="00AD3E3C">
        <w:rPr>
          <w:rFonts w:cs="Arial"/>
          <w:color w:val="000000"/>
          <w:szCs w:val="24"/>
        </w:rPr>
        <w:t>increased</w:t>
      </w:r>
      <w:r w:rsidR="004F1BA8">
        <w:rPr>
          <w:rFonts w:cs="Arial"/>
          <w:color w:val="000000"/>
          <w:szCs w:val="24"/>
        </w:rPr>
        <w:t xml:space="preserve"> over the period</w:t>
      </w:r>
      <w:r w:rsidR="00AD3E3C">
        <w:rPr>
          <w:rFonts w:cs="Arial"/>
          <w:color w:val="000000"/>
          <w:szCs w:val="24"/>
        </w:rPr>
        <w:t>, due to the refinancing of the</w:t>
      </w:r>
      <w:r>
        <w:rPr>
          <w:rFonts w:cs="Arial"/>
          <w:color w:val="000000"/>
          <w:szCs w:val="24"/>
        </w:rPr>
        <w:t xml:space="preserve"> Waste PFI project. T</w:t>
      </w:r>
      <w:r w:rsidR="00A721AC">
        <w:rPr>
          <w:rFonts w:cs="Arial"/>
          <w:color w:val="000000"/>
          <w:szCs w:val="24"/>
        </w:rPr>
        <w:t>otal borrowing now stand</w:t>
      </w:r>
      <w:r>
        <w:rPr>
          <w:rFonts w:cs="Arial"/>
          <w:color w:val="000000"/>
          <w:szCs w:val="24"/>
        </w:rPr>
        <w:t>s</w:t>
      </w:r>
      <w:r w:rsidR="004F1BA8">
        <w:rPr>
          <w:rFonts w:cs="Arial"/>
          <w:color w:val="000000"/>
          <w:szCs w:val="24"/>
        </w:rPr>
        <w:t xml:space="preserve"> </w:t>
      </w:r>
      <w:r w:rsidR="00A721AC">
        <w:rPr>
          <w:rFonts w:cs="Arial"/>
          <w:color w:val="000000"/>
          <w:szCs w:val="24"/>
        </w:rPr>
        <w:t>at</w:t>
      </w:r>
      <w:r w:rsidR="004600C0">
        <w:rPr>
          <w:rFonts w:cs="Arial"/>
          <w:color w:val="000000"/>
          <w:szCs w:val="24"/>
        </w:rPr>
        <w:t xml:space="preserve"> £1.181</w:t>
      </w:r>
      <w:r w:rsidR="00AD3E3C">
        <w:rPr>
          <w:rFonts w:cs="Arial"/>
          <w:color w:val="000000"/>
          <w:szCs w:val="24"/>
        </w:rPr>
        <w:t>b</w:t>
      </w:r>
      <w:r w:rsidR="00E539DA">
        <w:rPr>
          <w:rFonts w:cs="Arial"/>
          <w:color w:val="000000"/>
          <w:szCs w:val="24"/>
        </w:rPr>
        <w:t>n.</w:t>
      </w:r>
    </w:p>
    <w:p w14:paraId="2D6AFBD5" w14:textId="77777777" w:rsidR="00D14083" w:rsidRDefault="00D14083" w:rsidP="003413AB">
      <w:pPr>
        <w:rPr>
          <w:rFonts w:cs="Arial"/>
          <w:color w:val="000000"/>
          <w:szCs w:val="24"/>
        </w:rPr>
      </w:pPr>
    </w:p>
    <w:p w14:paraId="7C4BDDE3" w14:textId="77777777" w:rsidR="003303E9" w:rsidRPr="001D74C2" w:rsidRDefault="003303E9" w:rsidP="003303E9">
      <w:r w:rsidRPr="001D74C2">
        <w:t xml:space="preserve">The graph below shows the level of debt for each day of the current financial year compared with the prudential indicator operational and authorised boundaries. </w:t>
      </w:r>
      <w:r w:rsidR="001D74C2" w:rsidRPr="001D74C2">
        <w:t xml:space="preserve">The prudential indicator boundaries include headroom to enable a bond issue should the optimum conditions arise. The graph shows there have been </w:t>
      </w:r>
      <w:r w:rsidRPr="001D74C2">
        <w:t xml:space="preserve">no breaches of the prudential indicator boundary </w:t>
      </w:r>
      <w:r w:rsidR="001D74C2" w:rsidRPr="001D74C2">
        <w:t>to date and the reducing balance of debt going forward should maturing debt not be replaced.</w:t>
      </w:r>
      <w:r w:rsidRPr="001D74C2">
        <w:t xml:space="preserve"> </w:t>
      </w:r>
    </w:p>
    <w:p w14:paraId="058C408F" w14:textId="77777777" w:rsidR="001D74C2" w:rsidRDefault="001D74C2" w:rsidP="003303E9">
      <w:pPr>
        <w:rPr>
          <w:highlight w:val="yellow"/>
        </w:rPr>
      </w:pPr>
    </w:p>
    <w:p w14:paraId="7095616C" w14:textId="77777777" w:rsidR="001D74C2" w:rsidRDefault="001D74C2" w:rsidP="003303E9">
      <w:pPr>
        <w:rPr>
          <w:highlight w:val="yellow"/>
        </w:rPr>
      </w:pPr>
    </w:p>
    <w:p w14:paraId="2DC76445" w14:textId="77777777" w:rsidR="001D74C2" w:rsidRDefault="001D74C2" w:rsidP="003303E9">
      <w:pPr>
        <w:rPr>
          <w:highlight w:val="yellow"/>
        </w:rPr>
      </w:pPr>
      <w:r>
        <w:rPr>
          <w:noProof/>
        </w:rPr>
        <w:drawing>
          <wp:inline distT="0" distB="0" distL="0" distR="0" wp14:anchorId="661CDB95" wp14:editId="7C20CDE6">
            <wp:extent cx="5732145" cy="3162935"/>
            <wp:effectExtent l="0" t="0" r="1905"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5E849B" w14:textId="77777777" w:rsidR="001D74C2" w:rsidRDefault="001D74C2" w:rsidP="003303E9">
      <w:pPr>
        <w:rPr>
          <w:highlight w:val="yellow"/>
        </w:rPr>
      </w:pPr>
    </w:p>
    <w:p w14:paraId="26120A79" w14:textId="77777777" w:rsidR="001D74C2" w:rsidRPr="00DC602A" w:rsidRDefault="001D74C2" w:rsidP="003303E9">
      <w:pPr>
        <w:rPr>
          <w:highlight w:val="yellow"/>
        </w:rPr>
      </w:pPr>
    </w:p>
    <w:p w14:paraId="1D288778" w14:textId="77777777" w:rsidR="003303E9" w:rsidRPr="00DC602A" w:rsidRDefault="003303E9" w:rsidP="003303E9">
      <w:pPr>
        <w:rPr>
          <w:highlight w:val="yellow"/>
        </w:rPr>
      </w:pPr>
    </w:p>
    <w:p w14:paraId="36E1D352" w14:textId="77777777" w:rsidR="003303E9" w:rsidRDefault="003303E9" w:rsidP="003303E9">
      <w:pPr>
        <w:pStyle w:val="ListParagraph"/>
        <w:ind w:left="0"/>
        <w:rPr>
          <w:szCs w:val="24"/>
        </w:rPr>
      </w:pPr>
    </w:p>
    <w:p w14:paraId="1074CAA2" w14:textId="77777777" w:rsidR="00C0388E" w:rsidRDefault="00C0388E" w:rsidP="00D369EF">
      <w:pPr>
        <w:rPr>
          <w:rFonts w:cs="Arial"/>
          <w:color w:val="000000"/>
          <w:szCs w:val="24"/>
        </w:rPr>
      </w:pPr>
    </w:p>
    <w:p w14:paraId="6B8E5428" w14:textId="77777777" w:rsidR="004F1BA8" w:rsidRPr="007206BE" w:rsidRDefault="007206BE" w:rsidP="006C1AAD">
      <w:pPr>
        <w:rPr>
          <w:rFonts w:cs="Arial"/>
          <w:b/>
          <w:color w:val="000000"/>
          <w:szCs w:val="24"/>
        </w:rPr>
      </w:pPr>
      <w:r>
        <w:rPr>
          <w:rFonts w:cs="Arial"/>
          <w:color w:val="000000"/>
          <w:szCs w:val="24"/>
        </w:rPr>
        <w:t>T</w:t>
      </w:r>
      <w:r w:rsidR="00651796" w:rsidRPr="007433DB">
        <w:rPr>
          <w:rFonts w:cs="Arial"/>
          <w:color w:val="000000"/>
          <w:szCs w:val="24"/>
        </w:rPr>
        <w:t xml:space="preserve">he current interest rate payable on debt measured by </w:t>
      </w:r>
      <w:proofErr w:type="spellStart"/>
      <w:r w:rsidR="00651796" w:rsidRPr="007433DB">
        <w:rPr>
          <w:rFonts w:cs="Arial"/>
          <w:color w:val="000000"/>
          <w:szCs w:val="24"/>
        </w:rPr>
        <w:t>Arlingclose</w:t>
      </w:r>
      <w:proofErr w:type="spellEnd"/>
      <w:r w:rsidR="00651796" w:rsidRPr="007433DB">
        <w:rPr>
          <w:rFonts w:cs="Arial"/>
          <w:color w:val="000000"/>
          <w:szCs w:val="24"/>
        </w:rPr>
        <w:t xml:space="preserve"> Ltd treasury consultants is </w:t>
      </w:r>
      <w:r w:rsidR="007D5CE4" w:rsidRPr="007433DB">
        <w:rPr>
          <w:rFonts w:cs="Arial"/>
          <w:color w:val="000000"/>
          <w:szCs w:val="24"/>
        </w:rPr>
        <w:t>1.679</w:t>
      </w:r>
      <w:r w:rsidR="006B2962" w:rsidRPr="007433DB">
        <w:rPr>
          <w:rFonts w:cs="Arial"/>
          <w:color w:val="000000"/>
          <w:szCs w:val="24"/>
        </w:rPr>
        <w:t>%</w:t>
      </w:r>
      <w:r w:rsidR="007433DB" w:rsidRPr="007433DB">
        <w:rPr>
          <w:rFonts w:cs="Arial"/>
          <w:color w:val="000000"/>
          <w:szCs w:val="24"/>
        </w:rPr>
        <w:t>. On 31</w:t>
      </w:r>
      <w:r w:rsidR="007433DB" w:rsidRPr="007433DB">
        <w:rPr>
          <w:rFonts w:cs="Arial"/>
          <w:color w:val="000000"/>
          <w:szCs w:val="24"/>
          <w:vertAlign w:val="superscript"/>
        </w:rPr>
        <w:t>st</w:t>
      </w:r>
      <w:r w:rsidR="007433DB" w:rsidRPr="007433DB">
        <w:rPr>
          <w:rFonts w:cs="Arial"/>
          <w:color w:val="000000"/>
          <w:szCs w:val="24"/>
        </w:rPr>
        <w:t xml:space="preserve"> March the rate for the year was 2.04%</w:t>
      </w:r>
      <w:r w:rsidR="006B2962" w:rsidRPr="007433DB">
        <w:rPr>
          <w:rFonts w:cs="Arial"/>
          <w:color w:val="000000"/>
          <w:szCs w:val="24"/>
        </w:rPr>
        <w:t>,</w:t>
      </w:r>
      <w:r w:rsidR="001128CC" w:rsidRPr="007433DB">
        <w:rPr>
          <w:rFonts w:cs="Arial"/>
          <w:color w:val="000000"/>
          <w:szCs w:val="24"/>
        </w:rPr>
        <w:t xml:space="preserve"> which compares favourably with the average rate for all </w:t>
      </w:r>
      <w:proofErr w:type="spellStart"/>
      <w:r w:rsidR="007433DB" w:rsidRPr="007433DB">
        <w:rPr>
          <w:rFonts w:cs="Arial"/>
          <w:color w:val="000000"/>
          <w:szCs w:val="24"/>
        </w:rPr>
        <w:t>Arlingclose</w:t>
      </w:r>
      <w:proofErr w:type="spellEnd"/>
      <w:r w:rsidR="007433DB" w:rsidRPr="007433DB">
        <w:rPr>
          <w:rFonts w:cs="Arial"/>
          <w:color w:val="000000"/>
          <w:szCs w:val="24"/>
        </w:rPr>
        <w:t xml:space="preserve"> clients </w:t>
      </w:r>
      <w:r w:rsidR="001128CC" w:rsidRPr="007433DB">
        <w:rPr>
          <w:rFonts w:cs="Arial"/>
          <w:color w:val="000000"/>
          <w:szCs w:val="24"/>
        </w:rPr>
        <w:t xml:space="preserve">of </w:t>
      </w:r>
      <w:r w:rsidR="007433DB" w:rsidRPr="007433DB">
        <w:rPr>
          <w:rFonts w:cs="Arial"/>
          <w:color w:val="000000"/>
          <w:szCs w:val="24"/>
        </w:rPr>
        <w:t>4.14</w:t>
      </w:r>
      <w:r w:rsidR="001128CC" w:rsidRPr="007433DB">
        <w:rPr>
          <w:rFonts w:cs="Arial"/>
          <w:color w:val="000000"/>
          <w:szCs w:val="24"/>
        </w:rPr>
        <w:t>%.</w:t>
      </w:r>
    </w:p>
    <w:p w14:paraId="4E3F8249" w14:textId="77777777" w:rsidR="004F1BA8" w:rsidRDefault="004F1BA8" w:rsidP="006C1AAD">
      <w:pPr>
        <w:rPr>
          <w:b/>
        </w:rPr>
      </w:pPr>
    </w:p>
    <w:p w14:paraId="7575F8D1" w14:textId="77777777" w:rsidR="006C1AAD" w:rsidRDefault="006C1AAD" w:rsidP="006B2962">
      <w:pPr>
        <w:pStyle w:val="ListParagraph"/>
        <w:numPr>
          <w:ilvl w:val="0"/>
          <w:numId w:val="13"/>
        </w:numPr>
      </w:pPr>
      <w:r w:rsidRPr="006B2962">
        <w:rPr>
          <w:b/>
        </w:rPr>
        <w:t>Budget Monitoring Position</w:t>
      </w:r>
    </w:p>
    <w:p w14:paraId="49D76302" w14:textId="77777777" w:rsidR="006C1AAD" w:rsidRDefault="006C1AAD" w:rsidP="006C1AAD"/>
    <w:p w14:paraId="66FE31F2" w14:textId="77777777" w:rsidR="00D14083" w:rsidRDefault="00906E7A" w:rsidP="00D14083">
      <w:r>
        <w:t>T</w:t>
      </w:r>
      <w:r w:rsidR="00D14083">
        <w:t xml:space="preserve">he financing charges budget </w:t>
      </w:r>
      <w:r>
        <w:t xml:space="preserve">is forecasted to </w:t>
      </w:r>
      <w:r w:rsidR="00D14083">
        <w:t>be on budget at the end of the financial year.</w:t>
      </w:r>
      <w:r w:rsidR="001D1580">
        <w:t xml:space="preserve">  </w:t>
      </w:r>
    </w:p>
    <w:p w14:paraId="40CEF22C" w14:textId="77777777" w:rsidR="00AD3E3C" w:rsidRDefault="00AD3E3C" w:rsidP="00D14083"/>
    <w:p w14:paraId="5E2D52FB" w14:textId="77777777" w:rsidR="002F0B22" w:rsidRDefault="00D14083" w:rsidP="00D369EF">
      <w:pPr>
        <w:rPr>
          <w:rFonts w:cs="Arial"/>
          <w:b/>
          <w:color w:val="000000"/>
          <w:szCs w:val="24"/>
        </w:rPr>
      </w:pPr>
      <w:r>
        <w:t>This position is kept under regular review taking account both of ongoing performance and also market movements and the forecast is provided to the County Treasurer on a monthly basis.</w:t>
      </w:r>
    </w:p>
    <w:p w14:paraId="0BD54E97" w14:textId="77777777" w:rsidR="006C25A0" w:rsidRDefault="006C25A0" w:rsidP="00D369EF">
      <w:pPr>
        <w:rPr>
          <w:rFonts w:cs="Arial"/>
          <w:b/>
          <w:color w:val="000000"/>
          <w:szCs w:val="24"/>
        </w:rPr>
      </w:pPr>
    </w:p>
    <w:p w14:paraId="11349D72" w14:textId="77777777" w:rsidR="002F0B22" w:rsidRDefault="002F0B22" w:rsidP="00D369EF">
      <w:pPr>
        <w:rPr>
          <w:rFonts w:cs="Arial"/>
          <w:b/>
          <w:color w:val="000000"/>
          <w:szCs w:val="24"/>
        </w:rPr>
      </w:pPr>
    </w:p>
    <w:p w14:paraId="2A88E6CC" w14:textId="1601B2ED" w:rsidR="00C0388E" w:rsidRPr="006B2962" w:rsidRDefault="009071F8" w:rsidP="006B2962">
      <w:pPr>
        <w:pStyle w:val="ListParagraph"/>
        <w:numPr>
          <w:ilvl w:val="0"/>
          <w:numId w:val="13"/>
        </w:numPr>
        <w:rPr>
          <w:rFonts w:cs="Arial"/>
          <w:color w:val="000000"/>
          <w:szCs w:val="24"/>
        </w:rPr>
      </w:pPr>
      <w:r w:rsidRPr="00D57100">
        <w:rPr>
          <w:b/>
          <w:szCs w:val="24"/>
        </w:rPr>
        <w:t>Prudential Indicators 201</w:t>
      </w:r>
      <w:r w:rsidR="00B41B77">
        <w:rPr>
          <w:b/>
          <w:szCs w:val="24"/>
        </w:rPr>
        <w:t>4/</w:t>
      </w:r>
      <w:r w:rsidRPr="00D57100">
        <w:rPr>
          <w:b/>
          <w:szCs w:val="24"/>
        </w:rPr>
        <w:t>1</w:t>
      </w:r>
      <w:r w:rsidR="00B41B77">
        <w:rPr>
          <w:b/>
          <w:szCs w:val="24"/>
        </w:rPr>
        <w:t>5</w:t>
      </w:r>
    </w:p>
    <w:p w14:paraId="610AE56B" w14:textId="77777777" w:rsidR="009071F8" w:rsidRDefault="009071F8" w:rsidP="009071F8">
      <w:pPr>
        <w:rPr>
          <w:b/>
          <w:szCs w:val="24"/>
        </w:rPr>
      </w:pPr>
      <w:r w:rsidRPr="00424742">
        <w:rPr>
          <w:szCs w:val="24"/>
        </w:rPr>
        <w:t>The Local Government Act 2003 and supporting regulations require the County Council to have regard to the prudential code and to set prudential indicators to ensure the County Council's capital investment plans are affordable, prudent and sustainable</w:t>
      </w:r>
      <w:r w:rsidRPr="00424742">
        <w:rPr>
          <w:b/>
          <w:szCs w:val="24"/>
        </w:rPr>
        <w:t>.</w:t>
      </w:r>
    </w:p>
    <w:p w14:paraId="7A101462" w14:textId="77777777" w:rsidR="009071F8" w:rsidRPr="008418AE" w:rsidRDefault="009071F8" w:rsidP="009071F8">
      <w:pPr>
        <w:rPr>
          <w:szCs w:val="24"/>
        </w:rPr>
      </w:pPr>
    </w:p>
    <w:p w14:paraId="55EADDA0" w14:textId="5C30B159" w:rsidR="008418AE" w:rsidRPr="008418AE" w:rsidRDefault="008418AE" w:rsidP="008418AE">
      <w:pPr>
        <w:pStyle w:val="CommentText"/>
        <w:rPr>
          <w:sz w:val="24"/>
          <w:szCs w:val="24"/>
        </w:rPr>
      </w:pPr>
      <w:r w:rsidRPr="008418AE">
        <w:rPr>
          <w:sz w:val="24"/>
          <w:szCs w:val="24"/>
        </w:rPr>
        <w:t xml:space="preserve">The prudential indicators were </w:t>
      </w:r>
      <w:r w:rsidR="00514ECC">
        <w:rPr>
          <w:sz w:val="24"/>
          <w:szCs w:val="24"/>
        </w:rPr>
        <w:t>revise</w:t>
      </w:r>
      <w:r w:rsidR="00CD274C">
        <w:rPr>
          <w:sz w:val="24"/>
          <w:szCs w:val="24"/>
        </w:rPr>
        <w:t>d in July</w:t>
      </w:r>
      <w:r w:rsidR="00615B38">
        <w:rPr>
          <w:sz w:val="24"/>
          <w:szCs w:val="24"/>
        </w:rPr>
        <w:t>, these</w:t>
      </w:r>
      <w:r w:rsidR="00CD274C">
        <w:rPr>
          <w:sz w:val="24"/>
          <w:szCs w:val="24"/>
        </w:rPr>
        <w:t xml:space="preserve"> changes were approved by Full Council </w:t>
      </w:r>
      <w:r w:rsidR="00E61159" w:rsidRPr="00E61159">
        <w:rPr>
          <w:sz w:val="24"/>
          <w:szCs w:val="24"/>
        </w:rPr>
        <w:t>on 17 July 2014</w:t>
      </w:r>
      <w:r w:rsidR="00514ECC">
        <w:rPr>
          <w:sz w:val="24"/>
          <w:szCs w:val="24"/>
        </w:rPr>
        <w:t>.</w:t>
      </w:r>
      <w:r w:rsidR="00514ECC" w:rsidRPr="008418AE">
        <w:rPr>
          <w:sz w:val="24"/>
          <w:szCs w:val="24"/>
        </w:rPr>
        <w:t xml:space="preserve"> </w:t>
      </w:r>
    </w:p>
    <w:p w14:paraId="2E451DDD" w14:textId="77777777" w:rsidR="008418AE" w:rsidRPr="008418AE" w:rsidRDefault="008418AE" w:rsidP="009071F8">
      <w:pPr>
        <w:rPr>
          <w:szCs w:val="24"/>
        </w:rPr>
      </w:pPr>
    </w:p>
    <w:p w14:paraId="2C977FDA" w14:textId="77777777" w:rsidR="00A81FA9" w:rsidRDefault="009071F8" w:rsidP="0022245F">
      <w:pPr>
        <w:rPr>
          <w:szCs w:val="24"/>
        </w:rPr>
      </w:pPr>
      <w:r w:rsidRPr="00424742">
        <w:rPr>
          <w:szCs w:val="24"/>
        </w:rPr>
        <w:t xml:space="preserve">A comparison of </w:t>
      </w:r>
      <w:r w:rsidRPr="003C22EB">
        <w:rPr>
          <w:szCs w:val="24"/>
        </w:rPr>
        <w:t xml:space="preserve">the actual position at 31 August 2014 </w:t>
      </w:r>
      <w:r>
        <w:rPr>
          <w:szCs w:val="24"/>
        </w:rPr>
        <w:t>compared to the</w:t>
      </w:r>
      <w:r w:rsidR="0036589C">
        <w:rPr>
          <w:szCs w:val="24"/>
        </w:rPr>
        <w:t>se</w:t>
      </w:r>
      <w:r>
        <w:rPr>
          <w:szCs w:val="24"/>
        </w:rPr>
        <w:t xml:space="preserve"> </w:t>
      </w:r>
      <w:r w:rsidR="008418AE">
        <w:rPr>
          <w:szCs w:val="24"/>
        </w:rPr>
        <w:t xml:space="preserve">revised </w:t>
      </w:r>
      <w:r w:rsidRPr="00424742">
        <w:rPr>
          <w:szCs w:val="24"/>
        </w:rPr>
        <w:t>indicators</w:t>
      </w:r>
      <w:r w:rsidR="00CD274C">
        <w:rPr>
          <w:szCs w:val="24"/>
        </w:rPr>
        <w:t xml:space="preserve">, </w:t>
      </w:r>
      <w:r w:rsidRPr="00424742">
        <w:rPr>
          <w:szCs w:val="24"/>
        </w:rPr>
        <w:t>is set out below</w:t>
      </w:r>
      <w:r>
        <w:rPr>
          <w:szCs w:val="24"/>
        </w:rPr>
        <w:t>.</w:t>
      </w:r>
    </w:p>
    <w:p w14:paraId="4B109C7F" w14:textId="77777777" w:rsidR="007206BE" w:rsidRPr="00AC6359" w:rsidRDefault="007206BE" w:rsidP="0022245F">
      <w:pPr>
        <w:rPr>
          <w:szCs w:val="24"/>
        </w:rPr>
      </w:pPr>
    </w:p>
    <w:p w14:paraId="575086DB" w14:textId="77777777" w:rsidR="00E31ECF" w:rsidRDefault="00E31ECF" w:rsidP="0022245F">
      <w:pPr>
        <w:rPr>
          <w:b/>
          <w:szCs w:val="24"/>
        </w:rPr>
      </w:pPr>
    </w:p>
    <w:tbl>
      <w:tblPr>
        <w:tblW w:w="9322" w:type="dxa"/>
        <w:tblLayout w:type="fixed"/>
        <w:tblLook w:val="0000" w:firstRow="0" w:lastRow="0" w:firstColumn="0" w:lastColumn="0" w:noHBand="0" w:noVBand="0"/>
      </w:tblPr>
      <w:tblGrid>
        <w:gridCol w:w="108"/>
        <w:gridCol w:w="6555"/>
        <w:gridCol w:w="108"/>
        <w:gridCol w:w="1167"/>
        <w:gridCol w:w="108"/>
        <w:gridCol w:w="1026"/>
        <w:gridCol w:w="108"/>
        <w:gridCol w:w="142"/>
      </w:tblGrid>
      <w:tr w:rsidR="00C555D5" w14:paraId="772C2956" w14:textId="77777777" w:rsidTr="00C555D5">
        <w:trPr>
          <w:gridBefore w:val="1"/>
          <w:gridAfter w:val="1"/>
          <w:wBefore w:w="108" w:type="dxa"/>
          <w:wAfter w:w="142" w:type="dxa"/>
        </w:trPr>
        <w:tc>
          <w:tcPr>
            <w:tcW w:w="6663" w:type="dxa"/>
            <w:gridSpan w:val="2"/>
          </w:tcPr>
          <w:p w14:paraId="47526DC7" w14:textId="77777777" w:rsidR="00C555D5" w:rsidRPr="00AC6359" w:rsidRDefault="00C555D5" w:rsidP="00AC6359">
            <w:pPr>
              <w:rPr>
                <w:sz w:val="22"/>
                <w:szCs w:val="22"/>
              </w:rPr>
            </w:pPr>
            <w:r w:rsidRPr="00AC6359">
              <w:rPr>
                <w:b/>
                <w:sz w:val="22"/>
                <w:szCs w:val="22"/>
              </w:rPr>
              <w:t>Treasury Management Prudential Indicators</w:t>
            </w:r>
          </w:p>
        </w:tc>
        <w:tc>
          <w:tcPr>
            <w:tcW w:w="1275" w:type="dxa"/>
            <w:gridSpan w:val="2"/>
          </w:tcPr>
          <w:p w14:paraId="404A4C8D" w14:textId="77777777" w:rsidR="00C555D5" w:rsidRPr="00AC6359" w:rsidRDefault="00BA4BCF" w:rsidP="00AC6359">
            <w:pPr>
              <w:jc w:val="center"/>
              <w:rPr>
                <w:b/>
                <w:sz w:val="22"/>
                <w:szCs w:val="22"/>
              </w:rPr>
            </w:pPr>
            <w:r w:rsidRPr="00AC6359">
              <w:rPr>
                <w:b/>
                <w:sz w:val="22"/>
                <w:szCs w:val="22"/>
              </w:rPr>
              <w:t>2014/15</w:t>
            </w:r>
          </w:p>
        </w:tc>
        <w:tc>
          <w:tcPr>
            <w:tcW w:w="1134" w:type="dxa"/>
            <w:gridSpan w:val="2"/>
          </w:tcPr>
          <w:p w14:paraId="7D678E37" w14:textId="77777777" w:rsidR="00C555D5" w:rsidRPr="00AC6359" w:rsidRDefault="00C555D5" w:rsidP="00AC6359">
            <w:pPr>
              <w:jc w:val="center"/>
              <w:rPr>
                <w:b/>
                <w:sz w:val="22"/>
                <w:szCs w:val="22"/>
              </w:rPr>
            </w:pPr>
            <w:r w:rsidRPr="00AC6359">
              <w:rPr>
                <w:b/>
                <w:sz w:val="22"/>
                <w:szCs w:val="22"/>
              </w:rPr>
              <w:t>3</w:t>
            </w:r>
            <w:r w:rsidR="00A70459" w:rsidRPr="00AC6359">
              <w:rPr>
                <w:b/>
                <w:sz w:val="22"/>
                <w:szCs w:val="22"/>
              </w:rPr>
              <w:t>1</w:t>
            </w:r>
            <w:r w:rsidRPr="00AC6359">
              <w:rPr>
                <w:b/>
                <w:sz w:val="22"/>
                <w:szCs w:val="22"/>
                <w:vertAlign w:val="superscript"/>
              </w:rPr>
              <w:t>st</w:t>
            </w:r>
            <w:r w:rsidR="00A70459" w:rsidRPr="00AC6359">
              <w:rPr>
                <w:b/>
                <w:sz w:val="22"/>
                <w:szCs w:val="22"/>
              </w:rPr>
              <w:t xml:space="preserve"> Aug</w:t>
            </w:r>
          </w:p>
          <w:p w14:paraId="08C7E1C0" w14:textId="77777777" w:rsidR="00C555D5" w:rsidRPr="00AC6359" w:rsidRDefault="00C555D5" w:rsidP="00AC6359">
            <w:pPr>
              <w:jc w:val="center"/>
              <w:rPr>
                <w:b/>
                <w:sz w:val="22"/>
                <w:szCs w:val="22"/>
              </w:rPr>
            </w:pPr>
            <w:r w:rsidRPr="00AC6359">
              <w:rPr>
                <w:b/>
                <w:sz w:val="22"/>
                <w:szCs w:val="22"/>
              </w:rPr>
              <w:t>Actual</w:t>
            </w:r>
          </w:p>
        </w:tc>
      </w:tr>
      <w:tr w:rsidR="00C555D5" w14:paraId="71FCEA3B" w14:textId="77777777" w:rsidTr="00C555D5">
        <w:trPr>
          <w:gridBefore w:val="1"/>
          <w:gridAfter w:val="1"/>
          <w:wBefore w:w="108" w:type="dxa"/>
          <w:wAfter w:w="142" w:type="dxa"/>
        </w:trPr>
        <w:tc>
          <w:tcPr>
            <w:tcW w:w="6663" w:type="dxa"/>
            <w:gridSpan w:val="2"/>
          </w:tcPr>
          <w:p w14:paraId="743AB6FC" w14:textId="77777777" w:rsidR="00C555D5" w:rsidRPr="00AC6359" w:rsidRDefault="00C555D5" w:rsidP="00AC6359">
            <w:pPr>
              <w:spacing w:after="120"/>
              <w:jc w:val="center"/>
              <w:rPr>
                <w:sz w:val="22"/>
                <w:szCs w:val="22"/>
              </w:rPr>
            </w:pPr>
          </w:p>
        </w:tc>
        <w:tc>
          <w:tcPr>
            <w:tcW w:w="1275" w:type="dxa"/>
            <w:gridSpan w:val="2"/>
          </w:tcPr>
          <w:p w14:paraId="0B8ACD5F" w14:textId="77777777" w:rsidR="00C555D5" w:rsidRPr="00AC6359" w:rsidRDefault="00C555D5" w:rsidP="00AC6359">
            <w:pPr>
              <w:spacing w:after="120"/>
              <w:jc w:val="center"/>
              <w:rPr>
                <w:b/>
                <w:caps/>
                <w:sz w:val="22"/>
                <w:szCs w:val="22"/>
              </w:rPr>
            </w:pPr>
            <w:r w:rsidRPr="00AC6359">
              <w:rPr>
                <w:b/>
                <w:caps/>
                <w:sz w:val="22"/>
                <w:szCs w:val="22"/>
              </w:rPr>
              <w:t>£m</w:t>
            </w:r>
          </w:p>
        </w:tc>
        <w:tc>
          <w:tcPr>
            <w:tcW w:w="1134" w:type="dxa"/>
            <w:gridSpan w:val="2"/>
          </w:tcPr>
          <w:p w14:paraId="66F577AC" w14:textId="77777777" w:rsidR="00C555D5" w:rsidRPr="00AC6359" w:rsidRDefault="00C555D5" w:rsidP="00AC6359">
            <w:pPr>
              <w:spacing w:after="120"/>
              <w:jc w:val="center"/>
              <w:rPr>
                <w:b/>
                <w:sz w:val="22"/>
                <w:szCs w:val="22"/>
              </w:rPr>
            </w:pPr>
            <w:r w:rsidRPr="00AC6359">
              <w:rPr>
                <w:b/>
                <w:caps/>
                <w:sz w:val="22"/>
                <w:szCs w:val="22"/>
              </w:rPr>
              <w:t>£m</w:t>
            </w:r>
          </w:p>
        </w:tc>
      </w:tr>
      <w:tr w:rsidR="00C555D5" w14:paraId="05B8476F" w14:textId="77777777" w:rsidTr="00C555D5">
        <w:trPr>
          <w:gridBefore w:val="1"/>
          <w:gridAfter w:val="1"/>
          <w:wBefore w:w="108" w:type="dxa"/>
          <w:wAfter w:w="142" w:type="dxa"/>
        </w:trPr>
        <w:tc>
          <w:tcPr>
            <w:tcW w:w="6663" w:type="dxa"/>
            <w:gridSpan w:val="2"/>
          </w:tcPr>
          <w:p w14:paraId="0EB2D717" w14:textId="77777777" w:rsidR="00C555D5" w:rsidRDefault="00C555D5" w:rsidP="0022245F">
            <w:pPr>
              <w:pStyle w:val="ListParagraph"/>
              <w:numPr>
                <w:ilvl w:val="0"/>
                <w:numId w:val="4"/>
              </w:numPr>
              <w:spacing w:after="120" w:line="240" w:lineRule="auto"/>
              <w:ind w:left="349" w:hanging="349"/>
              <w:rPr>
                <w:b/>
                <w:sz w:val="20"/>
              </w:rPr>
            </w:pPr>
            <w:r>
              <w:rPr>
                <w:b/>
                <w:sz w:val="20"/>
              </w:rPr>
              <w:t>Adoption of CIPFA TM Code of Practice</w:t>
            </w:r>
          </w:p>
          <w:p w14:paraId="7DF2585B" w14:textId="77777777" w:rsidR="00C555D5" w:rsidRDefault="00C555D5" w:rsidP="0022245F">
            <w:pPr>
              <w:pStyle w:val="ListParagraph"/>
              <w:spacing w:after="120"/>
              <w:ind w:left="349"/>
              <w:rPr>
                <w:b/>
                <w:sz w:val="20"/>
              </w:rPr>
            </w:pPr>
          </w:p>
          <w:p w14:paraId="55349471" w14:textId="77777777" w:rsidR="00C555D5" w:rsidRPr="006A2DEC" w:rsidRDefault="00C555D5" w:rsidP="0022245F">
            <w:pPr>
              <w:pStyle w:val="ListParagraph"/>
              <w:numPr>
                <w:ilvl w:val="0"/>
                <w:numId w:val="4"/>
              </w:numPr>
              <w:spacing w:after="120" w:line="240" w:lineRule="auto"/>
              <w:ind w:left="349" w:hanging="349"/>
              <w:rPr>
                <w:b/>
                <w:sz w:val="20"/>
              </w:rPr>
            </w:pPr>
            <w:r w:rsidRPr="006A2DEC">
              <w:rPr>
                <w:b/>
                <w:sz w:val="20"/>
              </w:rPr>
              <w:t>Authorised limit for external debt</w:t>
            </w:r>
            <w:r w:rsidRPr="006A2DEC">
              <w:rPr>
                <w:sz w:val="20"/>
              </w:rPr>
              <w:t xml:space="preserve"> - A prudent estimate of debt, which reflects the Authority’s capital expenditure plans and allows sufficient headroom for unusual cash movements.</w:t>
            </w:r>
          </w:p>
        </w:tc>
        <w:tc>
          <w:tcPr>
            <w:tcW w:w="2409" w:type="dxa"/>
            <w:gridSpan w:val="4"/>
          </w:tcPr>
          <w:p w14:paraId="5D2F96C7" w14:textId="77777777" w:rsidR="00C555D5" w:rsidRDefault="00C555D5" w:rsidP="0022245F">
            <w:pPr>
              <w:tabs>
                <w:tab w:val="decimal" w:pos="882"/>
              </w:tabs>
              <w:spacing w:after="120"/>
              <w:jc w:val="center"/>
              <w:rPr>
                <w:sz w:val="20"/>
              </w:rPr>
            </w:pPr>
            <w:r>
              <w:rPr>
                <w:caps/>
                <w:sz w:val="20"/>
              </w:rPr>
              <w:t>aDoPtEd</w:t>
            </w:r>
          </w:p>
        </w:tc>
      </w:tr>
      <w:tr w:rsidR="00C555D5" w14:paraId="098B53BD" w14:textId="77777777" w:rsidTr="00C555D5">
        <w:trPr>
          <w:gridBefore w:val="1"/>
          <w:gridAfter w:val="1"/>
          <w:wBefore w:w="108" w:type="dxa"/>
          <w:wAfter w:w="142" w:type="dxa"/>
        </w:trPr>
        <w:tc>
          <w:tcPr>
            <w:tcW w:w="6663" w:type="dxa"/>
            <w:gridSpan w:val="2"/>
          </w:tcPr>
          <w:p w14:paraId="09991976" w14:textId="77777777" w:rsidR="00C555D5" w:rsidRDefault="00C555D5" w:rsidP="0022245F">
            <w:pPr>
              <w:tabs>
                <w:tab w:val="left" w:pos="342"/>
              </w:tabs>
              <w:spacing w:after="120"/>
              <w:ind w:left="349"/>
              <w:rPr>
                <w:sz w:val="20"/>
              </w:rPr>
            </w:pPr>
            <w:r>
              <w:rPr>
                <w:sz w:val="20"/>
              </w:rPr>
              <w:t>Borrowing</w:t>
            </w:r>
          </w:p>
        </w:tc>
        <w:tc>
          <w:tcPr>
            <w:tcW w:w="1275" w:type="dxa"/>
            <w:gridSpan w:val="2"/>
          </w:tcPr>
          <w:p w14:paraId="517276D1" w14:textId="77777777" w:rsidR="00C555D5" w:rsidRPr="00172457" w:rsidRDefault="00A70459" w:rsidP="0022245F">
            <w:pPr>
              <w:tabs>
                <w:tab w:val="decimal" w:pos="882"/>
              </w:tabs>
              <w:spacing w:after="120"/>
              <w:rPr>
                <w:caps/>
                <w:sz w:val="20"/>
              </w:rPr>
            </w:pPr>
            <w:r>
              <w:rPr>
                <w:caps/>
                <w:sz w:val="20"/>
              </w:rPr>
              <w:t>1,</w:t>
            </w:r>
            <w:r w:rsidR="005615BD">
              <w:rPr>
                <w:caps/>
                <w:sz w:val="20"/>
              </w:rPr>
              <w:t>5</w:t>
            </w:r>
            <w:r>
              <w:rPr>
                <w:caps/>
                <w:sz w:val="20"/>
              </w:rPr>
              <w:t>44</w:t>
            </w:r>
          </w:p>
        </w:tc>
        <w:tc>
          <w:tcPr>
            <w:tcW w:w="1134" w:type="dxa"/>
            <w:gridSpan w:val="2"/>
          </w:tcPr>
          <w:p w14:paraId="2F451D8C" w14:textId="77777777" w:rsidR="00C555D5" w:rsidRPr="00172457" w:rsidRDefault="00A70459" w:rsidP="002B4911">
            <w:pPr>
              <w:tabs>
                <w:tab w:val="decimal" w:pos="882"/>
              </w:tabs>
              <w:spacing w:after="120"/>
              <w:rPr>
                <w:sz w:val="20"/>
              </w:rPr>
            </w:pPr>
            <w:r>
              <w:rPr>
                <w:sz w:val="20"/>
              </w:rPr>
              <w:t>1,003</w:t>
            </w:r>
          </w:p>
        </w:tc>
      </w:tr>
      <w:tr w:rsidR="00C555D5" w14:paraId="641EEEC2" w14:textId="77777777" w:rsidTr="00C555D5">
        <w:trPr>
          <w:gridBefore w:val="1"/>
          <w:gridAfter w:val="1"/>
          <w:wBefore w:w="108" w:type="dxa"/>
          <w:wAfter w:w="142" w:type="dxa"/>
        </w:trPr>
        <w:tc>
          <w:tcPr>
            <w:tcW w:w="6663" w:type="dxa"/>
            <w:gridSpan w:val="2"/>
          </w:tcPr>
          <w:p w14:paraId="41181EE6" w14:textId="77777777" w:rsidR="00C555D5" w:rsidRDefault="00C555D5" w:rsidP="0022245F">
            <w:pPr>
              <w:tabs>
                <w:tab w:val="left" w:pos="342"/>
              </w:tabs>
              <w:spacing w:after="120"/>
              <w:ind w:left="349"/>
              <w:rPr>
                <w:sz w:val="20"/>
              </w:rPr>
            </w:pPr>
            <w:r>
              <w:rPr>
                <w:sz w:val="20"/>
              </w:rPr>
              <w:t>Other long-term liabilities(PFI schemes)</w:t>
            </w:r>
          </w:p>
        </w:tc>
        <w:tc>
          <w:tcPr>
            <w:tcW w:w="1275" w:type="dxa"/>
            <w:gridSpan w:val="2"/>
          </w:tcPr>
          <w:p w14:paraId="556641F5" w14:textId="77777777" w:rsidR="00C555D5" w:rsidRPr="00172457" w:rsidRDefault="00A70459" w:rsidP="0022245F">
            <w:pPr>
              <w:tabs>
                <w:tab w:val="decimal" w:pos="882"/>
              </w:tabs>
              <w:spacing w:after="120"/>
              <w:rPr>
                <w:caps/>
                <w:sz w:val="20"/>
              </w:rPr>
            </w:pPr>
            <w:r>
              <w:rPr>
                <w:caps/>
                <w:sz w:val="20"/>
              </w:rPr>
              <w:t>206</w:t>
            </w:r>
          </w:p>
        </w:tc>
        <w:tc>
          <w:tcPr>
            <w:tcW w:w="1134" w:type="dxa"/>
            <w:gridSpan w:val="2"/>
          </w:tcPr>
          <w:p w14:paraId="4EFD3D21" w14:textId="77777777" w:rsidR="00C555D5" w:rsidRPr="00172457" w:rsidRDefault="00E539DA" w:rsidP="005615BD">
            <w:pPr>
              <w:tabs>
                <w:tab w:val="decimal" w:pos="882"/>
              </w:tabs>
              <w:spacing w:after="120"/>
              <w:rPr>
                <w:sz w:val="20"/>
              </w:rPr>
            </w:pPr>
            <w:r>
              <w:rPr>
                <w:sz w:val="20"/>
              </w:rPr>
              <w:t>119</w:t>
            </w:r>
          </w:p>
        </w:tc>
      </w:tr>
      <w:tr w:rsidR="00C555D5" w14:paraId="1DB756E4" w14:textId="77777777" w:rsidTr="00C555D5">
        <w:trPr>
          <w:gridBefore w:val="1"/>
          <w:gridAfter w:val="1"/>
          <w:wBefore w:w="108" w:type="dxa"/>
          <w:wAfter w:w="142" w:type="dxa"/>
        </w:trPr>
        <w:tc>
          <w:tcPr>
            <w:tcW w:w="6663" w:type="dxa"/>
            <w:gridSpan w:val="2"/>
          </w:tcPr>
          <w:p w14:paraId="11BA652A" w14:textId="77777777" w:rsidR="00C555D5" w:rsidRDefault="00C555D5" w:rsidP="0022245F">
            <w:pPr>
              <w:tabs>
                <w:tab w:val="left" w:pos="342"/>
              </w:tabs>
              <w:spacing w:before="120" w:after="120"/>
              <w:ind w:left="349"/>
              <w:rPr>
                <w:sz w:val="20"/>
              </w:rPr>
            </w:pPr>
            <w:r>
              <w:rPr>
                <w:sz w:val="20"/>
              </w:rPr>
              <w:t>TOTAL</w:t>
            </w:r>
          </w:p>
        </w:tc>
        <w:tc>
          <w:tcPr>
            <w:tcW w:w="1275" w:type="dxa"/>
            <w:gridSpan w:val="2"/>
            <w:tcBorders>
              <w:top w:val="single" w:sz="4" w:space="0" w:color="auto"/>
              <w:bottom w:val="single" w:sz="4" w:space="0" w:color="auto"/>
            </w:tcBorders>
          </w:tcPr>
          <w:p w14:paraId="36C7CA2F" w14:textId="77777777" w:rsidR="00C555D5" w:rsidRPr="00172457" w:rsidRDefault="00C555D5" w:rsidP="00A70459">
            <w:pPr>
              <w:tabs>
                <w:tab w:val="decimal" w:pos="882"/>
              </w:tabs>
              <w:spacing w:before="120" w:after="120"/>
              <w:rPr>
                <w:caps/>
                <w:sz w:val="20"/>
              </w:rPr>
            </w:pPr>
            <w:r w:rsidRPr="00172457">
              <w:rPr>
                <w:caps/>
                <w:sz w:val="20"/>
              </w:rPr>
              <w:t>1,</w:t>
            </w:r>
            <w:r w:rsidR="005615BD">
              <w:rPr>
                <w:caps/>
                <w:sz w:val="20"/>
              </w:rPr>
              <w:t>7</w:t>
            </w:r>
            <w:r w:rsidR="00A70459">
              <w:rPr>
                <w:caps/>
                <w:sz w:val="20"/>
              </w:rPr>
              <w:t>50</w:t>
            </w:r>
          </w:p>
        </w:tc>
        <w:tc>
          <w:tcPr>
            <w:tcW w:w="1134" w:type="dxa"/>
            <w:gridSpan w:val="2"/>
            <w:tcBorders>
              <w:top w:val="single" w:sz="4" w:space="0" w:color="auto"/>
              <w:bottom w:val="single" w:sz="4" w:space="0" w:color="auto"/>
            </w:tcBorders>
          </w:tcPr>
          <w:p w14:paraId="29A44352" w14:textId="77777777" w:rsidR="00C555D5" w:rsidRPr="00172457" w:rsidRDefault="00C555D5" w:rsidP="00A70459">
            <w:pPr>
              <w:tabs>
                <w:tab w:val="decimal" w:pos="882"/>
              </w:tabs>
              <w:spacing w:before="120" w:after="120"/>
              <w:rPr>
                <w:caps/>
                <w:sz w:val="20"/>
              </w:rPr>
            </w:pPr>
            <w:r w:rsidRPr="00172457">
              <w:rPr>
                <w:caps/>
                <w:sz w:val="20"/>
              </w:rPr>
              <w:t>1,</w:t>
            </w:r>
            <w:r w:rsidR="00E539DA">
              <w:rPr>
                <w:caps/>
                <w:sz w:val="20"/>
              </w:rPr>
              <w:t>122</w:t>
            </w:r>
          </w:p>
        </w:tc>
      </w:tr>
      <w:tr w:rsidR="00C555D5" w14:paraId="1864E822" w14:textId="77777777" w:rsidTr="00C555D5">
        <w:trPr>
          <w:gridBefore w:val="1"/>
          <w:gridAfter w:val="1"/>
          <w:wBefore w:w="108" w:type="dxa"/>
          <w:wAfter w:w="142" w:type="dxa"/>
        </w:trPr>
        <w:tc>
          <w:tcPr>
            <w:tcW w:w="6663" w:type="dxa"/>
            <w:gridSpan w:val="2"/>
          </w:tcPr>
          <w:p w14:paraId="1D8D21DA" w14:textId="77777777" w:rsidR="00C555D5" w:rsidRDefault="00C555D5" w:rsidP="0022245F">
            <w:pPr>
              <w:numPr>
                <w:ilvl w:val="0"/>
                <w:numId w:val="4"/>
              </w:numPr>
              <w:spacing w:before="240" w:after="120"/>
              <w:ind w:left="342" w:hanging="342"/>
              <w:rPr>
                <w:b/>
                <w:sz w:val="20"/>
              </w:rPr>
            </w:pPr>
            <w:r>
              <w:rPr>
                <w:b/>
                <w:sz w:val="20"/>
              </w:rPr>
              <w:t>Operational boundary for external debt</w:t>
            </w:r>
            <w:r>
              <w:rPr>
                <w:sz w:val="20"/>
              </w:rPr>
              <w:t xml:space="preserve"> - A prudent estimate of debt, but no provision for unusual cash movements.  It represents the estimated maximum external debt arising as a consequence of the County Council's current plans.</w:t>
            </w:r>
          </w:p>
        </w:tc>
        <w:tc>
          <w:tcPr>
            <w:tcW w:w="1275" w:type="dxa"/>
            <w:gridSpan w:val="2"/>
          </w:tcPr>
          <w:p w14:paraId="4A586470" w14:textId="77777777" w:rsidR="00C555D5" w:rsidRPr="00172457" w:rsidRDefault="00C555D5" w:rsidP="0022245F">
            <w:pPr>
              <w:tabs>
                <w:tab w:val="decimal" w:pos="882"/>
              </w:tabs>
              <w:spacing w:before="240" w:after="120"/>
              <w:rPr>
                <w:caps/>
                <w:sz w:val="20"/>
              </w:rPr>
            </w:pPr>
          </w:p>
        </w:tc>
        <w:tc>
          <w:tcPr>
            <w:tcW w:w="1134" w:type="dxa"/>
            <w:gridSpan w:val="2"/>
          </w:tcPr>
          <w:p w14:paraId="3C11F807" w14:textId="77777777" w:rsidR="00C555D5" w:rsidRPr="00172457" w:rsidRDefault="00C555D5" w:rsidP="0022245F">
            <w:pPr>
              <w:tabs>
                <w:tab w:val="decimal" w:pos="882"/>
              </w:tabs>
              <w:spacing w:before="240" w:after="120"/>
              <w:rPr>
                <w:sz w:val="20"/>
              </w:rPr>
            </w:pPr>
          </w:p>
        </w:tc>
      </w:tr>
      <w:tr w:rsidR="00A70459" w14:paraId="29C78E1E" w14:textId="77777777" w:rsidTr="00C555D5">
        <w:trPr>
          <w:gridBefore w:val="1"/>
          <w:gridAfter w:val="1"/>
          <w:wBefore w:w="108" w:type="dxa"/>
          <w:wAfter w:w="142" w:type="dxa"/>
          <w:trHeight w:val="436"/>
        </w:trPr>
        <w:tc>
          <w:tcPr>
            <w:tcW w:w="6663" w:type="dxa"/>
            <w:gridSpan w:val="2"/>
          </w:tcPr>
          <w:p w14:paraId="722A0DAE" w14:textId="77777777" w:rsidR="00A70459" w:rsidRDefault="00A70459" w:rsidP="00A70459">
            <w:pPr>
              <w:tabs>
                <w:tab w:val="left" w:pos="342"/>
              </w:tabs>
              <w:spacing w:after="120"/>
              <w:ind w:left="342"/>
              <w:rPr>
                <w:sz w:val="20"/>
              </w:rPr>
            </w:pPr>
            <w:r>
              <w:rPr>
                <w:sz w:val="20"/>
              </w:rPr>
              <w:t>Borrowing</w:t>
            </w:r>
          </w:p>
        </w:tc>
        <w:tc>
          <w:tcPr>
            <w:tcW w:w="1275" w:type="dxa"/>
            <w:gridSpan w:val="2"/>
          </w:tcPr>
          <w:p w14:paraId="525BC84B" w14:textId="77777777" w:rsidR="00A70459" w:rsidRPr="00172457" w:rsidRDefault="005615BD" w:rsidP="00A70459">
            <w:pPr>
              <w:tabs>
                <w:tab w:val="decimal" w:pos="882"/>
              </w:tabs>
              <w:spacing w:after="120"/>
              <w:rPr>
                <w:caps/>
                <w:sz w:val="20"/>
              </w:rPr>
            </w:pPr>
            <w:r>
              <w:rPr>
                <w:caps/>
                <w:sz w:val="20"/>
              </w:rPr>
              <w:t>1,4</w:t>
            </w:r>
            <w:r w:rsidR="00A70459">
              <w:rPr>
                <w:caps/>
                <w:sz w:val="20"/>
              </w:rPr>
              <w:t>94</w:t>
            </w:r>
          </w:p>
        </w:tc>
        <w:tc>
          <w:tcPr>
            <w:tcW w:w="1134" w:type="dxa"/>
            <w:gridSpan w:val="2"/>
          </w:tcPr>
          <w:p w14:paraId="261FB74B" w14:textId="77777777" w:rsidR="00A70459" w:rsidRPr="00172457" w:rsidRDefault="00A70459" w:rsidP="00A70459">
            <w:pPr>
              <w:tabs>
                <w:tab w:val="decimal" w:pos="882"/>
              </w:tabs>
              <w:spacing w:after="120"/>
              <w:rPr>
                <w:sz w:val="20"/>
              </w:rPr>
            </w:pPr>
            <w:r>
              <w:rPr>
                <w:sz w:val="20"/>
              </w:rPr>
              <w:t>1,003</w:t>
            </w:r>
          </w:p>
        </w:tc>
      </w:tr>
      <w:tr w:rsidR="00A70459" w14:paraId="067CD61B" w14:textId="77777777" w:rsidTr="00C555D5">
        <w:trPr>
          <w:gridBefore w:val="1"/>
          <w:gridAfter w:val="1"/>
          <w:wBefore w:w="108" w:type="dxa"/>
          <w:wAfter w:w="142" w:type="dxa"/>
        </w:trPr>
        <w:tc>
          <w:tcPr>
            <w:tcW w:w="6663" w:type="dxa"/>
            <w:gridSpan w:val="2"/>
          </w:tcPr>
          <w:p w14:paraId="67A3CE84" w14:textId="77777777" w:rsidR="00A70459" w:rsidRDefault="00A70459" w:rsidP="00A70459">
            <w:pPr>
              <w:tabs>
                <w:tab w:val="left" w:pos="342"/>
              </w:tabs>
              <w:spacing w:after="120"/>
              <w:ind w:left="342"/>
              <w:rPr>
                <w:sz w:val="20"/>
              </w:rPr>
            </w:pPr>
            <w:r>
              <w:rPr>
                <w:sz w:val="20"/>
              </w:rPr>
              <w:t>Other long-term liabilities</w:t>
            </w:r>
          </w:p>
        </w:tc>
        <w:tc>
          <w:tcPr>
            <w:tcW w:w="1275" w:type="dxa"/>
            <w:gridSpan w:val="2"/>
            <w:tcBorders>
              <w:bottom w:val="single" w:sz="4" w:space="0" w:color="auto"/>
            </w:tcBorders>
          </w:tcPr>
          <w:p w14:paraId="123691F2" w14:textId="77777777" w:rsidR="00A70459" w:rsidRPr="00172457" w:rsidRDefault="00A70459" w:rsidP="00A70459">
            <w:pPr>
              <w:tabs>
                <w:tab w:val="decimal" w:pos="882"/>
              </w:tabs>
              <w:spacing w:after="120"/>
              <w:rPr>
                <w:caps/>
                <w:sz w:val="20"/>
              </w:rPr>
            </w:pPr>
            <w:r>
              <w:rPr>
                <w:caps/>
                <w:sz w:val="20"/>
              </w:rPr>
              <w:t>156</w:t>
            </w:r>
          </w:p>
        </w:tc>
        <w:tc>
          <w:tcPr>
            <w:tcW w:w="1134" w:type="dxa"/>
            <w:gridSpan w:val="2"/>
            <w:tcBorders>
              <w:bottom w:val="single" w:sz="4" w:space="0" w:color="auto"/>
            </w:tcBorders>
          </w:tcPr>
          <w:p w14:paraId="5289AB48" w14:textId="77777777" w:rsidR="00A70459" w:rsidRPr="00172457" w:rsidRDefault="00E539DA" w:rsidP="00A70459">
            <w:pPr>
              <w:tabs>
                <w:tab w:val="decimal" w:pos="882"/>
              </w:tabs>
              <w:spacing w:after="120"/>
              <w:rPr>
                <w:sz w:val="20"/>
              </w:rPr>
            </w:pPr>
            <w:r>
              <w:rPr>
                <w:sz w:val="20"/>
              </w:rPr>
              <w:t>119</w:t>
            </w:r>
          </w:p>
        </w:tc>
      </w:tr>
      <w:tr w:rsidR="00A70459" w14:paraId="003AA0FB" w14:textId="77777777" w:rsidTr="00C555D5">
        <w:trPr>
          <w:gridBefore w:val="1"/>
          <w:gridAfter w:val="1"/>
          <w:wBefore w:w="108" w:type="dxa"/>
          <w:wAfter w:w="142" w:type="dxa"/>
        </w:trPr>
        <w:tc>
          <w:tcPr>
            <w:tcW w:w="6663" w:type="dxa"/>
            <w:gridSpan w:val="2"/>
          </w:tcPr>
          <w:p w14:paraId="7E2E8154" w14:textId="77777777" w:rsidR="00A70459" w:rsidRDefault="00A70459" w:rsidP="00A70459">
            <w:pPr>
              <w:tabs>
                <w:tab w:val="left" w:pos="342"/>
              </w:tabs>
              <w:spacing w:before="120" w:after="120"/>
              <w:ind w:left="342"/>
              <w:rPr>
                <w:sz w:val="20"/>
              </w:rPr>
            </w:pPr>
            <w:r>
              <w:rPr>
                <w:sz w:val="20"/>
              </w:rPr>
              <w:t>TOTAL</w:t>
            </w:r>
          </w:p>
        </w:tc>
        <w:tc>
          <w:tcPr>
            <w:tcW w:w="1275" w:type="dxa"/>
            <w:gridSpan w:val="2"/>
            <w:tcBorders>
              <w:top w:val="single" w:sz="4" w:space="0" w:color="auto"/>
              <w:bottom w:val="single" w:sz="4" w:space="0" w:color="auto"/>
            </w:tcBorders>
          </w:tcPr>
          <w:p w14:paraId="59246435" w14:textId="77777777" w:rsidR="00A70459" w:rsidRPr="00172457" w:rsidRDefault="00A70459" w:rsidP="008418AE">
            <w:pPr>
              <w:tabs>
                <w:tab w:val="decimal" w:pos="882"/>
              </w:tabs>
              <w:spacing w:before="120" w:after="120"/>
              <w:rPr>
                <w:caps/>
                <w:sz w:val="20"/>
              </w:rPr>
            </w:pPr>
            <w:r w:rsidRPr="00172457">
              <w:rPr>
                <w:caps/>
                <w:sz w:val="20"/>
              </w:rPr>
              <w:t>1,</w:t>
            </w:r>
            <w:r w:rsidR="005615BD">
              <w:rPr>
                <w:caps/>
                <w:sz w:val="20"/>
              </w:rPr>
              <w:t>6</w:t>
            </w:r>
            <w:r>
              <w:rPr>
                <w:caps/>
                <w:sz w:val="20"/>
              </w:rPr>
              <w:t>50</w:t>
            </w:r>
          </w:p>
        </w:tc>
        <w:tc>
          <w:tcPr>
            <w:tcW w:w="1134" w:type="dxa"/>
            <w:gridSpan w:val="2"/>
            <w:tcBorders>
              <w:top w:val="single" w:sz="4" w:space="0" w:color="auto"/>
              <w:bottom w:val="single" w:sz="4" w:space="0" w:color="auto"/>
            </w:tcBorders>
          </w:tcPr>
          <w:p w14:paraId="64252649" w14:textId="77777777" w:rsidR="00A70459" w:rsidRPr="00172457" w:rsidRDefault="00E539DA" w:rsidP="00A70459">
            <w:pPr>
              <w:tabs>
                <w:tab w:val="decimal" w:pos="882"/>
              </w:tabs>
              <w:spacing w:before="120" w:after="120"/>
              <w:rPr>
                <w:caps/>
                <w:sz w:val="20"/>
              </w:rPr>
            </w:pPr>
            <w:r>
              <w:rPr>
                <w:caps/>
                <w:sz w:val="20"/>
              </w:rPr>
              <w:t>1,122</w:t>
            </w:r>
          </w:p>
        </w:tc>
      </w:tr>
      <w:tr w:rsidR="00AC6359" w14:paraId="4897AA89" w14:textId="77777777" w:rsidTr="00C555D5">
        <w:trPr>
          <w:gridBefore w:val="1"/>
          <w:gridAfter w:val="5"/>
          <w:wBefore w:w="108" w:type="dxa"/>
          <w:wAfter w:w="2551" w:type="dxa"/>
        </w:trPr>
        <w:tc>
          <w:tcPr>
            <w:tcW w:w="6663" w:type="dxa"/>
            <w:gridSpan w:val="2"/>
          </w:tcPr>
          <w:p w14:paraId="643E6438" w14:textId="77777777" w:rsidR="00AC6359" w:rsidRPr="00172457" w:rsidRDefault="00AC6359" w:rsidP="00A70459">
            <w:pPr>
              <w:pStyle w:val="ListParagraph"/>
              <w:ind w:left="284"/>
              <w:rPr>
                <w:rFonts w:cs="Arial"/>
                <w:b/>
                <w:sz w:val="20"/>
                <w:szCs w:val="20"/>
              </w:rPr>
            </w:pPr>
          </w:p>
        </w:tc>
      </w:tr>
      <w:tr w:rsidR="00A70459" w:rsidRPr="00792CF2" w14:paraId="06E022A7" w14:textId="77777777" w:rsidTr="00C555D5">
        <w:trPr>
          <w:gridAfter w:val="2"/>
          <w:wAfter w:w="250" w:type="dxa"/>
        </w:trPr>
        <w:tc>
          <w:tcPr>
            <w:tcW w:w="6663" w:type="dxa"/>
            <w:gridSpan w:val="2"/>
          </w:tcPr>
          <w:p w14:paraId="7D762B19" w14:textId="77777777" w:rsidR="00A70459" w:rsidRPr="00792CF2" w:rsidRDefault="00A70459" w:rsidP="00A70459">
            <w:pPr>
              <w:pStyle w:val="ListParagraph"/>
              <w:numPr>
                <w:ilvl w:val="0"/>
                <w:numId w:val="4"/>
              </w:numPr>
              <w:ind w:left="284" w:hanging="284"/>
              <w:rPr>
                <w:rFonts w:cs="Arial"/>
                <w:b/>
                <w:sz w:val="20"/>
                <w:szCs w:val="20"/>
              </w:rPr>
            </w:pPr>
            <w:r w:rsidRPr="00792CF2">
              <w:rPr>
                <w:rFonts w:cs="Arial"/>
                <w:b/>
                <w:sz w:val="20"/>
                <w:szCs w:val="20"/>
              </w:rPr>
              <w:t xml:space="preserve">Capital financing requirement to gross debt </w:t>
            </w:r>
          </w:p>
          <w:p w14:paraId="39605C69" w14:textId="77777777" w:rsidR="00A70459" w:rsidRPr="00792CF2" w:rsidRDefault="00792CF2" w:rsidP="00792CF2">
            <w:pPr>
              <w:tabs>
                <w:tab w:val="left" w:pos="2700"/>
              </w:tabs>
              <w:rPr>
                <w:rFonts w:cs="Arial"/>
                <w:szCs w:val="22"/>
              </w:rPr>
            </w:pPr>
            <w:r w:rsidRPr="00792CF2">
              <w:rPr>
                <w:rFonts w:cs="Arial"/>
                <w:szCs w:val="22"/>
              </w:rPr>
              <w:tab/>
            </w:r>
          </w:p>
          <w:p w14:paraId="40C60B93" w14:textId="77777777" w:rsidR="00A70459" w:rsidRPr="00792CF2" w:rsidRDefault="00A70459" w:rsidP="00A70459">
            <w:pPr>
              <w:tabs>
                <w:tab w:val="left" w:pos="284"/>
              </w:tabs>
              <w:rPr>
                <w:rFonts w:cs="Arial"/>
                <w:szCs w:val="22"/>
              </w:rPr>
            </w:pPr>
            <w:r w:rsidRPr="00792CF2">
              <w:rPr>
                <w:rFonts w:cs="Arial"/>
                <w:sz w:val="22"/>
                <w:szCs w:val="22"/>
              </w:rPr>
              <w:t>Capital financing requirement (</w:t>
            </w:r>
            <w:proofErr w:type="spellStart"/>
            <w:r w:rsidRPr="00792CF2">
              <w:rPr>
                <w:rFonts w:cs="Arial"/>
                <w:sz w:val="22"/>
                <w:szCs w:val="22"/>
              </w:rPr>
              <w:t>excl</w:t>
            </w:r>
            <w:proofErr w:type="spellEnd"/>
            <w:r w:rsidRPr="00792CF2">
              <w:rPr>
                <w:rFonts w:cs="Arial"/>
                <w:sz w:val="22"/>
                <w:szCs w:val="22"/>
              </w:rPr>
              <w:t xml:space="preserve"> PFI)</w:t>
            </w:r>
          </w:p>
          <w:p w14:paraId="08B6E1AB" w14:textId="77777777" w:rsidR="00A70459" w:rsidRPr="00792CF2" w:rsidRDefault="00A70459" w:rsidP="00A70459">
            <w:pPr>
              <w:tabs>
                <w:tab w:val="left" w:pos="284"/>
              </w:tabs>
              <w:ind w:left="284"/>
              <w:rPr>
                <w:rFonts w:cs="Arial"/>
                <w:szCs w:val="22"/>
              </w:rPr>
            </w:pPr>
          </w:p>
          <w:p w14:paraId="6AFC19BC" w14:textId="77777777" w:rsidR="00A70459" w:rsidRPr="00792CF2" w:rsidRDefault="00A70459" w:rsidP="00A70459">
            <w:pPr>
              <w:tabs>
                <w:tab w:val="left" w:pos="284"/>
              </w:tabs>
              <w:rPr>
                <w:rFonts w:cs="Arial"/>
                <w:szCs w:val="22"/>
              </w:rPr>
            </w:pPr>
          </w:p>
          <w:p w14:paraId="64743F79" w14:textId="77777777" w:rsidR="00A70459" w:rsidRPr="00792CF2" w:rsidRDefault="00A70459" w:rsidP="00A70459">
            <w:pPr>
              <w:tabs>
                <w:tab w:val="left" w:pos="284"/>
              </w:tabs>
              <w:rPr>
                <w:rFonts w:cs="Arial"/>
                <w:b/>
                <w:szCs w:val="22"/>
              </w:rPr>
            </w:pPr>
            <w:r w:rsidRPr="00792CF2">
              <w:rPr>
                <w:rFonts w:cs="Arial"/>
                <w:sz w:val="22"/>
                <w:szCs w:val="22"/>
              </w:rPr>
              <w:t>Estimated gross debt</w:t>
            </w:r>
          </w:p>
          <w:p w14:paraId="5AB400AA" w14:textId="77777777" w:rsidR="00A70459" w:rsidRPr="00792CF2" w:rsidRDefault="00A70459" w:rsidP="00A70459">
            <w:pPr>
              <w:tabs>
                <w:tab w:val="left" w:pos="342"/>
              </w:tabs>
              <w:spacing w:before="120" w:after="120"/>
            </w:pPr>
            <w:r w:rsidRPr="00792CF2">
              <w:rPr>
                <w:rFonts w:cs="Arial"/>
                <w:sz w:val="22"/>
                <w:szCs w:val="22"/>
              </w:rPr>
              <w:t>Debt to CFR</w:t>
            </w:r>
          </w:p>
        </w:tc>
        <w:tc>
          <w:tcPr>
            <w:tcW w:w="1275" w:type="dxa"/>
            <w:gridSpan w:val="2"/>
            <w:vAlign w:val="center"/>
          </w:tcPr>
          <w:p w14:paraId="468A4F53" w14:textId="77777777" w:rsidR="00A70459" w:rsidRPr="00792CF2" w:rsidRDefault="00A70459" w:rsidP="00A70459">
            <w:pPr>
              <w:tabs>
                <w:tab w:val="decimal" w:pos="882"/>
              </w:tabs>
              <w:spacing w:before="120" w:after="120"/>
              <w:jc w:val="center"/>
              <w:rPr>
                <w:caps/>
                <w:sz w:val="20"/>
              </w:rPr>
            </w:pPr>
          </w:p>
          <w:p w14:paraId="43120DA0" w14:textId="77777777" w:rsidR="00A70459" w:rsidRPr="00792CF2" w:rsidRDefault="00A70459" w:rsidP="00A70459">
            <w:pPr>
              <w:tabs>
                <w:tab w:val="decimal" w:pos="882"/>
              </w:tabs>
              <w:spacing w:before="120" w:after="120"/>
              <w:jc w:val="right"/>
              <w:rPr>
                <w:caps/>
                <w:sz w:val="20"/>
              </w:rPr>
            </w:pPr>
            <w:r w:rsidRPr="00792CF2">
              <w:rPr>
                <w:rFonts w:cs="Arial"/>
                <w:b/>
                <w:sz w:val="20"/>
              </w:rPr>
              <w:t>Estimate</w:t>
            </w:r>
          </w:p>
          <w:p w14:paraId="26A1913D" w14:textId="77777777" w:rsidR="00A70459" w:rsidRPr="00792CF2" w:rsidRDefault="006C10DC" w:rsidP="00A70459">
            <w:pPr>
              <w:tabs>
                <w:tab w:val="decimal" w:pos="882"/>
              </w:tabs>
              <w:spacing w:before="120" w:after="120"/>
              <w:jc w:val="right"/>
              <w:rPr>
                <w:caps/>
                <w:sz w:val="20"/>
              </w:rPr>
            </w:pPr>
            <w:r w:rsidRPr="00792CF2">
              <w:rPr>
                <w:caps/>
                <w:sz w:val="20"/>
              </w:rPr>
              <w:t>645</w:t>
            </w:r>
          </w:p>
          <w:p w14:paraId="1F4D8A08" w14:textId="77777777" w:rsidR="00A70459" w:rsidRPr="00792CF2" w:rsidRDefault="00A70459" w:rsidP="00A70459">
            <w:pPr>
              <w:tabs>
                <w:tab w:val="decimal" w:pos="882"/>
              </w:tabs>
              <w:spacing w:before="120" w:after="120"/>
              <w:jc w:val="right"/>
              <w:rPr>
                <w:caps/>
                <w:sz w:val="20"/>
              </w:rPr>
            </w:pPr>
          </w:p>
          <w:p w14:paraId="7CB52992" w14:textId="77777777" w:rsidR="00A70459" w:rsidRPr="00792CF2" w:rsidRDefault="006C10DC" w:rsidP="006C10DC">
            <w:pPr>
              <w:tabs>
                <w:tab w:val="decimal" w:pos="882"/>
              </w:tabs>
              <w:spacing w:before="120" w:after="120"/>
              <w:jc w:val="right"/>
              <w:rPr>
                <w:caps/>
                <w:sz w:val="20"/>
              </w:rPr>
            </w:pPr>
            <w:r w:rsidRPr="00792CF2">
              <w:rPr>
                <w:caps/>
                <w:sz w:val="20"/>
              </w:rPr>
              <w:t>815</w:t>
            </w:r>
          </w:p>
          <w:p w14:paraId="4D08CFFB" w14:textId="77777777" w:rsidR="00A70459" w:rsidRPr="00792CF2" w:rsidRDefault="00292E72" w:rsidP="00A70459">
            <w:pPr>
              <w:tabs>
                <w:tab w:val="decimal" w:pos="882"/>
              </w:tabs>
              <w:spacing w:before="120" w:after="120"/>
              <w:jc w:val="center"/>
              <w:rPr>
                <w:caps/>
                <w:sz w:val="20"/>
              </w:rPr>
            </w:pPr>
            <w:r w:rsidRPr="00792CF2">
              <w:rPr>
                <w:caps/>
                <w:sz w:val="20"/>
              </w:rPr>
              <w:t>126</w:t>
            </w:r>
            <w:r w:rsidR="00A70459" w:rsidRPr="00792CF2">
              <w:rPr>
                <w:caps/>
                <w:sz w:val="20"/>
              </w:rPr>
              <w:t>%</w:t>
            </w:r>
          </w:p>
        </w:tc>
        <w:tc>
          <w:tcPr>
            <w:tcW w:w="1134" w:type="dxa"/>
            <w:gridSpan w:val="2"/>
            <w:vAlign w:val="center"/>
          </w:tcPr>
          <w:p w14:paraId="661FB975" w14:textId="77777777" w:rsidR="00A70459" w:rsidRPr="00792CF2" w:rsidRDefault="00A70459" w:rsidP="00A70459">
            <w:pPr>
              <w:tabs>
                <w:tab w:val="decimal" w:pos="882"/>
              </w:tabs>
              <w:spacing w:before="120" w:after="120"/>
              <w:jc w:val="right"/>
              <w:rPr>
                <w:rFonts w:cs="Arial"/>
                <w:b/>
                <w:color w:val="000000"/>
                <w:sz w:val="20"/>
              </w:rPr>
            </w:pPr>
          </w:p>
          <w:p w14:paraId="6A1A9F35" w14:textId="77777777" w:rsidR="00A70459" w:rsidRPr="00792CF2" w:rsidRDefault="00A70459" w:rsidP="00A70459">
            <w:pPr>
              <w:tabs>
                <w:tab w:val="decimal" w:pos="882"/>
              </w:tabs>
              <w:spacing w:before="120" w:after="120"/>
              <w:jc w:val="right"/>
              <w:rPr>
                <w:caps/>
                <w:sz w:val="20"/>
              </w:rPr>
            </w:pPr>
            <w:r w:rsidRPr="00792CF2">
              <w:rPr>
                <w:rFonts w:cs="Arial"/>
                <w:b/>
                <w:color w:val="000000"/>
                <w:sz w:val="20"/>
              </w:rPr>
              <w:t>Actual</w:t>
            </w:r>
          </w:p>
          <w:p w14:paraId="1A5AAF10" w14:textId="77777777" w:rsidR="00A70459" w:rsidRPr="00453F8E" w:rsidRDefault="00453F8E" w:rsidP="00A70459">
            <w:pPr>
              <w:tabs>
                <w:tab w:val="decimal" w:pos="882"/>
              </w:tabs>
              <w:spacing w:before="120" w:after="120"/>
              <w:jc w:val="center"/>
              <w:rPr>
                <w:caps/>
                <w:sz w:val="20"/>
              </w:rPr>
            </w:pPr>
            <w:r w:rsidRPr="00453F8E">
              <w:rPr>
                <w:caps/>
                <w:sz w:val="20"/>
              </w:rPr>
              <w:t>871</w:t>
            </w:r>
          </w:p>
          <w:p w14:paraId="23FAC77D" w14:textId="77777777" w:rsidR="00A70459" w:rsidRPr="00453F8E" w:rsidRDefault="00A70459" w:rsidP="00A70459">
            <w:pPr>
              <w:tabs>
                <w:tab w:val="decimal" w:pos="882"/>
              </w:tabs>
              <w:spacing w:before="120" w:after="120"/>
              <w:rPr>
                <w:caps/>
                <w:sz w:val="20"/>
              </w:rPr>
            </w:pPr>
          </w:p>
          <w:p w14:paraId="66C3D59B" w14:textId="77777777" w:rsidR="00A70459" w:rsidRPr="00453F8E" w:rsidRDefault="00FB21C1" w:rsidP="00A70459">
            <w:pPr>
              <w:tabs>
                <w:tab w:val="decimal" w:pos="882"/>
              </w:tabs>
              <w:spacing w:before="120" w:after="120"/>
              <w:jc w:val="right"/>
              <w:rPr>
                <w:caps/>
                <w:sz w:val="20"/>
              </w:rPr>
            </w:pPr>
            <w:r w:rsidRPr="00453F8E">
              <w:rPr>
                <w:caps/>
                <w:sz w:val="20"/>
              </w:rPr>
              <w:t>1,00</w:t>
            </w:r>
            <w:r w:rsidR="00B73AFF" w:rsidRPr="00453F8E">
              <w:rPr>
                <w:caps/>
                <w:sz w:val="20"/>
              </w:rPr>
              <w:t>3</w:t>
            </w:r>
          </w:p>
          <w:p w14:paraId="01E69B4A" w14:textId="77777777" w:rsidR="00A70459" w:rsidRPr="00792CF2" w:rsidRDefault="00A70459" w:rsidP="00453F8E">
            <w:pPr>
              <w:tabs>
                <w:tab w:val="decimal" w:pos="882"/>
              </w:tabs>
              <w:spacing w:before="120" w:after="120"/>
              <w:jc w:val="center"/>
              <w:rPr>
                <w:caps/>
                <w:sz w:val="20"/>
              </w:rPr>
            </w:pPr>
            <w:r w:rsidRPr="00453F8E">
              <w:rPr>
                <w:caps/>
                <w:sz w:val="20"/>
              </w:rPr>
              <w:t>1</w:t>
            </w:r>
            <w:r w:rsidR="00453F8E" w:rsidRPr="00453F8E">
              <w:rPr>
                <w:caps/>
                <w:sz w:val="20"/>
              </w:rPr>
              <w:t>15</w:t>
            </w:r>
            <w:r w:rsidRPr="00453F8E">
              <w:rPr>
                <w:caps/>
                <w:sz w:val="20"/>
              </w:rPr>
              <w:t>%</w:t>
            </w:r>
          </w:p>
        </w:tc>
      </w:tr>
      <w:tr w:rsidR="00A70459" w14:paraId="5E5538B2" w14:textId="77777777" w:rsidTr="00C555D5">
        <w:trPr>
          <w:gridBefore w:val="1"/>
          <w:wBefore w:w="108" w:type="dxa"/>
        </w:trPr>
        <w:tc>
          <w:tcPr>
            <w:tcW w:w="9214" w:type="dxa"/>
            <w:gridSpan w:val="7"/>
          </w:tcPr>
          <w:p w14:paraId="5F9E200F" w14:textId="77777777" w:rsidR="00B85DF1" w:rsidRPr="00792CF2" w:rsidRDefault="00B85DF1" w:rsidP="009071F8">
            <w:pPr>
              <w:spacing w:after="120"/>
              <w:contextualSpacing/>
              <w:rPr>
                <w:b/>
                <w:sz w:val="20"/>
              </w:rPr>
            </w:pPr>
          </w:p>
          <w:p w14:paraId="5040C38B" w14:textId="77777777" w:rsidR="00B85DF1" w:rsidRPr="00792CF2" w:rsidRDefault="00B85DF1" w:rsidP="00A70459">
            <w:pPr>
              <w:tabs>
                <w:tab w:val="decimal" w:pos="882"/>
              </w:tabs>
              <w:spacing w:before="120" w:after="120"/>
              <w:rPr>
                <w:rFonts w:cs="Arial"/>
                <w:color w:val="000000"/>
                <w:szCs w:val="24"/>
              </w:rPr>
            </w:pPr>
          </w:p>
          <w:p w14:paraId="2715550D" w14:textId="662932FB" w:rsidR="00615B38" w:rsidRDefault="00615B38" w:rsidP="00453F8E">
            <w:pPr>
              <w:tabs>
                <w:tab w:val="decimal" w:pos="882"/>
              </w:tabs>
              <w:spacing w:before="120" w:after="120"/>
              <w:rPr>
                <w:rFonts w:cs="Arial"/>
                <w:color w:val="000000"/>
                <w:szCs w:val="24"/>
              </w:rPr>
            </w:pPr>
            <w:r>
              <w:rPr>
                <w:rFonts w:cs="Arial"/>
                <w:color w:val="000000"/>
                <w:szCs w:val="24"/>
              </w:rPr>
              <w:t>The actual capital financing and gross debt figures are higher than the estimate as a result of refinancing the waste PFI.</w:t>
            </w:r>
            <w:r w:rsidR="00252A3E">
              <w:rPr>
                <w:rFonts w:cs="Arial"/>
                <w:color w:val="000000"/>
                <w:szCs w:val="24"/>
              </w:rPr>
              <w:t xml:space="preserve">  The estimated gross debt figure will be revised in the 2015/16 Strategy to take into account this refinancing.</w:t>
            </w:r>
          </w:p>
          <w:p w14:paraId="5F9A8FD3" w14:textId="5D748696" w:rsidR="00453F8E" w:rsidRDefault="00A70459" w:rsidP="00453F8E">
            <w:pPr>
              <w:tabs>
                <w:tab w:val="decimal" w:pos="882"/>
              </w:tabs>
              <w:spacing w:before="120" w:after="120"/>
              <w:rPr>
                <w:rFonts w:cs="Arial"/>
                <w:color w:val="000000"/>
                <w:szCs w:val="24"/>
              </w:rPr>
            </w:pPr>
            <w:r w:rsidRPr="00792CF2">
              <w:rPr>
                <w:rFonts w:cs="Arial"/>
                <w:color w:val="000000"/>
                <w:szCs w:val="24"/>
              </w:rPr>
              <w:t xml:space="preserve">Gross borrowing </w:t>
            </w:r>
            <w:r w:rsidR="00792CF2">
              <w:rPr>
                <w:rFonts w:cs="Arial"/>
                <w:color w:val="000000"/>
                <w:szCs w:val="24"/>
              </w:rPr>
              <w:t>is</w:t>
            </w:r>
            <w:r w:rsidRPr="00792CF2">
              <w:rPr>
                <w:rFonts w:cs="Arial"/>
                <w:color w:val="000000"/>
                <w:szCs w:val="24"/>
              </w:rPr>
              <w:t xml:space="preserve"> higher than the capital financing requirement because the shared investment scheme</w:t>
            </w:r>
            <w:r w:rsidR="00615B38">
              <w:rPr>
                <w:rFonts w:cs="Arial"/>
                <w:color w:val="000000"/>
                <w:szCs w:val="24"/>
              </w:rPr>
              <w:t xml:space="preserve"> </w:t>
            </w:r>
            <w:r w:rsidRPr="00792CF2">
              <w:rPr>
                <w:rFonts w:cs="Arial"/>
                <w:color w:val="000000"/>
                <w:szCs w:val="24"/>
              </w:rPr>
              <w:t>is accounted for as borrowing, but it does not form part of the capital financing requirement calculation.</w:t>
            </w:r>
            <w:r w:rsidR="00453F8E">
              <w:rPr>
                <w:rFonts w:cs="Arial"/>
                <w:color w:val="000000"/>
                <w:szCs w:val="24"/>
              </w:rPr>
              <w:t xml:space="preserve"> </w:t>
            </w:r>
          </w:p>
          <w:p w14:paraId="478C73CF" w14:textId="77777777" w:rsidR="00A70459" w:rsidRPr="00792CF2" w:rsidRDefault="00A70459" w:rsidP="00A70459">
            <w:pPr>
              <w:tabs>
                <w:tab w:val="decimal" w:pos="882"/>
              </w:tabs>
              <w:spacing w:before="120" w:after="120"/>
              <w:rPr>
                <w:rFonts w:cs="Arial"/>
                <w:color w:val="000000"/>
                <w:szCs w:val="24"/>
              </w:rPr>
            </w:pPr>
          </w:p>
          <w:p w14:paraId="7243A416" w14:textId="77777777" w:rsidR="00A70459" w:rsidRPr="00792CF2" w:rsidRDefault="00A70459" w:rsidP="00A70459">
            <w:pPr>
              <w:pStyle w:val="ListParagraph"/>
              <w:numPr>
                <w:ilvl w:val="0"/>
                <w:numId w:val="13"/>
              </w:numPr>
              <w:spacing w:after="120"/>
              <w:rPr>
                <w:szCs w:val="24"/>
              </w:rPr>
            </w:pPr>
            <w:r w:rsidRPr="00792CF2">
              <w:rPr>
                <w:b/>
                <w:szCs w:val="24"/>
              </w:rPr>
              <w:t>Treasury Management Indicators</w:t>
            </w:r>
          </w:p>
          <w:p w14:paraId="27FAE2AB" w14:textId="77777777" w:rsidR="00A70459" w:rsidRPr="00792CF2" w:rsidRDefault="00A70459" w:rsidP="00A70459">
            <w:pPr>
              <w:spacing w:after="120"/>
              <w:ind w:left="34"/>
              <w:rPr>
                <w:szCs w:val="24"/>
              </w:rPr>
            </w:pPr>
            <w:r w:rsidRPr="00792CF2">
              <w:rPr>
                <w:szCs w:val="24"/>
              </w:rPr>
              <w:t>The following indicators are set as part of adopting the treasury management code</w:t>
            </w:r>
            <w:r w:rsidR="005615BD">
              <w:rPr>
                <w:szCs w:val="24"/>
              </w:rPr>
              <w:t>.</w:t>
            </w:r>
          </w:p>
          <w:p w14:paraId="5ED68B91" w14:textId="77777777" w:rsidR="00A70459" w:rsidRPr="00792CF2" w:rsidRDefault="00A70459" w:rsidP="00A70459">
            <w:pPr>
              <w:spacing w:after="120"/>
              <w:ind w:left="34"/>
              <w:rPr>
                <w:szCs w:val="24"/>
              </w:rPr>
            </w:pPr>
            <w:r w:rsidRPr="00792CF2">
              <w:rPr>
                <w:szCs w:val="24"/>
              </w:rPr>
              <w:t>The code states that local authorities should have regard to the following treasury indicators.</w:t>
            </w:r>
          </w:p>
          <w:p w14:paraId="67B52485" w14:textId="77777777" w:rsidR="00A70459" w:rsidRPr="00792CF2" w:rsidRDefault="00A70459" w:rsidP="00A70459">
            <w:pPr>
              <w:rPr>
                <w:szCs w:val="24"/>
              </w:rPr>
            </w:pPr>
            <w:r w:rsidRPr="00792CF2">
              <w:rPr>
                <w:szCs w:val="24"/>
              </w:rPr>
              <w:t xml:space="preserve">A comparison of the agreed indicators and the actual position at </w:t>
            </w:r>
            <w:r w:rsidR="003C22EB" w:rsidRPr="00792CF2">
              <w:rPr>
                <w:szCs w:val="24"/>
              </w:rPr>
              <w:t xml:space="preserve">31 August 2014 </w:t>
            </w:r>
            <w:r w:rsidRPr="00792CF2">
              <w:rPr>
                <w:szCs w:val="24"/>
              </w:rPr>
              <w:t>is set out below.</w:t>
            </w:r>
          </w:p>
          <w:p w14:paraId="2B470345" w14:textId="77777777" w:rsidR="00A70459" w:rsidRPr="00792CF2" w:rsidRDefault="00A70459" w:rsidP="00A70459">
            <w:pPr>
              <w:rPr>
                <w:szCs w:val="24"/>
              </w:rPr>
            </w:pPr>
          </w:p>
        </w:tc>
      </w:tr>
    </w:tbl>
    <w:p w14:paraId="066CDB36" w14:textId="77777777" w:rsidR="00B0217B" w:rsidRPr="00424AA5" w:rsidRDefault="00B0217B" w:rsidP="00424AA5">
      <w:pPr>
        <w:pStyle w:val="ListParagraph"/>
        <w:numPr>
          <w:ilvl w:val="0"/>
          <w:numId w:val="11"/>
        </w:numPr>
        <w:ind w:left="0" w:firstLine="0"/>
        <w:rPr>
          <w:rFonts w:cs="Arial"/>
          <w:b/>
          <w:color w:val="000000"/>
          <w:sz w:val="22"/>
        </w:rPr>
      </w:pPr>
      <w:r w:rsidRPr="00424AA5">
        <w:rPr>
          <w:rFonts w:cs="Arial"/>
          <w:b/>
          <w:color w:val="000000"/>
          <w:sz w:val="22"/>
        </w:rPr>
        <w:t>Interest rate exposure</w:t>
      </w:r>
    </w:p>
    <w:tbl>
      <w:tblPr>
        <w:tblW w:w="0" w:type="auto"/>
        <w:jc w:val="center"/>
        <w:tblLook w:val="04A0" w:firstRow="1" w:lastRow="0" w:firstColumn="1" w:lastColumn="0" w:noHBand="0" w:noVBand="1"/>
      </w:tblPr>
      <w:tblGrid>
        <w:gridCol w:w="2995"/>
        <w:gridCol w:w="1601"/>
        <w:gridCol w:w="1601"/>
        <w:gridCol w:w="1601"/>
      </w:tblGrid>
      <w:tr w:rsidR="00B0217B" w:rsidRPr="00455EBD" w14:paraId="4EA72E8C" w14:textId="77777777" w:rsidTr="00F37C68">
        <w:trPr>
          <w:trHeight w:val="377"/>
          <w:jc w:val="center"/>
        </w:trPr>
        <w:tc>
          <w:tcPr>
            <w:tcW w:w="2995" w:type="dxa"/>
          </w:tcPr>
          <w:p w14:paraId="1922523A" w14:textId="77777777" w:rsidR="00B0217B" w:rsidRPr="00F37C68" w:rsidRDefault="00B0217B" w:rsidP="00B0217B">
            <w:pPr>
              <w:rPr>
                <w:rFonts w:cs="Arial"/>
                <w:color w:val="000000"/>
                <w:sz w:val="20"/>
              </w:rPr>
            </w:pPr>
          </w:p>
        </w:tc>
        <w:tc>
          <w:tcPr>
            <w:tcW w:w="1601" w:type="dxa"/>
            <w:vAlign w:val="center"/>
          </w:tcPr>
          <w:p w14:paraId="54B949F8" w14:textId="77777777" w:rsidR="00B0217B" w:rsidRPr="00F37C68" w:rsidRDefault="00B0217B" w:rsidP="00F37C68">
            <w:pPr>
              <w:jc w:val="center"/>
              <w:rPr>
                <w:rFonts w:cs="Arial"/>
                <w:b/>
                <w:color w:val="000000"/>
                <w:sz w:val="20"/>
              </w:rPr>
            </w:pPr>
            <w:r w:rsidRPr="00F37C68">
              <w:rPr>
                <w:rFonts w:cs="Arial"/>
                <w:b/>
                <w:color w:val="000000"/>
                <w:sz w:val="20"/>
              </w:rPr>
              <w:t>Upper limit</w:t>
            </w:r>
          </w:p>
        </w:tc>
        <w:tc>
          <w:tcPr>
            <w:tcW w:w="1601" w:type="dxa"/>
            <w:vAlign w:val="center"/>
          </w:tcPr>
          <w:p w14:paraId="63579332" w14:textId="77777777" w:rsidR="00B0217B" w:rsidRPr="00F37C68" w:rsidRDefault="00B0217B" w:rsidP="00F37C68">
            <w:pPr>
              <w:jc w:val="center"/>
              <w:rPr>
                <w:rFonts w:cs="Arial"/>
                <w:b/>
                <w:color w:val="000000"/>
                <w:sz w:val="20"/>
              </w:rPr>
            </w:pPr>
            <w:r w:rsidRPr="00F37C68">
              <w:rPr>
                <w:rFonts w:cs="Arial"/>
                <w:b/>
                <w:color w:val="000000"/>
                <w:sz w:val="20"/>
              </w:rPr>
              <w:t>Actual</w:t>
            </w:r>
          </w:p>
        </w:tc>
        <w:tc>
          <w:tcPr>
            <w:tcW w:w="1601" w:type="dxa"/>
          </w:tcPr>
          <w:p w14:paraId="31B6D8C8" w14:textId="77777777" w:rsidR="00B0217B" w:rsidRPr="00F37C68" w:rsidRDefault="00B0217B" w:rsidP="00F37C68">
            <w:pPr>
              <w:jc w:val="center"/>
              <w:rPr>
                <w:rFonts w:cs="Arial"/>
                <w:b/>
                <w:color w:val="000000"/>
                <w:sz w:val="20"/>
              </w:rPr>
            </w:pPr>
          </w:p>
        </w:tc>
      </w:tr>
      <w:tr w:rsidR="00B0217B" w:rsidRPr="00B81A6B" w14:paraId="6D469458" w14:textId="77777777" w:rsidTr="00F37C68">
        <w:trPr>
          <w:trHeight w:val="377"/>
          <w:jc w:val="center"/>
        </w:trPr>
        <w:tc>
          <w:tcPr>
            <w:tcW w:w="2995" w:type="dxa"/>
          </w:tcPr>
          <w:p w14:paraId="7EB18C0B" w14:textId="77777777" w:rsidR="00B0217B" w:rsidRPr="00F37C68" w:rsidRDefault="00B0217B" w:rsidP="00B0217B">
            <w:pPr>
              <w:rPr>
                <w:rFonts w:cs="Arial"/>
                <w:color w:val="000000"/>
                <w:sz w:val="20"/>
              </w:rPr>
            </w:pPr>
          </w:p>
        </w:tc>
        <w:tc>
          <w:tcPr>
            <w:tcW w:w="1601" w:type="dxa"/>
            <w:vAlign w:val="center"/>
          </w:tcPr>
          <w:p w14:paraId="7C56845E" w14:textId="77777777" w:rsidR="00B0217B" w:rsidRPr="00F37C68" w:rsidRDefault="00B0217B" w:rsidP="00F37C68">
            <w:pPr>
              <w:jc w:val="center"/>
              <w:rPr>
                <w:rFonts w:cs="Arial"/>
                <w:b/>
                <w:color w:val="000000"/>
                <w:sz w:val="20"/>
              </w:rPr>
            </w:pPr>
            <w:r w:rsidRPr="00F37C68">
              <w:rPr>
                <w:rFonts w:cs="Arial"/>
                <w:b/>
                <w:color w:val="000000"/>
                <w:sz w:val="20"/>
              </w:rPr>
              <w:t>£m</w:t>
            </w:r>
          </w:p>
        </w:tc>
        <w:tc>
          <w:tcPr>
            <w:tcW w:w="1601" w:type="dxa"/>
          </w:tcPr>
          <w:p w14:paraId="1E210C73" w14:textId="77777777" w:rsidR="00B0217B" w:rsidRPr="00F37C68" w:rsidRDefault="00B0217B" w:rsidP="00F37C68">
            <w:pPr>
              <w:jc w:val="center"/>
              <w:rPr>
                <w:rFonts w:cs="Arial"/>
                <w:b/>
                <w:color w:val="000000"/>
                <w:sz w:val="20"/>
              </w:rPr>
            </w:pPr>
            <w:r w:rsidRPr="00F37C68">
              <w:rPr>
                <w:rFonts w:cs="Arial"/>
                <w:b/>
                <w:color w:val="000000"/>
                <w:sz w:val="20"/>
              </w:rPr>
              <w:t>£m</w:t>
            </w:r>
          </w:p>
        </w:tc>
        <w:tc>
          <w:tcPr>
            <w:tcW w:w="1601" w:type="dxa"/>
          </w:tcPr>
          <w:p w14:paraId="74E76CD1" w14:textId="77777777" w:rsidR="00B0217B" w:rsidRPr="00F37C68" w:rsidRDefault="00B0217B" w:rsidP="00F37C68">
            <w:pPr>
              <w:jc w:val="center"/>
              <w:rPr>
                <w:rFonts w:cs="Arial"/>
                <w:b/>
                <w:color w:val="000000"/>
                <w:sz w:val="20"/>
              </w:rPr>
            </w:pPr>
          </w:p>
        </w:tc>
      </w:tr>
      <w:tr w:rsidR="00B0217B" w:rsidRPr="00C8495F" w14:paraId="5D3175BB" w14:textId="77777777" w:rsidTr="00F37C68">
        <w:trPr>
          <w:trHeight w:val="377"/>
          <w:jc w:val="center"/>
        </w:trPr>
        <w:tc>
          <w:tcPr>
            <w:tcW w:w="2995" w:type="dxa"/>
          </w:tcPr>
          <w:p w14:paraId="47B5EF13" w14:textId="77777777" w:rsidR="00B0217B" w:rsidRPr="007D5CE4" w:rsidRDefault="001F487D" w:rsidP="00F37C68">
            <w:pPr>
              <w:ind w:right="-744"/>
              <w:rPr>
                <w:rFonts w:cs="Arial"/>
                <w:color w:val="000000"/>
                <w:sz w:val="20"/>
              </w:rPr>
            </w:pPr>
            <w:r w:rsidRPr="007D5CE4">
              <w:rPr>
                <w:rFonts w:cs="Arial"/>
                <w:color w:val="000000"/>
                <w:sz w:val="20"/>
              </w:rPr>
              <w:t xml:space="preserve">Net Interest Payable </w:t>
            </w:r>
            <w:r w:rsidR="00B0217B" w:rsidRPr="007D5CE4">
              <w:rPr>
                <w:rFonts w:cs="Arial"/>
                <w:color w:val="000000"/>
                <w:sz w:val="20"/>
              </w:rPr>
              <w:t>Fixed rate</w:t>
            </w:r>
          </w:p>
        </w:tc>
        <w:tc>
          <w:tcPr>
            <w:tcW w:w="1601" w:type="dxa"/>
          </w:tcPr>
          <w:p w14:paraId="29A19687" w14:textId="77777777" w:rsidR="00B0217B" w:rsidRPr="007D5CE4" w:rsidRDefault="002F0B22" w:rsidP="00F37C68">
            <w:pPr>
              <w:jc w:val="center"/>
              <w:rPr>
                <w:rFonts w:cs="Arial"/>
                <w:color w:val="000000"/>
                <w:sz w:val="20"/>
              </w:rPr>
            </w:pPr>
            <w:r w:rsidRPr="007D5CE4">
              <w:rPr>
                <w:rFonts w:cs="Arial"/>
                <w:color w:val="000000"/>
                <w:sz w:val="20"/>
              </w:rPr>
              <w:t>37.6</w:t>
            </w:r>
          </w:p>
        </w:tc>
        <w:tc>
          <w:tcPr>
            <w:tcW w:w="1601" w:type="dxa"/>
          </w:tcPr>
          <w:p w14:paraId="37187EBA" w14:textId="77777777" w:rsidR="00B0217B" w:rsidRPr="007D5CE4" w:rsidRDefault="007D5CE4" w:rsidP="00F37C68">
            <w:pPr>
              <w:jc w:val="center"/>
              <w:rPr>
                <w:rFonts w:cs="Arial"/>
                <w:color w:val="000000"/>
                <w:sz w:val="20"/>
              </w:rPr>
            </w:pPr>
            <w:r w:rsidRPr="007D5CE4">
              <w:rPr>
                <w:rFonts w:cs="Arial"/>
                <w:color w:val="000000"/>
                <w:sz w:val="20"/>
              </w:rPr>
              <w:t>5.5</w:t>
            </w:r>
          </w:p>
        </w:tc>
        <w:tc>
          <w:tcPr>
            <w:tcW w:w="1601" w:type="dxa"/>
          </w:tcPr>
          <w:p w14:paraId="41C27C90" w14:textId="77777777" w:rsidR="00B0217B" w:rsidRPr="00F37C68" w:rsidRDefault="00B0217B" w:rsidP="00F37C68">
            <w:pPr>
              <w:jc w:val="center"/>
              <w:rPr>
                <w:rFonts w:cs="Arial"/>
                <w:color w:val="000000"/>
                <w:sz w:val="20"/>
              </w:rPr>
            </w:pPr>
          </w:p>
        </w:tc>
      </w:tr>
      <w:tr w:rsidR="00B0217B" w:rsidRPr="00C8495F" w14:paraId="25625CF1" w14:textId="77777777" w:rsidTr="00F37C68">
        <w:trPr>
          <w:trHeight w:val="377"/>
          <w:jc w:val="center"/>
        </w:trPr>
        <w:tc>
          <w:tcPr>
            <w:tcW w:w="2995" w:type="dxa"/>
          </w:tcPr>
          <w:p w14:paraId="4D7E6378" w14:textId="77777777" w:rsidR="00B0217B" w:rsidRPr="007D5CE4" w:rsidRDefault="001F487D" w:rsidP="001F487D">
            <w:pPr>
              <w:rPr>
                <w:rFonts w:cs="Arial"/>
                <w:color w:val="000000"/>
                <w:sz w:val="20"/>
              </w:rPr>
            </w:pPr>
            <w:r w:rsidRPr="007D5CE4">
              <w:rPr>
                <w:rFonts w:cs="Arial"/>
                <w:color w:val="000000"/>
                <w:sz w:val="20"/>
              </w:rPr>
              <w:t>Net Interest Payable Var</w:t>
            </w:r>
            <w:r w:rsidR="00A50194" w:rsidRPr="007D5CE4">
              <w:rPr>
                <w:rFonts w:cs="Arial"/>
                <w:color w:val="000000"/>
                <w:sz w:val="20"/>
              </w:rPr>
              <w:t>iable</w:t>
            </w:r>
            <w:r w:rsidR="00B0217B" w:rsidRPr="007D5CE4">
              <w:rPr>
                <w:rFonts w:cs="Arial"/>
                <w:color w:val="000000"/>
                <w:sz w:val="20"/>
              </w:rPr>
              <w:t xml:space="preserve"> rate</w:t>
            </w:r>
          </w:p>
          <w:p w14:paraId="04BAD8F3" w14:textId="77777777" w:rsidR="002F0B22" w:rsidRPr="007D5CE4" w:rsidRDefault="002F0B22" w:rsidP="001F487D">
            <w:pPr>
              <w:rPr>
                <w:rFonts w:cs="Arial"/>
                <w:color w:val="000000"/>
                <w:sz w:val="20"/>
              </w:rPr>
            </w:pPr>
          </w:p>
        </w:tc>
        <w:tc>
          <w:tcPr>
            <w:tcW w:w="1601" w:type="dxa"/>
          </w:tcPr>
          <w:p w14:paraId="0F219A67" w14:textId="77777777" w:rsidR="00B0217B" w:rsidRPr="007D5CE4" w:rsidRDefault="002F0B22" w:rsidP="00F37C68">
            <w:pPr>
              <w:jc w:val="center"/>
              <w:rPr>
                <w:rFonts w:cs="Arial"/>
                <w:color w:val="000000"/>
                <w:sz w:val="20"/>
              </w:rPr>
            </w:pPr>
            <w:r w:rsidRPr="007D5CE4">
              <w:rPr>
                <w:rFonts w:cs="Arial"/>
                <w:color w:val="000000"/>
                <w:sz w:val="20"/>
              </w:rPr>
              <w:t>5.0</w:t>
            </w:r>
          </w:p>
        </w:tc>
        <w:tc>
          <w:tcPr>
            <w:tcW w:w="1601" w:type="dxa"/>
          </w:tcPr>
          <w:p w14:paraId="172D16C5" w14:textId="77777777" w:rsidR="00B0217B" w:rsidRPr="007D5CE4" w:rsidRDefault="002F0B22" w:rsidP="00F37C68">
            <w:pPr>
              <w:jc w:val="center"/>
              <w:rPr>
                <w:rFonts w:cs="Arial"/>
                <w:color w:val="000000"/>
                <w:sz w:val="20"/>
              </w:rPr>
            </w:pPr>
            <w:r w:rsidRPr="007D5CE4">
              <w:rPr>
                <w:rFonts w:cs="Arial"/>
                <w:color w:val="000000"/>
                <w:sz w:val="20"/>
              </w:rPr>
              <w:t xml:space="preserve"> 1.</w:t>
            </w:r>
            <w:r w:rsidR="007D5CE4" w:rsidRPr="007D5CE4">
              <w:rPr>
                <w:rFonts w:cs="Arial"/>
                <w:color w:val="000000"/>
                <w:sz w:val="20"/>
              </w:rPr>
              <w:t>6</w:t>
            </w:r>
          </w:p>
        </w:tc>
        <w:tc>
          <w:tcPr>
            <w:tcW w:w="1601" w:type="dxa"/>
          </w:tcPr>
          <w:p w14:paraId="37CF43A2" w14:textId="77777777" w:rsidR="00B0217B" w:rsidRPr="00F37C68" w:rsidRDefault="00B0217B" w:rsidP="00F37C68">
            <w:pPr>
              <w:jc w:val="center"/>
              <w:rPr>
                <w:rFonts w:cs="Arial"/>
                <w:color w:val="000000"/>
                <w:sz w:val="20"/>
              </w:rPr>
            </w:pPr>
          </w:p>
        </w:tc>
      </w:tr>
      <w:tr w:rsidR="002F0B22" w:rsidRPr="00C8495F" w14:paraId="6AB59176" w14:textId="77777777" w:rsidTr="00F37C68">
        <w:trPr>
          <w:trHeight w:val="377"/>
          <w:jc w:val="center"/>
        </w:trPr>
        <w:tc>
          <w:tcPr>
            <w:tcW w:w="2995" w:type="dxa"/>
          </w:tcPr>
          <w:p w14:paraId="49946124" w14:textId="77777777" w:rsidR="002F0B22" w:rsidRPr="007D5CE4" w:rsidRDefault="002F0B22" w:rsidP="001F487D">
            <w:pPr>
              <w:rPr>
                <w:rFonts w:cs="Arial"/>
                <w:color w:val="000000"/>
                <w:sz w:val="20"/>
              </w:rPr>
            </w:pPr>
            <w:r w:rsidRPr="007D5CE4">
              <w:rPr>
                <w:rFonts w:cs="Arial"/>
                <w:color w:val="000000"/>
                <w:sz w:val="20"/>
              </w:rPr>
              <w:t>1yr impact of 1% rise</w:t>
            </w:r>
          </w:p>
        </w:tc>
        <w:tc>
          <w:tcPr>
            <w:tcW w:w="1601" w:type="dxa"/>
          </w:tcPr>
          <w:p w14:paraId="5C5F88E1" w14:textId="77777777" w:rsidR="002F0B22" w:rsidRPr="007D5CE4" w:rsidRDefault="002F0B22" w:rsidP="00F37C68">
            <w:pPr>
              <w:jc w:val="center"/>
              <w:rPr>
                <w:rFonts w:cs="Arial"/>
                <w:color w:val="000000"/>
                <w:sz w:val="20"/>
              </w:rPr>
            </w:pPr>
            <w:r w:rsidRPr="007D5CE4">
              <w:rPr>
                <w:rFonts w:cs="Arial"/>
                <w:color w:val="000000"/>
                <w:sz w:val="20"/>
              </w:rPr>
              <w:t>25.0</w:t>
            </w:r>
          </w:p>
        </w:tc>
        <w:tc>
          <w:tcPr>
            <w:tcW w:w="1601" w:type="dxa"/>
          </w:tcPr>
          <w:p w14:paraId="581301AB" w14:textId="77777777" w:rsidR="002F0B22" w:rsidRPr="007D5CE4" w:rsidRDefault="007D5CE4" w:rsidP="00F37C68">
            <w:pPr>
              <w:jc w:val="center"/>
              <w:rPr>
                <w:rFonts w:cs="Arial"/>
                <w:color w:val="000000"/>
                <w:sz w:val="20"/>
              </w:rPr>
            </w:pPr>
            <w:r w:rsidRPr="007D5CE4">
              <w:rPr>
                <w:rFonts w:cs="Arial"/>
                <w:color w:val="000000"/>
                <w:sz w:val="20"/>
              </w:rPr>
              <w:t>1.7</w:t>
            </w:r>
          </w:p>
          <w:p w14:paraId="6C33E678" w14:textId="77777777" w:rsidR="00B61EAB" w:rsidRPr="007D5CE4" w:rsidRDefault="00B61EAB" w:rsidP="00F37C68">
            <w:pPr>
              <w:jc w:val="center"/>
              <w:rPr>
                <w:rFonts w:cs="Arial"/>
                <w:color w:val="000000"/>
                <w:sz w:val="20"/>
              </w:rPr>
            </w:pPr>
          </w:p>
        </w:tc>
        <w:tc>
          <w:tcPr>
            <w:tcW w:w="1601" w:type="dxa"/>
          </w:tcPr>
          <w:p w14:paraId="1E1D7245" w14:textId="77777777" w:rsidR="002F0B22" w:rsidRPr="00F37C68" w:rsidRDefault="002F0B22" w:rsidP="00F37C68">
            <w:pPr>
              <w:jc w:val="center"/>
              <w:rPr>
                <w:rFonts w:cs="Arial"/>
                <w:color w:val="000000"/>
                <w:sz w:val="20"/>
              </w:rPr>
            </w:pPr>
          </w:p>
        </w:tc>
      </w:tr>
    </w:tbl>
    <w:p w14:paraId="529A583F" w14:textId="77777777" w:rsidR="00424AA5" w:rsidRPr="00C8495F" w:rsidRDefault="00424AA5" w:rsidP="00D369EF"/>
    <w:tbl>
      <w:tblPr>
        <w:tblW w:w="12222" w:type="dxa"/>
        <w:tblInd w:w="108" w:type="dxa"/>
        <w:tblLayout w:type="fixed"/>
        <w:tblLook w:val="0000" w:firstRow="0" w:lastRow="0" w:firstColumn="0" w:lastColumn="0" w:noHBand="0" w:noVBand="0"/>
      </w:tblPr>
      <w:tblGrid>
        <w:gridCol w:w="9214"/>
        <w:gridCol w:w="1764"/>
        <w:gridCol w:w="1244"/>
      </w:tblGrid>
      <w:tr w:rsidR="006C25A0" w:rsidRPr="00C8495F" w14:paraId="1499CF94" w14:textId="77777777" w:rsidTr="00455EBD">
        <w:tc>
          <w:tcPr>
            <w:tcW w:w="9214" w:type="dxa"/>
          </w:tcPr>
          <w:p w14:paraId="063856CF" w14:textId="77777777" w:rsidR="006C25A0" w:rsidRPr="00B61EAB" w:rsidRDefault="006C25A0" w:rsidP="00424AA5">
            <w:pPr>
              <w:pStyle w:val="ListParagraph"/>
              <w:numPr>
                <w:ilvl w:val="0"/>
                <w:numId w:val="11"/>
              </w:numPr>
              <w:spacing w:after="120"/>
              <w:ind w:left="34" w:hanging="34"/>
              <w:rPr>
                <w:b/>
                <w:sz w:val="22"/>
              </w:rPr>
            </w:pPr>
            <w:r w:rsidRPr="00B61EAB">
              <w:rPr>
                <w:b/>
                <w:sz w:val="22"/>
              </w:rPr>
              <w:t>Maturity structure of debt</w:t>
            </w:r>
          </w:p>
        </w:tc>
        <w:tc>
          <w:tcPr>
            <w:tcW w:w="1764" w:type="dxa"/>
          </w:tcPr>
          <w:p w14:paraId="3A670895" w14:textId="77777777" w:rsidR="006C25A0" w:rsidRPr="00C8495F" w:rsidRDefault="006C25A0" w:rsidP="00455EBD">
            <w:pPr>
              <w:tabs>
                <w:tab w:val="decimal" w:pos="882"/>
              </w:tabs>
              <w:spacing w:after="240"/>
              <w:rPr>
                <w:caps/>
                <w:sz w:val="20"/>
              </w:rPr>
            </w:pPr>
          </w:p>
        </w:tc>
        <w:tc>
          <w:tcPr>
            <w:tcW w:w="1244" w:type="dxa"/>
          </w:tcPr>
          <w:p w14:paraId="1DC11D9D" w14:textId="77777777" w:rsidR="006C25A0" w:rsidRPr="00C8495F" w:rsidRDefault="006C25A0" w:rsidP="00455EBD">
            <w:pPr>
              <w:tabs>
                <w:tab w:val="decimal" w:pos="882"/>
              </w:tabs>
              <w:spacing w:after="240"/>
              <w:rPr>
                <w:caps/>
                <w:sz w:val="20"/>
              </w:rPr>
            </w:pPr>
          </w:p>
        </w:tc>
      </w:tr>
      <w:tr w:rsidR="006C25A0" w:rsidRPr="00916423" w14:paraId="35017A6C" w14:textId="77777777" w:rsidTr="00455EBD">
        <w:trPr>
          <w:cantSplit/>
        </w:trPr>
        <w:tc>
          <w:tcPr>
            <w:tcW w:w="12222" w:type="dxa"/>
            <w:gridSpan w:val="3"/>
          </w:tcPr>
          <w:tbl>
            <w:tblPr>
              <w:tblpPr w:leftFromText="180" w:rightFromText="180" w:vertAnchor="page" w:horzAnchor="page" w:tblpX="943" w:tblpY="1"/>
              <w:tblW w:w="0" w:type="auto"/>
              <w:tblLayout w:type="fixed"/>
              <w:tblLook w:val="04A0" w:firstRow="1" w:lastRow="0" w:firstColumn="1" w:lastColumn="0" w:noHBand="0" w:noVBand="1"/>
            </w:tblPr>
            <w:tblGrid>
              <w:gridCol w:w="2837"/>
              <w:gridCol w:w="1701"/>
              <w:gridCol w:w="1559"/>
              <w:gridCol w:w="1701"/>
            </w:tblGrid>
            <w:tr w:rsidR="006C25A0" w:rsidRPr="00C8495F" w14:paraId="66311100" w14:textId="77777777" w:rsidTr="00F37C68">
              <w:tc>
                <w:tcPr>
                  <w:tcW w:w="2837" w:type="dxa"/>
                </w:tcPr>
                <w:p w14:paraId="6BBD1570" w14:textId="77777777" w:rsidR="006C25A0" w:rsidRPr="00F37C68" w:rsidRDefault="006C25A0" w:rsidP="00F37C68">
                  <w:pPr>
                    <w:tabs>
                      <w:tab w:val="left" w:pos="342"/>
                    </w:tabs>
                    <w:spacing w:after="120"/>
                    <w:rPr>
                      <w:sz w:val="20"/>
                    </w:rPr>
                  </w:pPr>
                </w:p>
              </w:tc>
              <w:tc>
                <w:tcPr>
                  <w:tcW w:w="1701" w:type="dxa"/>
                </w:tcPr>
                <w:p w14:paraId="4FEC5E20" w14:textId="77777777" w:rsidR="006C25A0" w:rsidRPr="00F37C68" w:rsidRDefault="006C25A0" w:rsidP="00F37C68">
                  <w:pPr>
                    <w:tabs>
                      <w:tab w:val="left" w:pos="342"/>
                    </w:tabs>
                    <w:spacing w:after="120"/>
                    <w:jc w:val="center"/>
                    <w:rPr>
                      <w:sz w:val="20"/>
                    </w:rPr>
                  </w:pPr>
                  <w:r w:rsidRPr="00F37C68">
                    <w:rPr>
                      <w:sz w:val="20"/>
                    </w:rPr>
                    <w:t>Lower Limit %</w:t>
                  </w:r>
                </w:p>
              </w:tc>
              <w:tc>
                <w:tcPr>
                  <w:tcW w:w="1559" w:type="dxa"/>
                </w:tcPr>
                <w:p w14:paraId="39E3D5F4" w14:textId="77777777" w:rsidR="006C25A0" w:rsidRPr="00F37C68" w:rsidRDefault="006C25A0" w:rsidP="00F37C68">
                  <w:pPr>
                    <w:tabs>
                      <w:tab w:val="left" w:pos="342"/>
                    </w:tabs>
                    <w:spacing w:after="120"/>
                    <w:jc w:val="center"/>
                    <w:rPr>
                      <w:sz w:val="20"/>
                    </w:rPr>
                  </w:pPr>
                  <w:r w:rsidRPr="00F37C68">
                    <w:rPr>
                      <w:sz w:val="20"/>
                    </w:rPr>
                    <w:t>Upper Limit %</w:t>
                  </w:r>
                </w:p>
              </w:tc>
              <w:tc>
                <w:tcPr>
                  <w:tcW w:w="1701" w:type="dxa"/>
                </w:tcPr>
                <w:p w14:paraId="7493D3CB" w14:textId="77777777" w:rsidR="006C25A0" w:rsidRPr="00F37C68" w:rsidRDefault="006C25A0" w:rsidP="00F37C68">
                  <w:pPr>
                    <w:tabs>
                      <w:tab w:val="left" w:pos="342"/>
                    </w:tabs>
                    <w:spacing w:after="120"/>
                    <w:jc w:val="center"/>
                    <w:rPr>
                      <w:sz w:val="20"/>
                    </w:rPr>
                  </w:pPr>
                  <w:r w:rsidRPr="00F37C68">
                    <w:rPr>
                      <w:sz w:val="20"/>
                    </w:rPr>
                    <w:t>Actual %</w:t>
                  </w:r>
                </w:p>
              </w:tc>
            </w:tr>
            <w:tr w:rsidR="006C25A0" w:rsidRPr="00C8495F" w14:paraId="431FDFA4" w14:textId="77777777" w:rsidTr="00F37C68">
              <w:tc>
                <w:tcPr>
                  <w:tcW w:w="2837" w:type="dxa"/>
                </w:tcPr>
                <w:p w14:paraId="03660964" w14:textId="77777777" w:rsidR="006C25A0" w:rsidRPr="00F37C68" w:rsidRDefault="006C25A0" w:rsidP="00F37C68">
                  <w:pPr>
                    <w:tabs>
                      <w:tab w:val="left" w:pos="342"/>
                    </w:tabs>
                    <w:spacing w:after="120"/>
                    <w:rPr>
                      <w:sz w:val="20"/>
                    </w:rPr>
                  </w:pPr>
                  <w:r w:rsidRPr="00F37C68">
                    <w:rPr>
                      <w:sz w:val="20"/>
                    </w:rPr>
                    <w:lastRenderedPageBreak/>
                    <w:t>Under 12 months</w:t>
                  </w:r>
                </w:p>
              </w:tc>
              <w:tc>
                <w:tcPr>
                  <w:tcW w:w="1701" w:type="dxa"/>
                </w:tcPr>
                <w:p w14:paraId="7C82F360" w14:textId="77777777" w:rsidR="006C25A0" w:rsidRPr="00F37C68" w:rsidRDefault="006C25A0" w:rsidP="00F37C68">
                  <w:pPr>
                    <w:tabs>
                      <w:tab w:val="left" w:pos="342"/>
                    </w:tabs>
                    <w:spacing w:after="120"/>
                    <w:jc w:val="center"/>
                    <w:rPr>
                      <w:sz w:val="20"/>
                    </w:rPr>
                  </w:pPr>
                </w:p>
              </w:tc>
              <w:tc>
                <w:tcPr>
                  <w:tcW w:w="1559" w:type="dxa"/>
                </w:tcPr>
                <w:p w14:paraId="46BFB6F7" w14:textId="77777777" w:rsidR="006C25A0" w:rsidRPr="00F37C68" w:rsidRDefault="006C25A0" w:rsidP="00F37C68">
                  <w:pPr>
                    <w:tabs>
                      <w:tab w:val="left" w:pos="342"/>
                    </w:tabs>
                    <w:spacing w:after="120"/>
                    <w:jc w:val="center"/>
                    <w:rPr>
                      <w:sz w:val="20"/>
                    </w:rPr>
                  </w:pPr>
                  <w:r w:rsidRPr="00F37C68">
                    <w:rPr>
                      <w:sz w:val="20"/>
                    </w:rPr>
                    <w:t>75</w:t>
                  </w:r>
                </w:p>
              </w:tc>
              <w:tc>
                <w:tcPr>
                  <w:tcW w:w="1701" w:type="dxa"/>
                </w:tcPr>
                <w:p w14:paraId="43DAFCC5" w14:textId="77777777" w:rsidR="006C25A0" w:rsidRPr="007D5CE4" w:rsidRDefault="007D5CE4" w:rsidP="00F37C68">
                  <w:pPr>
                    <w:tabs>
                      <w:tab w:val="left" w:pos="342"/>
                    </w:tabs>
                    <w:spacing w:after="120"/>
                    <w:jc w:val="center"/>
                    <w:rPr>
                      <w:sz w:val="20"/>
                    </w:rPr>
                  </w:pPr>
                  <w:r w:rsidRPr="007D5CE4">
                    <w:rPr>
                      <w:sz w:val="20"/>
                    </w:rPr>
                    <w:t>43</w:t>
                  </w:r>
                </w:p>
              </w:tc>
            </w:tr>
            <w:tr w:rsidR="006C25A0" w:rsidRPr="00C8495F" w14:paraId="74C23C1F" w14:textId="77777777" w:rsidTr="00F37C68">
              <w:tc>
                <w:tcPr>
                  <w:tcW w:w="2837" w:type="dxa"/>
                </w:tcPr>
                <w:p w14:paraId="38D37AC2" w14:textId="77777777" w:rsidR="006C25A0" w:rsidRPr="00F37C68" w:rsidRDefault="006C25A0" w:rsidP="00F37C68">
                  <w:pPr>
                    <w:tabs>
                      <w:tab w:val="left" w:pos="342"/>
                    </w:tabs>
                    <w:spacing w:after="120"/>
                    <w:rPr>
                      <w:sz w:val="20"/>
                    </w:rPr>
                  </w:pPr>
                  <w:r w:rsidRPr="00F37C68">
                    <w:rPr>
                      <w:sz w:val="20"/>
                    </w:rPr>
                    <w:t>12 months and within 2 years</w:t>
                  </w:r>
                </w:p>
              </w:tc>
              <w:tc>
                <w:tcPr>
                  <w:tcW w:w="1701" w:type="dxa"/>
                </w:tcPr>
                <w:p w14:paraId="241938B3" w14:textId="77777777" w:rsidR="006C25A0" w:rsidRPr="00F37C68" w:rsidRDefault="006C25A0" w:rsidP="00F37C68">
                  <w:pPr>
                    <w:tabs>
                      <w:tab w:val="left" w:pos="342"/>
                    </w:tabs>
                    <w:spacing w:after="120"/>
                    <w:jc w:val="center"/>
                    <w:rPr>
                      <w:sz w:val="20"/>
                    </w:rPr>
                  </w:pPr>
                </w:p>
              </w:tc>
              <w:tc>
                <w:tcPr>
                  <w:tcW w:w="1559" w:type="dxa"/>
                </w:tcPr>
                <w:p w14:paraId="76A0E4CB" w14:textId="77777777" w:rsidR="006C25A0" w:rsidRPr="00F37C68" w:rsidRDefault="006C25A0" w:rsidP="00F37C68">
                  <w:pPr>
                    <w:tabs>
                      <w:tab w:val="left" w:pos="342"/>
                    </w:tabs>
                    <w:spacing w:after="120"/>
                    <w:jc w:val="center"/>
                    <w:rPr>
                      <w:sz w:val="20"/>
                    </w:rPr>
                  </w:pPr>
                  <w:r w:rsidRPr="00F37C68">
                    <w:rPr>
                      <w:sz w:val="20"/>
                    </w:rPr>
                    <w:t>75</w:t>
                  </w:r>
                </w:p>
              </w:tc>
              <w:tc>
                <w:tcPr>
                  <w:tcW w:w="1701" w:type="dxa"/>
                </w:tcPr>
                <w:p w14:paraId="157641AD" w14:textId="77777777" w:rsidR="006C25A0" w:rsidRPr="007D5CE4" w:rsidRDefault="007D5CE4" w:rsidP="004A5143">
                  <w:pPr>
                    <w:tabs>
                      <w:tab w:val="left" w:pos="342"/>
                    </w:tabs>
                    <w:spacing w:after="120"/>
                    <w:jc w:val="center"/>
                    <w:rPr>
                      <w:sz w:val="20"/>
                    </w:rPr>
                  </w:pPr>
                  <w:r w:rsidRPr="007D5CE4">
                    <w:rPr>
                      <w:sz w:val="20"/>
                    </w:rPr>
                    <w:t>18</w:t>
                  </w:r>
                </w:p>
              </w:tc>
            </w:tr>
            <w:tr w:rsidR="006C25A0" w:rsidRPr="00C8495F" w14:paraId="5BD620BF" w14:textId="77777777" w:rsidTr="00F37C68">
              <w:tc>
                <w:tcPr>
                  <w:tcW w:w="2837" w:type="dxa"/>
                </w:tcPr>
                <w:p w14:paraId="5A896CE4" w14:textId="77777777" w:rsidR="006C25A0" w:rsidRPr="00F37C68" w:rsidRDefault="006C25A0" w:rsidP="00F37C68">
                  <w:pPr>
                    <w:tabs>
                      <w:tab w:val="left" w:pos="342"/>
                    </w:tabs>
                    <w:spacing w:after="120"/>
                    <w:rPr>
                      <w:sz w:val="20"/>
                    </w:rPr>
                  </w:pPr>
                  <w:r w:rsidRPr="00F37C68">
                    <w:rPr>
                      <w:sz w:val="20"/>
                    </w:rPr>
                    <w:t>2 years and within 5 years</w:t>
                  </w:r>
                </w:p>
              </w:tc>
              <w:tc>
                <w:tcPr>
                  <w:tcW w:w="1701" w:type="dxa"/>
                </w:tcPr>
                <w:p w14:paraId="65235BF0" w14:textId="77777777" w:rsidR="006C25A0" w:rsidRPr="00F37C68" w:rsidRDefault="006C25A0" w:rsidP="00F37C68">
                  <w:pPr>
                    <w:tabs>
                      <w:tab w:val="left" w:pos="342"/>
                    </w:tabs>
                    <w:spacing w:after="120"/>
                    <w:jc w:val="center"/>
                    <w:rPr>
                      <w:sz w:val="20"/>
                    </w:rPr>
                  </w:pPr>
                </w:p>
              </w:tc>
              <w:tc>
                <w:tcPr>
                  <w:tcW w:w="1559" w:type="dxa"/>
                </w:tcPr>
                <w:p w14:paraId="188B02B9" w14:textId="77777777" w:rsidR="006C25A0" w:rsidRPr="00F37C68" w:rsidRDefault="006C25A0" w:rsidP="00F37C68">
                  <w:pPr>
                    <w:tabs>
                      <w:tab w:val="left" w:pos="342"/>
                    </w:tabs>
                    <w:spacing w:after="120"/>
                    <w:jc w:val="center"/>
                    <w:rPr>
                      <w:sz w:val="20"/>
                    </w:rPr>
                  </w:pPr>
                  <w:r w:rsidRPr="00F37C68">
                    <w:rPr>
                      <w:sz w:val="20"/>
                    </w:rPr>
                    <w:t>75</w:t>
                  </w:r>
                </w:p>
              </w:tc>
              <w:tc>
                <w:tcPr>
                  <w:tcW w:w="1701" w:type="dxa"/>
                </w:tcPr>
                <w:p w14:paraId="27F42257" w14:textId="77777777" w:rsidR="006C25A0" w:rsidRPr="007D5CE4" w:rsidRDefault="007D5CE4" w:rsidP="00F37C68">
                  <w:pPr>
                    <w:tabs>
                      <w:tab w:val="left" w:pos="342"/>
                    </w:tabs>
                    <w:spacing w:after="120"/>
                    <w:jc w:val="center"/>
                    <w:rPr>
                      <w:sz w:val="20"/>
                    </w:rPr>
                  </w:pPr>
                  <w:r w:rsidRPr="007D5CE4">
                    <w:rPr>
                      <w:sz w:val="20"/>
                    </w:rPr>
                    <w:t>7</w:t>
                  </w:r>
                </w:p>
              </w:tc>
            </w:tr>
            <w:tr w:rsidR="006C25A0" w:rsidRPr="00C8495F" w14:paraId="1C507661" w14:textId="77777777" w:rsidTr="00F37C68">
              <w:tc>
                <w:tcPr>
                  <w:tcW w:w="2837" w:type="dxa"/>
                </w:tcPr>
                <w:p w14:paraId="40B3219E" w14:textId="77777777" w:rsidR="006C25A0" w:rsidRPr="00F37C68" w:rsidRDefault="006C25A0" w:rsidP="00F37C68">
                  <w:pPr>
                    <w:tabs>
                      <w:tab w:val="left" w:pos="342"/>
                    </w:tabs>
                    <w:spacing w:after="120"/>
                    <w:rPr>
                      <w:sz w:val="20"/>
                    </w:rPr>
                  </w:pPr>
                  <w:r w:rsidRPr="00F37C68">
                    <w:rPr>
                      <w:sz w:val="20"/>
                    </w:rPr>
                    <w:t>5 years and within 10 years</w:t>
                  </w:r>
                </w:p>
              </w:tc>
              <w:tc>
                <w:tcPr>
                  <w:tcW w:w="1701" w:type="dxa"/>
                </w:tcPr>
                <w:p w14:paraId="331D8942" w14:textId="77777777" w:rsidR="006C25A0" w:rsidRPr="00F37C68" w:rsidRDefault="006C25A0" w:rsidP="00F37C68">
                  <w:pPr>
                    <w:tabs>
                      <w:tab w:val="left" w:pos="342"/>
                    </w:tabs>
                    <w:spacing w:after="120"/>
                    <w:jc w:val="center"/>
                    <w:rPr>
                      <w:sz w:val="20"/>
                    </w:rPr>
                  </w:pPr>
                </w:p>
              </w:tc>
              <w:tc>
                <w:tcPr>
                  <w:tcW w:w="1559" w:type="dxa"/>
                </w:tcPr>
                <w:p w14:paraId="0F27812C" w14:textId="77777777" w:rsidR="006C25A0" w:rsidRPr="00F37C68" w:rsidRDefault="006C25A0" w:rsidP="00F37C68">
                  <w:pPr>
                    <w:tabs>
                      <w:tab w:val="left" w:pos="342"/>
                    </w:tabs>
                    <w:spacing w:after="120"/>
                    <w:jc w:val="center"/>
                    <w:rPr>
                      <w:sz w:val="20"/>
                    </w:rPr>
                  </w:pPr>
                  <w:r w:rsidRPr="00F37C68">
                    <w:rPr>
                      <w:sz w:val="20"/>
                    </w:rPr>
                    <w:t>75</w:t>
                  </w:r>
                </w:p>
              </w:tc>
              <w:tc>
                <w:tcPr>
                  <w:tcW w:w="1701" w:type="dxa"/>
                </w:tcPr>
                <w:p w14:paraId="79932071" w14:textId="77777777" w:rsidR="006C25A0" w:rsidRPr="007D5CE4" w:rsidRDefault="007D5CE4" w:rsidP="00F37C68">
                  <w:pPr>
                    <w:tabs>
                      <w:tab w:val="left" w:pos="342"/>
                    </w:tabs>
                    <w:spacing w:after="120"/>
                    <w:jc w:val="center"/>
                    <w:rPr>
                      <w:sz w:val="20"/>
                    </w:rPr>
                  </w:pPr>
                  <w:r w:rsidRPr="007D5CE4">
                    <w:rPr>
                      <w:sz w:val="20"/>
                    </w:rPr>
                    <w:t>6</w:t>
                  </w:r>
                </w:p>
              </w:tc>
            </w:tr>
            <w:tr w:rsidR="006C25A0" w:rsidRPr="00916423" w14:paraId="3E54629D" w14:textId="77777777" w:rsidTr="00F37C68">
              <w:tc>
                <w:tcPr>
                  <w:tcW w:w="2837" w:type="dxa"/>
                </w:tcPr>
                <w:p w14:paraId="55DA2D4C" w14:textId="77777777" w:rsidR="006C25A0" w:rsidRPr="00F37C68" w:rsidRDefault="006C25A0" w:rsidP="00F37C68">
                  <w:pPr>
                    <w:tabs>
                      <w:tab w:val="left" w:pos="342"/>
                    </w:tabs>
                    <w:spacing w:after="120"/>
                    <w:rPr>
                      <w:sz w:val="20"/>
                    </w:rPr>
                  </w:pPr>
                  <w:r w:rsidRPr="00F37C68">
                    <w:rPr>
                      <w:sz w:val="20"/>
                    </w:rPr>
                    <w:t>10 years and above</w:t>
                  </w:r>
                </w:p>
              </w:tc>
              <w:tc>
                <w:tcPr>
                  <w:tcW w:w="1701" w:type="dxa"/>
                </w:tcPr>
                <w:p w14:paraId="2E089015" w14:textId="77777777" w:rsidR="006C25A0" w:rsidRPr="00F37C68" w:rsidRDefault="006C25A0" w:rsidP="00F37C68">
                  <w:pPr>
                    <w:tabs>
                      <w:tab w:val="left" w:pos="342"/>
                    </w:tabs>
                    <w:spacing w:after="120"/>
                    <w:jc w:val="center"/>
                    <w:rPr>
                      <w:sz w:val="20"/>
                    </w:rPr>
                  </w:pPr>
                  <w:r w:rsidRPr="00F37C68">
                    <w:rPr>
                      <w:sz w:val="20"/>
                    </w:rPr>
                    <w:t>25</w:t>
                  </w:r>
                </w:p>
              </w:tc>
              <w:tc>
                <w:tcPr>
                  <w:tcW w:w="1559" w:type="dxa"/>
                </w:tcPr>
                <w:p w14:paraId="198C3672" w14:textId="77777777" w:rsidR="006C25A0" w:rsidRPr="00F37C68" w:rsidRDefault="006C25A0" w:rsidP="00F37C68">
                  <w:pPr>
                    <w:tabs>
                      <w:tab w:val="left" w:pos="342"/>
                    </w:tabs>
                    <w:spacing w:after="120"/>
                    <w:jc w:val="center"/>
                    <w:rPr>
                      <w:sz w:val="20"/>
                    </w:rPr>
                  </w:pPr>
                  <w:r w:rsidRPr="00F37C68">
                    <w:rPr>
                      <w:sz w:val="20"/>
                    </w:rPr>
                    <w:t>100</w:t>
                  </w:r>
                </w:p>
              </w:tc>
              <w:tc>
                <w:tcPr>
                  <w:tcW w:w="1701" w:type="dxa"/>
                </w:tcPr>
                <w:p w14:paraId="33116B76" w14:textId="77777777" w:rsidR="006C25A0" w:rsidRPr="007D5CE4" w:rsidRDefault="007D5CE4" w:rsidP="00F37C68">
                  <w:pPr>
                    <w:tabs>
                      <w:tab w:val="left" w:pos="342"/>
                    </w:tabs>
                    <w:spacing w:after="120"/>
                    <w:jc w:val="center"/>
                    <w:rPr>
                      <w:sz w:val="20"/>
                    </w:rPr>
                  </w:pPr>
                  <w:r w:rsidRPr="007D5CE4">
                    <w:rPr>
                      <w:sz w:val="20"/>
                    </w:rPr>
                    <w:t>24</w:t>
                  </w:r>
                </w:p>
              </w:tc>
            </w:tr>
          </w:tbl>
          <w:p w14:paraId="4657E538" w14:textId="77777777" w:rsidR="006C25A0" w:rsidRPr="00916423" w:rsidRDefault="006C25A0" w:rsidP="00455EBD">
            <w:pPr>
              <w:tabs>
                <w:tab w:val="left" w:pos="342"/>
              </w:tabs>
              <w:spacing w:after="120"/>
              <w:ind w:left="342"/>
              <w:rPr>
                <w:sz w:val="20"/>
              </w:rPr>
            </w:pPr>
          </w:p>
        </w:tc>
      </w:tr>
    </w:tbl>
    <w:p w14:paraId="14C25C5A" w14:textId="77777777" w:rsidR="006C25A0" w:rsidRDefault="006C25A0" w:rsidP="00D369EF"/>
    <w:p w14:paraId="2CC8230C" w14:textId="77777777" w:rsidR="00375B95" w:rsidRDefault="00375B95" w:rsidP="00D369EF"/>
    <w:p w14:paraId="7F5D975F" w14:textId="77777777" w:rsidR="006C25A0" w:rsidRDefault="006C25A0" w:rsidP="00D369EF"/>
    <w:p w14:paraId="44851DEF" w14:textId="77777777" w:rsidR="00266F95" w:rsidRPr="00266F95" w:rsidRDefault="006C25A0" w:rsidP="00B61EAB">
      <w:pPr>
        <w:pStyle w:val="ListParagraph"/>
        <w:numPr>
          <w:ilvl w:val="0"/>
          <w:numId w:val="11"/>
        </w:numPr>
        <w:ind w:hanging="720"/>
        <w:rPr>
          <w:rFonts w:cs="Arial"/>
          <w:b/>
          <w:color w:val="000000"/>
          <w:sz w:val="22"/>
        </w:rPr>
      </w:pPr>
      <w:r w:rsidRPr="00266F95">
        <w:rPr>
          <w:rFonts w:cs="Arial"/>
          <w:b/>
          <w:color w:val="000000"/>
          <w:sz w:val="22"/>
        </w:rPr>
        <w:t>Investments over 365 days</w:t>
      </w:r>
    </w:p>
    <w:tbl>
      <w:tblPr>
        <w:tblW w:w="0" w:type="auto"/>
        <w:jc w:val="center"/>
        <w:tblLook w:val="04A0" w:firstRow="1" w:lastRow="0" w:firstColumn="1" w:lastColumn="0" w:noHBand="0" w:noVBand="1"/>
      </w:tblPr>
      <w:tblGrid>
        <w:gridCol w:w="4342"/>
        <w:gridCol w:w="1238"/>
        <w:gridCol w:w="1238"/>
      </w:tblGrid>
      <w:tr w:rsidR="006C25A0" w:rsidRPr="00692C8B" w14:paraId="44A5C022" w14:textId="77777777" w:rsidTr="00B61EAB">
        <w:trPr>
          <w:trHeight w:val="133"/>
          <w:jc w:val="center"/>
        </w:trPr>
        <w:tc>
          <w:tcPr>
            <w:tcW w:w="4342" w:type="dxa"/>
          </w:tcPr>
          <w:p w14:paraId="41DA2E91" w14:textId="77777777" w:rsidR="006C25A0" w:rsidRPr="00F37C68" w:rsidRDefault="006C25A0" w:rsidP="00455EBD">
            <w:pPr>
              <w:rPr>
                <w:rFonts w:cs="Arial"/>
                <w:color w:val="000000"/>
                <w:sz w:val="20"/>
              </w:rPr>
            </w:pPr>
          </w:p>
        </w:tc>
        <w:tc>
          <w:tcPr>
            <w:tcW w:w="1238" w:type="dxa"/>
            <w:vAlign w:val="center"/>
          </w:tcPr>
          <w:p w14:paraId="6A395B39" w14:textId="77777777" w:rsidR="006C25A0" w:rsidRPr="00F37C68" w:rsidRDefault="006C25A0" w:rsidP="00F37C68">
            <w:pPr>
              <w:jc w:val="center"/>
              <w:rPr>
                <w:rFonts w:cs="Arial"/>
                <w:b/>
                <w:color w:val="000000"/>
                <w:sz w:val="20"/>
              </w:rPr>
            </w:pPr>
            <w:r w:rsidRPr="00F37C68">
              <w:rPr>
                <w:rFonts w:cs="Arial"/>
                <w:b/>
                <w:color w:val="000000"/>
                <w:sz w:val="20"/>
              </w:rPr>
              <w:t>Upper limit</w:t>
            </w:r>
          </w:p>
        </w:tc>
        <w:tc>
          <w:tcPr>
            <w:tcW w:w="1238" w:type="dxa"/>
            <w:vAlign w:val="center"/>
          </w:tcPr>
          <w:p w14:paraId="356D7EC9" w14:textId="77777777" w:rsidR="006C25A0" w:rsidRPr="00F37C68" w:rsidRDefault="006C25A0" w:rsidP="00F37C68">
            <w:pPr>
              <w:jc w:val="center"/>
              <w:rPr>
                <w:rFonts w:cs="Arial"/>
                <w:b/>
                <w:color w:val="000000"/>
                <w:sz w:val="20"/>
              </w:rPr>
            </w:pPr>
            <w:r w:rsidRPr="00F37C68">
              <w:rPr>
                <w:rFonts w:cs="Arial"/>
                <w:b/>
                <w:color w:val="000000"/>
                <w:sz w:val="20"/>
              </w:rPr>
              <w:t>Actual</w:t>
            </w:r>
          </w:p>
        </w:tc>
      </w:tr>
      <w:tr w:rsidR="006C25A0" w:rsidRPr="00692C8B" w14:paraId="359DF195" w14:textId="77777777" w:rsidTr="00B61EAB">
        <w:trPr>
          <w:trHeight w:val="133"/>
          <w:jc w:val="center"/>
        </w:trPr>
        <w:tc>
          <w:tcPr>
            <w:tcW w:w="4342" w:type="dxa"/>
          </w:tcPr>
          <w:p w14:paraId="25C8AD66" w14:textId="77777777" w:rsidR="006C25A0" w:rsidRPr="00F37C68" w:rsidRDefault="006C25A0" w:rsidP="00455EBD">
            <w:pPr>
              <w:rPr>
                <w:rFonts w:cs="Arial"/>
                <w:color w:val="000000"/>
                <w:sz w:val="20"/>
              </w:rPr>
            </w:pPr>
          </w:p>
        </w:tc>
        <w:tc>
          <w:tcPr>
            <w:tcW w:w="1238" w:type="dxa"/>
            <w:vAlign w:val="center"/>
          </w:tcPr>
          <w:p w14:paraId="1EB0DBC0" w14:textId="77777777" w:rsidR="006C25A0" w:rsidRPr="00F37C68" w:rsidRDefault="006C25A0" w:rsidP="00F37C68">
            <w:pPr>
              <w:jc w:val="center"/>
              <w:rPr>
                <w:rFonts w:cs="Arial"/>
                <w:b/>
                <w:color w:val="000000"/>
                <w:sz w:val="20"/>
              </w:rPr>
            </w:pPr>
            <w:r w:rsidRPr="00F37C68">
              <w:rPr>
                <w:rFonts w:cs="Arial"/>
                <w:b/>
                <w:color w:val="000000"/>
                <w:sz w:val="20"/>
              </w:rPr>
              <w:t>£m</w:t>
            </w:r>
          </w:p>
        </w:tc>
        <w:tc>
          <w:tcPr>
            <w:tcW w:w="1238" w:type="dxa"/>
            <w:vAlign w:val="center"/>
          </w:tcPr>
          <w:p w14:paraId="01EB2959" w14:textId="77777777" w:rsidR="006C25A0" w:rsidRPr="00F37C68" w:rsidRDefault="006C25A0" w:rsidP="00F37C68">
            <w:pPr>
              <w:jc w:val="center"/>
              <w:rPr>
                <w:rFonts w:cs="Arial"/>
                <w:b/>
                <w:color w:val="000000"/>
                <w:sz w:val="20"/>
              </w:rPr>
            </w:pPr>
            <w:r w:rsidRPr="00F37C68">
              <w:rPr>
                <w:rFonts w:cs="Arial"/>
                <w:b/>
                <w:color w:val="000000"/>
                <w:sz w:val="20"/>
              </w:rPr>
              <w:t>£m</w:t>
            </w:r>
          </w:p>
        </w:tc>
      </w:tr>
      <w:tr w:rsidR="006C25A0" w:rsidRPr="00692C8B" w14:paraId="4E69ABC8" w14:textId="77777777" w:rsidTr="00B61EAB">
        <w:trPr>
          <w:trHeight w:val="133"/>
          <w:jc w:val="center"/>
        </w:trPr>
        <w:tc>
          <w:tcPr>
            <w:tcW w:w="4342" w:type="dxa"/>
          </w:tcPr>
          <w:p w14:paraId="0749A818" w14:textId="77777777" w:rsidR="006C25A0" w:rsidRPr="00F37C68" w:rsidRDefault="006C25A0" w:rsidP="00455EBD">
            <w:pPr>
              <w:rPr>
                <w:rFonts w:cs="Arial"/>
                <w:color w:val="000000"/>
                <w:sz w:val="20"/>
              </w:rPr>
            </w:pPr>
          </w:p>
        </w:tc>
        <w:tc>
          <w:tcPr>
            <w:tcW w:w="1238" w:type="dxa"/>
          </w:tcPr>
          <w:p w14:paraId="2FC2455C" w14:textId="77777777" w:rsidR="006C25A0" w:rsidRPr="00F37C68" w:rsidRDefault="006C25A0" w:rsidP="00F37C68">
            <w:pPr>
              <w:jc w:val="center"/>
              <w:rPr>
                <w:rFonts w:cs="Arial"/>
                <w:color w:val="000000"/>
                <w:sz w:val="20"/>
              </w:rPr>
            </w:pPr>
          </w:p>
        </w:tc>
        <w:tc>
          <w:tcPr>
            <w:tcW w:w="1238" w:type="dxa"/>
          </w:tcPr>
          <w:p w14:paraId="4AEBAD71" w14:textId="77777777" w:rsidR="006C25A0" w:rsidRPr="00F37C68" w:rsidRDefault="006C25A0" w:rsidP="00F37C68">
            <w:pPr>
              <w:jc w:val="center"/>
              <w:rPr>
                <w:rFonts w:cs="Arial"/>
                <w:color w:val="000000"/>
                <w:sz w:val="20"/>
              </w:rPr>
            </w:pPr>
          </w:p>
        </w:tc>
      </w:tr>
      <w:tr w:rsidR="006C25A0" w:rsidRPr="009E154F" w14:paraId="69D42BE6" w14:textId="77777777" w:rsidTr="00B61EAB">
        <w:trPr>
          <w:trHeight w:val="622"/>
          <w:jc w:val="center"/>
        </w:trPr>
        <w:tc>
          <w:tcPr>
            <w:tcW w:w="4342" w:type="dxa"/>
          </w:tcPr>
          <w:p w14:paraId="46EFE86E" w14:textId="77777777" w:rsidR="006C25A0" w:rsidRPr="00F37C68" w:rsidRDefault="006C25A0" w:rsidP="00455EBD">
            <w:pPr>
              <w:rPr>
                <w:rFonts w:cs="Arial"/>
                <w:color w:val="000000"/>
                <w:sz w:val="20"/>
              </w:rPr>
            </w:pPr>
            <w:r w:rsidRPr="00F37C68">
              <w:rPr>
                <w:rFonts w:cs="Arial"/>
                <w:color w:val="000000"/>
                <w:sz w:val="20"/>
              </w:rPr>
              <w:t>Total invested over 364 days</w:t>
            </w:r>
          </w:p>
        </w:tc>
        <w:tc>
          <w:tcPr>
            <w:tcW w:w="1238" w:type="dxa"/>
          </w:tcPr>
          <w:p w14:paraId="7CB49674" w14:textId="1BFB465E" w:rsidR="006C25A0" w:rsidRPr="00F37C68" w:rsidRDefault="005615BD" w:rsidP="00F37C68">
            <w:pPr>
              <w:jc w:val="center"/>
              <w:rPr>
                <w:rFonts w:cs="Arial"/>
                <w:color w:val="000000"/>
                <w:sz w:val="20"/>
              </w:rPr>
            </w:pPr>
            <w:r>
              <w:rPr>
                <w:rFonts w:cs="Arial"/>
                <w:color w:val="000000"/>
                <w:sz w:val="20"/>
              </w:rPr>
              <w:t>9</w:t>
            </w:r>
            <w:r w:rsidR="00920396">
              <w:rPr>
                <w:rFonts w:cs="Arial"/>
                <w:color w:val="000000"/>
                <w:sz w:val="20"/>
              </w:rPr>
              <w:t>00</w:t>
            </w:r>
          </w:p>
        </w:tc>
        <w:tc>
          <w:tcPr>
            <w:tcW w:w="1238" w:type="dxa"/>
          </w:tcPr>
          <w:p w14:paraId="36FCDFD2" w14:textId="77777777" w:rsidR="00455EBD" w:rsidRPr="007D5CE4" w:rsidRDefault="007D5CE4" w:rsidP="00F37C68">
            <w:pPr>
              <w:jc w:val="center"/>
              <w:rPr>
                <w:rFonts w:cs="Arial"/>
                <w:color w:val="000000"/>
                <w:sz w:val="20"/>
              </w:rPr>
            </w:pPr>
            <w:r w:rsidRPr="007D5CE4">
              <w:rPr>
                <w:rFonts w:cs="Arial"/>
                <w:color w:val="000000"/>
                <w:sz w:val="20"/>
              </w:rPr>
              <w:t>383</w:t>
            </w:r>
          </w:p>
          <w:p w14:paraId="1E23428C" w14:textId="77777777" w:rsidR="00455EBD" w:rsidRPr="00F37C68" w:rsidRDefault="00455EBD" w:rsidP="00F37C68">
            <w:pPr>
              <w:jc w:val="center"/>
              <w:rPr>
                <w:rFonts w:cs="Arial"/>
                <w:color w:val="000000"/>
                <w:sz w:val="20"/>
                <w:highlight w:val="yellow"/>
              </w:rPr>
            </w:pPr>
          </w:p>
          <w:p w14:paraId="49BCC4BC" w14:textId="77777777" w:rsidR="001D1580" w:rsidRPr="00F37C68" w:rsidRDefault="001D1580" w:rsidP="001D1580">
            <w:pPr>
              <w:rPr>
                <w:rFonts w:cs="Arial"/>
                <w:color w:val="000000"/>
                <w:sz w:val="20"/>
                <w:highlight w:val="yellow"/>
              </w:rPr>
            </w:pPr>
          </w:p>
        </w:tc>
      </w:tr>
    </w:tbl>
    <w:p w14:paraId="0BA4FAF6" w14:textId="70A2B35E" w:rsidR="00266F95" w:rsidRPr="00375B95" w:rsidRDefault="00266F95" w:rsidP="00375B95">
      <w:pPr>
        <w:rPr>
          <w:rFonts w:cs="Arial"/>
        </w:rPr>
      </w:pPr>
    </w:p>
    <w:p w14:paraId="533C7221" w14:textId="77777777" w:rsidR="00B61EAB" w:rsidRDefault="00B61EAB" w:rsidP="00266F95">
      <w:pPr>
        <w:pStyle w:val="ListParagraph"/>
        <w:tabs>
          <w:tab w:val="left" w:pos="0"/>
        </w:tabs>
        <w:ind w:left="0"/>
        <w:rPr>
          <w:rFonts w:cs="Arial"/>
          <w:b/>
          <w:color w:val="000000"/>
          <w:sz w:val="22"/>
        </w:rPr>
      </w:pPr>
    </w:p>
    <w:p w14:paraId="50F32FC2" w14:textId="77777777" w:rsidR="00455EBD" w:rsidRDefault="00455EBD" w:rsidP="00424AA5">
      <w:pPr>
        <w:pStyle w:val="ListParagraph"/>
        <w:numPr>
          <w:ilvl w:val="0"/>
          <w:numId w:val="11"/>
        </w:numPr>
        <w:tabs>
          <w:tab w:val="left" w:pos="0"/>
        </w:tabs>
        <w:ind w:left="0" w:firstLine="0"/>
        <w:rPr>
          <w:rFonts w:cs="Arial"/>
          <w:b/>
          <w:color w:val="000000"/>
          <w:sz w:val="22"/>
        </w:rPr>
      </w:pPr>
      <w:r>
        <w:rPr>
          <w:rFonts w:cs="Arial"/>
          <w:b/>
          <w:color w:val="000000"/>
          <w:sz w:val="22"/>
        </w:rPr>
        <w:t>Minimum Average Credit Rating</w:t>
      </w:r>
    </w:p>
    <w:tbl>
      <w:tblPr>
        <w:tblW w:w="0" w:type="auto"/>
        <w:jc w:val="center"/>
        <w:tblLook w:val="04A0" w:firstRow="1" w:lastRow="0" w:firstColumn="1" w:lastColumn="0" w:noHBand="0" w:noVBand="1"/>
      </w:tblPr>
      <w:tblGrid>
        <w:gridCol w:w="4476"/>
        <w:gridCol w:w="1306"/>
        <w:gridCol w:w="1276"/>
      </w:tblGrid>
      <w:tr w:rsidR="00455EBD" w:rsidRPr="00692C8B" w14:paraId="7D2767E2" w14:textId="77777777" w:rsidTr="00F37C68">
        <w:trPr>
          <w:jc w:val="center"/>
        </w:trPr>
        <w:tc>
          <w:tcPr>
            <w:tcW w:w="4476" w:type="dxa"/>
          </w:tcPr>
          <w:p w14:paraId="1C7C022A" w14:textId="77777777" w:rsidR="00455EBD" w:rsidRPr="00F37C68" w:rsidRDefault="00455EBD" w:rsidP="00455EBD">
            <w:pPr>
              <w:rPr>
                <w:rFonts w:cs="Arial"/>
                <w:color w:val="000000"/>
                <w:sz w:val="20"/>
              </w:rPr>
            </w:pPr>
          </w:p>
        </w:tc>
        <w:tc>
          <w:tcPr>
            <w:tcW w:w="1276" w:type="dxa"/>
            <w:vAlign w:val="center"/>
          </w:tcPr>
          <w:p w14:paraId="5C6BD32F" w14:textId="77777777" w:rsidR="00455EBD" w:rsidRPr="00F37C68" w:rsidRDefault="00455EBD" w:rsidP="00F37C68">
            <w:pPr>
              <w:jc w:val="center"/>
              <w:rPr>
                <w:rFonts w:cs="Arial"/>
                <w:b/>
                <w:color w:val="000000"/>
                <w:sz w:val="20"/>
              </w:rPr>
            </w:pPr>
            <w:r w:rsidRPr="00F37C68">
              <w:rPr>
                <w:rFonts w:cs="Arial"/>
                <w:b/>
                <w:color w:val="000000"/>
                <w:sz w:val="20"/>
              </w:rPr>
              <w:t>Benchmark</w:t>
            </w:r>
          </w:p>
        </w:tc>
        <w:tc>
          <w:tcPr>
            <w:tcW w:w="1276" w:type="dxa"/>
            <w:vAlign w:val="center"/>
          </w:tcPr>
          <w:p w14:paraId="2F918851" w14:textId="77777777" w:rsidR="00455EBD" w:rsidRPr="00F37C68" w:rsidRDefault="00455EBD" w:rsidP="00F37C68">
            <w:pPr>
              <w:jc w:val="center"/>
              <w:rPr>
                <w:rFonts w:cs="Arial"/>
                <w:b/>
                <w:color w:val="000000"/>
                <w:sz w:val="20"/>
              </w:rPr>
            </w:pPr>
            <w:r w:rsidRPr="00F37C68">
              <w:rPr>
                <w:rFonts w:cs="Arial"/>
                <w:b/>
                <w:color w:val="000000"/>
                <w:sz w:val="20"/>
              </w:rPr>
              <w:t>Actual</w:t>
            </w:r>
          </w:p>
        </w:tc>
      </w:tr>
      <w:tr w:rsidR="00455EBD" w:rsidRPr="00692C8B" w14:paraId="280312E4" w14:textId="77777777" w:rsidTr="00F37C68">
        <w:trPr>
          <w:jc w:val="center"/>
        </w:trPr>
        <w:tc>
          <w:tcPr>
            <w:tcW w:w="4476" w:type="dxa"/>
          </w:tcPr>
          <w:p w14:paraId="6BC94ED9" w14:textId="77777777" w:rsidR="00455EBD" w:rsidRPr="00F37C68" w:rsidRDefault="00455EBD" w:rsidP="00455EBD">
            <w:pPr>
              <w:rPr>
                <w:rFonts w:cs="Arial"/>
                <w:color w:val="000000"/>
                <w:sz w:val="20"/>
              </w:rPr>
            </w:pPr>
          </w:p>
        </w:tc>
        <w:tc>
          <w:tcPr>
            <w:tcW w:w="1276" w:type="dxa"/>
          </w:tcPr>
          <w:p w14:paraId="24E2BD84" w14:textId="77777777" w:rsidR="00455EBD" w:rsidRPr="00F37C68" w:rsidRDefault="00455EBD" w:rsidP="00F37C68">
            <w:pPr>
              <w:jc w:val="center"/>
              <w:rPr>
                <w:rFonts w:cs="Arial"/>
                <w:color w:val="000000"/>
                <w:sz w:val="20"/>
              </w:rPr>
            </w:pPr>
          </w:p>
        </w:tc>
        <w:tc>
          <w:tcPr>
            <w:tcW w:w="1276" w:type="dxa"/>
          </w:tcPr>
          <w:p w14:paraId="298D2CF9" w14:textId="77777777" w:rsidR="00455EBD" w:rsidRPr="00F37C68" w:rsidRDefault="00455EBD" w:rsidP="00F37C68">
            <w:pPr>
              <w:jc w:val="center"/>
              <w:rPr>
                <w:rFonts w:cs="Arial"/>
                <w:color w:val="000000"/>
                <w:sz w:val="20"/>
              </w:rPr>
            </w:pPr>
          </w:p>
        </w:tc>
      </w:tr>
      <w:tr w:rsidR="00455EBD" w:rsidRPr="00692C8B" w14:paraId="6A15422C" w14:textId="77777777" w:rsidTr="00F37C68">
        <w:trPr>
          <w:jc w:val="center"/>
        </w:trPr>
        <w:tc>
          <w:tcPr>
            <w:tcW w:w="4476" w:type="dxa"/>
          </w:tcPr>
          <w:p w14:paraId="18F884C8" w14:textId="77777777" w:rsidR="00455EBD" w:rsidRPr="00F37C68" w:rsidRDefault="00455EBD" w:rsidP="00455EBD">
            <w:pPr>
              <w:rPr>
                <w:rFonts w:cs="Arial"/>
                <w:color w:val="000000"/>
                <w:sz w:val="20"/>
              </w:rPr>
            </w:pPr>
            <w:r w:rsidRPr="00F37C68">
              <w:rPr>
                <w:rFonts w:cs="Arial"/>
                <w:color w:val="000000"/>
                <w:sz w:val="20"/>
              </w:rPr>
              <w:t>Average counterparty credit rating</w:t>
            </w:r>
          </w:p>
        </w:tc>
        <w:tc>
          <w:tcPr>
            <w:tcW w:w="1276" w:type="dxa"/>
          </w:tcPr>
          <w:p w14:paraId="110A98DE" w14:textId="77777777" w:rsidR="00455EBD" w:rsidRPr="00292E72" w:rsidRDefault="00455EBD" w:rsidP="00F37C68">
            <w:pPr>
              <w:jc w:val="center"/>
              <w:rPr>
                <w:rFonts w:cs="Arial"/>
                <w:color w:val="000000"/>
                <w:sz w:val="20"/>
              </w:rPr>
            </w:pPr>
            <w:r w:rsidRPr="00292E72">
              <w:rPr>
                <w:rFonts w:cs="Arial"/>
                <w:color w:val="000000"/>
                <w:sz w:val="20"/>
              </w:rPr>
              <w:t>A+</w:t>
            </w:r>
          </w:p>
        </w:tc>
        <w:tc>
          <w:tcPr>
            <w:tcW w:w="1276" w:type="dxa"/>
          </w:tcPr>
          <w:p w14:paraId="5E973691" w14:textId="77777777" w:rsidR="00455EBD" w:rsidRPr="00292E72" w:rsidRDefault="00455EBD" w:rsidP="00F37C68">
            <w:pPr>
              <w:jc w:val="center"/>
              <w:rPr>
                <w:rFonts w:cs="Arial"/>
                <w:color w:val="000000"/>
                <w:sz w:val="20"/>
              </w:rPr>
            </w:pPr>
            <w:r w:rsidRPr="00292E72">
              <w:rPr>
                <w:rFonts w:cs="Arial"/>
                <w:color w:val="000000"/>
                <w:sz w:val="20"/>
              </w:rPr>
              <w:t>AA</w:t>
            </w:r>
          </w:p>
        </w:tc>
      </w:tr>
    </w:tbl>
    <w:p w14:paraId="4C988898" w14:textId="77777777" w:rsidR="006C25A0" w:rsidRDefault="006C25A0" w:rsidP="00D369EF"/>
    <w:p w14:paraId="12BD1DAB" w14:textId="77777777" w:rsidR="006C25A0" w:rsidRDefault="006C25A0" w:rsidP="00D369EF"/>
    <w:p w14:paraId="7C27D28E" w14:textId="77777777" w:rsidR="00B0217B" w:rsidRPr="007D5CE4" w:rsidRDefault="0060692A" w:rsidP="00424AA5">
      <w:pPr>
        <w:pStyle w:val="ListParagraph"/>
        <w:numPr>
          <w:ilvl w:val="0"/>
          <w:numId w:val="11"/>
        </w:numPr>
        <w:ind w:left="0" w:firstLine="0"/>
        <w:rPr>
          <w:rFonts w:cs="Arial"/>
          <w:b/>
          <w:color w:val="000000"/>
          <w:sz w:val="20"/>
        </w:rPr>
      </w:pPr>
      <w:r w:rsidRPr="007D5CE4">
        <w:rPr>
          <w:rFonts w:cs="Arial"/>
          <w:b/>
          <w:color w:val="000000"/>
          <w:sz w:val="20"/>
        </w:rPr>
        <w:t>Daily Liquidity</w:t>
      </w:r>
    </w:p>
    <w:p w14:paraId="1EC57C96" w14:textId="77777777" w:rsidR="00B0217B" w:rsidRPr="0060692A" w:rsidRDefault="0060692A" w:rsidP="0060692A">
      <w:pPr>
        <w:ind w:left="5040"/>
        <w:rPr>
          <w:rFonts w:cs="Arial"/>
          <w:b/>
          <w:color w:val="000000"/>
          <w:sz w:val="20"/>
        </w:rPr>
      </w:pPr>
      <w:r>
        <w:rPr>
          <w:rFonts w:cs="Arial"/>
          <w:b/>
          <w:color w:val="000000"/>
          <w:sz w:val="20"/>
        </w:rPr>
        <w:t xml:space="preserve">          </w:t>
      </w:r>
      <w:r w:rsidRPr="0060692A">
        <w:rPr>
          <w:rFonts w:cs="Arial"/>
          <w:b/>
          <w:color w:val="000000"/>
          <w:sz w:val="20"/>
        </w:rPr>
        <w:t>Minimum</w:t>
      </w:r>
    </w:p>
    <w:tbl>
      <w:tblPr>
        <w:tblW w:w="0" w:type="auto"/>
        <w:jc w:val="center"/>
        <w:tblLook w:val="04A0" w:firstRow="1" w:lastRow="0" w:firstColumn="1" w:lastColumn="0" w:noHBand="0" w:noVBand="1"/>
      </w:tblPr>
      <w:tblGrid>
        <w:gridCol w:w="4476"/>
        <w:gridCol w:w="1439"/>
        <w:gridCol w:w="1276"/>
      </w:tblGrid>
      <w:tr w:rsidR="00B0217B" w:rsidRPr="00B81A6B" w14:paraId="77BA852F" w14:textId="77777777" w:rsidTr="0060692A">
        <w:trPr>
          <w:jc w:val="center"/>
        </w:trPr>
        <w:tc>
          <w:tcPr>
            <w:tcW w:w="4476" w:type="dxa"/>
          </w:tcPr>
          <w:p w14:paraId="194948A8" w14:textId="77777777" w:rsidR="00B0217B" w:rsidRPr="00F37C68" w:rsidRDefault="00B0217B" w:rsidP="00B0217B">
            <w:pPr>
              <w:rPr>
                <w:rFonts w:cs="Arial"/>
                <w:color w:val="000000"/>
                <w:sz w:val="20"/>
              </w:rPr>
            </w:pPr>
          </w:p>
        </w:tc>
        <w:tc>
          <w:tcPr>
            <w:tcW w:w="1439" w:type="dxa"/>
            <w:vAlign w:val="center"/>
          </w:tcPr>
          <w:p w14:paraId="2B75176B" w14:textId="77777777" w:rsidR="00B0217B" w:rsidRPr="00F37C68" w:rsidRDefault="00B0217B" w:rsidP="00F37C68">
            <w:pPr>
              <w:jc w:val="center"/>
              <w:rPr>
                <w:rFonts w:cs="Arial"/>
                <w:b/>
                <w:color w:val="000000"/>
                <w:sz w:val="20"/>
              </w:rPr>
            </w:pPr>
            <w:r w:rsidRPr="00F37C68">
              <w:rPr>
                <w:rFonts w:cs="Arial"/>
                <w:b/>
                <w:color w:val="000000"/>
                <w:sz w:val="20"/>
              </w:rPr>
              <w:t>Requirement</w:t>
            </w:r>
          </w:p>
        </w:tc>
        <w:tc>
          <w:tcPr>
            <w:tcW w:w="1276" w:type="dxa"/>
            <w:vAlign w:val="center"/>
          </w:tcPr>
          <w:p w14:paraId="46103B2A" w14:textId="77777777" w:rsidR="00B0217B" w:rsidRPr="00F37C68" w:rsidRDefault="00B0217B" w:rsidP="00F37C68">
            <w:pPr>
              <w:jc w:val="center"/>
              <w:rPr>
                <w:rFonts w:cs="Arial"/>
                <w:b/>
                <w:color w:val="000000"/>
                <w:sz w:val="20"/>
              </w:rPr>
            </w:pPr>
            <w:r w:rsidRPr="00F37C68">
              <w:rPr>
                <w:rFonts w:cs="Arial"/>
                <w:b/>
                <w:color w:val="000000"/>
                <w:sz w:val="20"/>
              </w:rPr>
              <w:t>Actual</w:t>
            </w:r>
          </w:p>
        </w:tc>
      </w:tr>
      <w:tr w:rsidR="00B0217B" w:rsidRPr="00B81A6B" w14:paraId="201C4592" w14:textId="77777777" w:rsidTr="0060692A">
        <w:trPr>
          <w:jc w:val="center"/>
        </w:trPr>
        <w:tc>
          <w:tcPr>
            <w:tcW w:w="4476" w:type="dxa"/>
          </w:tcPr>
          <w:p w14:paraId="49944E7D" w14:textId="77777777" w:rsidR="00B0217B" w:rsidRPr="00F37C68" w:rsidRDefault="00B0217B" w:rsidP="00B0217B">
            <w:pPr>
              <w:rPr>
                <w:rFonts w:cs="Arial"/>
                <w:color w:val="000000"/>
                <w:sz w:val="20"/>
              </w:rPr>
            </w:pPr>
          </w:p>
        </w:tc>
        <w:tc>
          <w:tcPr>
            <w:tcW w:w="1439" w:type="dxa"/>
            <w:vAlign w:val="center"/>
          </w:tcPr>
          <w:p w14:paraId="5993F956" w14:textId="77777777" w:rsidR="00B0217B" w:rsidRPr="00F37C68" w:rsidRDefault="00B0217B" w:rsidP="00F37C68">
            <w:pPr>
              <w:jc w:val="center"/>
              <w:rPr>
                <w:rFonts w:cs="Arial"/>
                <w:b/>
                <w:color w:val="000000"/>
                <w:sz w:val="20"/>
              </w:rPr>
            </w:pPr>
            <w:r w:rsidRPr="00F37C68">
              <w:rPr>
                <w:rFonts w:cs="Arial"/>
                <w:b/>
                <w:color w:val="000000"/>
                <w:sz w:val="20"/>
              </w:rPr>
              <w:t>£m</w:t>
            </w:r>
          </w:p>
        </w:tc>
        <w:tc>
          <w:tcPr>
            <w:tcW w:w="1276" w:type="dxa"/>
            <w:vAlign w:val="center"/>
          </w:tcPr>
          <w:p w14:paraId="1CD12F9C" w14:textId="77777777" w:rsidR="00B0217B" w:rsidRPr="00F37C68" w:rsidRDefault="00B0217B" w:rsidP="00F37C68">
            <w:pPr>
              <w:jc w:val="center"/>
              <w:rPr>
                <w:rFonts w:cs="Arial"/>
                <w:b/>
                <w:color w:val="000000"/>
                <w:sz w:val="20"/>
              </w:rPr>
            </w:pPr>
            <w:r w:rsidRPr="00F37C68">
              <w:rPr>
                <w:rFonts w:cs="Arial"/>
                <w:b/>
                <w:color w:val="000000"/>
                <w:sz w:val="20"/>
              </w:rPr>
              <w:t>£m</w:t>
            </w:r>
          </w:p>
        </w:tc>
      </w:tr>
      <w:tr w:rsidR="00B0217B" w:rsidRPr="00B81A6B" w14:paraId="35E8FE68" w14:textId="77777777" w:rsidTr="0060692A">
        <w:trPr>
          <w:jc w:val="center"/>
        </w:trPr>
        <w:tc>
          <w:tcPr>
            <w:tcW w:w="4476" w:type="dxa"/>
          </w:tcPr>
          <w:p w14:paraId="77A5B9F8" w14:textId="77777777" w:rsidR="00B0217B" w:rsidRPr="00F37C68" w:rsidRDefault="0060692A" w:rsidP="00B0217B">
            <w:pPr>
              <w:rPr>
                <w:rFonts w:cs="Arial"/>
                <w:color w:val="000000"/>
                <w:sz w:val="20"/>
              </w:rPr>
            </w:pPr>
            <w:r>
              <w:rPr>
                <w:rFonts w:cs="Arial"/>
                <w:color w:val="000000"/>
                <w:sz w:val="20"/>
              </w:rPr>
              <w:t>Cash maintained on call</w:t>
            </w:r>
          </w:p>
        </w:tc>
        <w:tc>
          <w:tcPr>
            <w:tcW w:w="1439" w:type="dxa"/>
          </w:tcPr>
          <w:p w14:paraId="2BDC4752" w14:textId="77777777" w:rsidR="00B0217B" w:rsidRPr="00920396" w:rsidRDefault="0060692A" w:rsidP="00F37C68">
            <w:pPr>
              <w:jc w:val="center"/>
              <w:rPr>
                <w:rFonts w:cs="Arial"/>
                <w:color w:val="000000"/>
                <w:sz w:val="20"/>
                <w:highlight w:val="yellow"/>
              </w:rPr>
            </w:pPr>
            <w:r w:rsidRPr="0060692A">
              <w:rPr>
                <w:rFonts w:cs="Arial"/>
                <w:color w:val="000000"/>
                <w:sz w:val="20"/>
              </w:rPr>
              <w:t>20</w:t>
            </w:r>
          </w:p>
        </w:tc>
        <w:tc>
          <w:tcPr>
            <w:tcW w:w="1276" w:type="dxa"/>
          </w:tcPr>
          <w:p w14:paraId="3CA8E1BE" w14:textId="77777777" w:rsidR="00B0217B" w:rsidRPr="00920396" w:rsidRDefault="0060692A" w:rsidP="00F37C68">
            <w:pPr>
              <w:jc w:val="center"/>
              <w:rPr>
                <w:rFonts w:cs="Arial"/>
                <w:sz w:val="20"/>
                <w:highlight w:val="yellow"/>
              </w:rPr>
            </w:pPr>
            <w:r w:rsidRPr="007D5CE4">
              <w:rPr>
                <w:rFonts w:cs="Arial"/>
                <w:color w:val="000000"/>
                <w:sz w:val="20"/>
              </w:rPr>
              <w:t>89</w:t>
            </w:r>
            <w:r w:rsidR="00C919D8" w:rsidRPr="007D5CE4">
              <w:rPr>
                <w:rFonts w:cs="Arial"/>
                <w:color w:val="000000"/>
                <w:sz w:val="20"/>
              </w:rPr>
              <w:t xml:space="preserve"> </w:t>
            </w:r>
          </w:p>
        </w:tc>
      </w:tr>
      <w:tr w:rsidR="00455EBD" w:rsidRPr="00B81A6B" w14:paraId="02B82827" w14:textId="77777777" w:rsidTr="0060692A">
        <w:trPr>
          <w:jc w:val="center"/>
        </w:trPr>
        <w:tc>
          <w:tcPr>
            <w:tcW w:w="4476" w:type="dxa"/>
          </w:tcPr>
          <w:p w14:paraId="4674A117" w14:textId="77777777" w:rsidR="00455EBD" w:rsidRPr="00F37C68" w:rsidRDefault="00455EBD" w:rsidP="00B0217B">
            <w:pPr>
              <w:rPr>
                <w:rFonts w:cs="Arial"/>
                <w:color w:val="000000"/>
                <w:sz w:val="20"/>
              </w:rPr>
            </w:pPr>
          </w:p>
        </w:tc>
        <w:tc>
          <w:tcPr>
            <w:tcW w:w="1439" w:type="dxa"/>
          </w:tcPr>
          <w:p w14:paraId="0354C9DF" w14:textId="77777777" w:rsidR="00455EBD" w:rsidRPr="00F37C68" w:rsidRDefault="00455EBD" w:rsidP="00F37C68">
            <w:pPr>
              <w:jc w:val="center"/>
              <w:rPr>
                <w:rFonts w:cs="Arial"/>
                <w:color w:val="000000"/>
                <w:sz w:val="20"/>
              </w:rPr>
            </w:pPr>
          </w:p>
        </w:tc>
        <w:tc>
          <w:tcPr>
            <w:tcW w:w="1276" w:type="dxa"/>
          </w:tcPr>
          <w:p w14:paraId="66D133AC" w14:textId="77777777" w:rsidR="00455EBD" w:rsidRPr="00F37C68" w:rsidRDefault="00455EBD" w:rsidP="00F37C68">
            <w:pPr>
              <w:jc w:val="center"/>
              <w:rPr>
                <w:rFonts w:cs="Arial"/>
                <w:color w:val="000000"/>
                <w:sz w:val="20"/>
              </w:rPr>
            </w:pPr>
          </w:p>
        </w:tc>
      </w:tr>
    </w:tbl>
    <w:p w14:paraId="6DE92267" w14:textId="77777777" w:rsidR="00A752C2" w:rsidRDefault="00A752C2" w:rsidP="00B0217B">
      <w:pPr>
        <w:rPr>
          <w:rFonts w:cs="Arial"/>
          <w:color w:val="000000"/>
          <w:szCs w:val="24"/>
        </w:rPr>
      </w:pPr>
    </w:p>
    <w:p w14:paraId="23D9B924" w14:textId="41EB68BA" w:rsidR="00F01ACE" w:rsidRPr="00D34902" w:rsidRDefault="00A752C2" w:rsidP="00B0217B">
      <w:pPr>
        <w:rPr>
          <w:bCs/>
        </w:rPr>
      </w:pPr>
      <w:r w:rsidRPr="00D34902">
        <w:rPr>
          <w:bCs/>
        </w:rPr>
        <w:t>Th</w:t>
      </w:r>
      <w:r w:rsidR="001A4FE4" w:rsidRPr="00D34902">
        <w:rPr>
          <w:bCs/>
        </w:rPr>
        <w:t>is report on the latest Treasury management activity shows that the Treasury Management Strategy set in February</w:t>
      </w:r>
      <w:r w:rsidR="007206BE">
        <w:rPr>
          <w:bCs/>
        </w:rPr>
        <w:t>,</w:t>
      </w:r>
      <w:r w:rsidR="007206BE" w:rsidRPr="007206BE">
        <w:rPr>
          <w:rFonts w:cs="Arial"/>
          <w:szCs w:val="24"/>
        </w:rPr>
        <w:t xml:space="preserve"> </w:t>
      </w:r>
      <w:r w:rsidR="007206BE">
        <w:rPr>
          <w:rFonts w:cs="Arial"/>
          <w:szCs w:val="24"/>
        </w:rPr>
        <w:t xml:space="preserve">and updated </w:t>
      </w:r>
      <w:r w:rsidR="007206BE">
        <w:rPr>
          <w:rFonts w:cs="Arial"/>
          <w:szCs w:val="24"/>
        </w:rPr>
        <w:lastRenderedPageBreak/>
        <w:t xml:space="preserve">at </w:t>
      </w:r>
      <w:r w:rsidR="00CD274C">
        <w:rPr>
          <w:rFonts w:cs="Arial"/>
          <w:szCs w:val="24"/>
        </w:rPr>
        <w:t>Full Council</w:t>
      </w:r>
      <w:r w:rsidR="002C4C13">
        <w:rPr>
          <w:rFonts w:cs="Arial"/>
          <w:szCs w:val="24"/>
        </w:rPr>
        <w:t xml:space="preserve"> </w:t>
      </w:r>
      <w:r w:rsidR="007206BE">
        <w:rPr>
          <w:rFonts w:cs="Arial"/>
          <w:szCs w:val="24"/>
        </w:rPr>
        <w:t>on 17 July 2014,</w:t>
      </w:r>
      <w:r w:rsidR="001A4FE4" w:rsidRPr="00D34902">
        <w:rPr>
          <w:bCs/>
        </w:rPr>
        <w:t xml:space="preserve"> is still appropriate for the current market conditions and that the level of borrowing and investments are in line with this strategy </w:t>
      </w:r>
      <w:r w:rsidR="00292E72" w:rsidRPr="00D34902">
        <w:rPr>
          <w:bCs/>
        </w:rPr>
        <w:t xml:space="preserve">and within the </w:t>
      </w:r>
      <w:r w:rsidR="007206BE">
        <w:rPr>
          <w:bCs/>
        </w:rPr>
        <w:t xml:space="preserve">revised </w:t>
      </w:r>
      <w:r w:rsidR="00292E72" w:rsidRPr="00D34902">
        <w:rPr>
          <w:bCs/>
        </w:rPr>
        <w:t>indicator limits</w:t>
      </w:r>
    </w:p>
    <w:p w14:paraId="72A05DE3" w14:textId="77777777" w:rsidR="00F01ACE" w:rsidRPr="00BA4BCF" w:rsidRDefault="00F01ACE" w:rsidP="00B0217B">
      <w:pPr>
        <w:rPr>
          <w:bCs/>
          <w:highlight w:val="yellow"/>
        </w:rPr>
      </w:pPr>
    </w:p>
    <w:p w14:paraId="0D3EB611" w14:textId="77777777" w:rsidR="00F01ACE" w:rsidRPr="00BA4BCF" w:rsidRDefault="00F01ACE" w:rsidP="00B0217B">
      <w:pPr>
        <w:rPr>
          <w:bCs/>
          <w:highlight w:val="yellow"/>
        </w:rPr>
      </w:pPr>
    </w:p>
    <w:p w14:paraId="39DB7388" w14:textId="77777777" w:rsidR="00F01ACE" w:rsidRPr="00292E72" w:rsidRDefault="00F01ACE" w:rsidP="00292E72">
      <w:pPr>
        <w:rPr>
          <w:sz w:val="22"/>
          <w:szCs w:val="22"/>
        </w:rPr>
      </w:pPr>
      <w:r w:rsidRPr="00D34902">
        <w:rPr>
          <w:rFonts w:cs="Arial"/>
          <w:szCs w:val="24"/>
        </w:rPr>
        <w:t xml:space="preserve">The Council confirms that it has complied with its </w:t>
      </w:r>
      <w:r w:rsidRPr="007206BE">
        <w:rPr>
          <w:rFonts w:cs="Arial"/>
          <w:szCs w:val="24"/>
        </w:rPr>
        <w:t xml:space="preserve">Prudential Indicators </w:t>
      </w:r>
      <w:r w:rsidRPr="00D34902">
        <w:rPr>
          <w:rFonts w:cs="Arial"/>
          <w:szCs w:val="24"/>
        </w:rPr>
        <w:t>for 201</w:t>
      </w:r>
      <w:r w:rsidR="00D34902" w:rsidRPr="00D34902">
        <w:rPr>
          <w:rFonts w:cs="Arial"/>
          <w:szCs w:val="24"/>
        </w:rPr>
        <w:t>4</w:t>
      </w:r>
      <w:r w:rsidRPr="00D34902">
        <w:rPr>
          <w:rFonts w:cs="Arial"/>
          <w:szCs w:val="24"/>
        </w:rPr>
        <w:t>/1</w:t>
      </w:r>
      <w:r w:rsidR="00D34902" w:rsidRPr="00D34902">
        <w:rPr>
          <w:rFonts w:cs="Arial"/>
          <w:szCs w:val="24"/>
        </w:rPr>
        <w:t>5</w:t>
      </w:r>
      <w:r w:rsidRPr="00D34902">
        <w:rPr>
          <w:rFonts w:cs="Arial"/>
          <w:szCs w:val="24"/>
        </w:rPr>
        <w:t>, which wer</w:t>
      </w:r>
      <w:r w:rsidR="00B73AFF" w:rsidRPr="00D34902">
        <w:rPr>
          <w:rFonts w:cs="Arial"/>
          <w:szCs w:val="24"/>
        </w:rPr>
        <w:t>e approved on 27th February 2014</w:t>
      </w:r>
      <w:r w:rsidR="008418AE">
        <w:rPr>
          <w:rFonts w:cs="Arial"/>
          <w:szCs w:val="24"/>
        </w:rPr>
        <w:t>,</w:t>
      </w:r>
      <w:r w:rsidRPr="00D34902">
        <w:rPr>
          <w:rFonts w:cs="Arial"/>
          <w:szCs w:val="24"/>
        </w:rPr>
        <w:t xml:space="preserve"> as part of the Council’s Treasury Management Strategy Statement</w:t>
      </w:r>
      <w:r w:rsidR="008418AE">
        <w:rPr>
          <w:rFonts w:cs="Arial"/>
          <w:szCs w:val="24"/>
        </w:rPr>
        <w:t>,</w:t>
      </w:r>
      <w:r w:rsidR="00995650">
        <w:rPr>
          <w:rFonts w:cs="Arial"/>
          <w:szCs w:val="24"/>
        </w:rPr>
        <w:t xml:space="preserve"> </w:t>
      </w:r>
      <w:r w:rsidR="00C40228">
        <w:rPr>
          <w:rFonts w:cs="Arial"/>
          <w:szCs w:val="24"/>
        </w:rPr>
        <w:t>and up</w:t>
      </w:r>
      <w:r w:rsidR="00CD274C">
        <w:rPr>
          <w:rFonts w:cs="Arial"/>
          <w:szCs w:val="24"/>
        </w:rPr>
        <w:t>dated at Full Council</w:t>
      </w:r>
      <w:r w:rsidR="00995650">
        <w:rPr>
          <w:rFonts w:cs="Arial"/>
          <w:szCs w:val="24"/>
        </w:rPr>
        <w:t xml:space="preserve"> on </w:t>
      </w:r>
      <w:r w:rsidR="00C40228">
        <w:rPr>
          <w:rFonts w:cs="Arial"/>
          <w:szCs w:val="24"/>
        </w:rPr>
        <w:t xml:space="preserve">17 </w:t>
      </w:r>
      <w:r w:rsidR="00995650">
        <w:rPr>
          <w:rFonts w:cs="Arial"/>
          <w:szCs w:val="24"/>
        </w:rPr>
        <w:t>July 2014</w:t>
      </w:r>
      <w:r w:rsidRPr="00D34902">
        <w:rPr>
          <w:rFonts w:cs="Arial"/>
          <w:szCs w:val="24"/>
        </w:rPr>
        <w:t>.</w:t>
      </w:r>
    </w:p>
    <w:p w14:paraId="32EBFB94" w14:textId="77777777" w:rsidR="00F01ACE" w:rsidRPr="00F01ACE" w:rsidRDefault="00F01ACE" w:rsidP="00F01ACE">
      <w:pPr>
        <w:rPr>
          <w:rFonts w:cs="Arial"/>
          <w:szCs w:val="24"/>
        </w:rPr>
      </w:pPr>
    </w:p>
    <w:p w14:paraId="221F2812" w14:textId="77777777" w:rsidR="00F01ACE" w:rsidRPr="00F01ACE" w:rsidRDefault="00F01ACE" w:rsidP="00F01ACE">
      <w:pPr>
        <w:rPr>
          <w:rFonts w:cs="Arial"/>
          <w:szCs w:val="24"/>
        </w:rPr>
      </w:pPr>
    </w:p>
    <w:p w14:paraId="20510312" w14:textId="77777777" w:rsidR="00F01ACE" w:rsidRPr="00F01ACE" w:rsidRDefault="00F01ACE" w:rsidP="00F01ACE">
      <w:pPr>
        <w:rPr>
          <w:rFonts w:cs="Arial"/>
          <w:b/>
          <w:szCs w:val="24"/>
          <w:highlight w:val="yellow"/>
        </w:rPr>
      </w:pPr>
    </w:p>
    <w:p w14:paraId="5EEF9CC8" w14:textId="1906CC7F" w:rsidR="00F01ACE" w:rsidRPr="007D2084" w:rsidRDefault="00F01ACE" w:rsidP="007D2084">
      <w:pPr>
        <w:pStyle w:val="ListParagraph"/>
        <w:numPr>
          <w:ilvl w:val="0"/>
          <w:numId w:val="13"/>
        </w:numPr>
        <w:spacing w:after="120"/>
        <w:rPr>
          <w:b/>
        </w:rPr>
      </w:pPr>
      <w:r w:rsidRPr="007D2084">
        <w:rPr>
          <w:b/>
        </w:rPr>
        <w:t xml:space="preserve">Investment in </w:t>
      </w:r>
      <w:proofErr w:type="spellStart"/>
      <w:r w:rsidRPr="007D2084">
        <w:rPr>
          <w:b/>
        </w:rPr>
        <w:t>Landsbanki</w:t>
      </w:r>
      <w:proofErr w:type="spellEnd"/>
      <w:r w:rsidRPr="007D2084">
        <w:rPr>
          <w:b/>
        </w:rPr>
        <w:t xml:space="preserve"> is.</w:t>
      </w:r>
    </w:p>
    <w:p w14:paraId="295E9D4B" w14:textId="77777777" w:rsidR="00441217" w:rsidRDefault="00441217" w:rsidP="00441217">
      <w:pPr>
        <w:contextualSpacing/>
        <w:rPr>
          <w:b/>
        </w:rPr>
      </w:pPr>
    </w:p>
    <w:p w14:paraId="2DC50AA8" w14:textId="77777777" w:rsidR="00441217" w:rsidRDefault="00441217" w:rsidP="00441217">
      <w:pPr>
        <w:rPr>
          <w:szCs w:val="24"/>
        </w:rPr>
      </w:pPr>
      <w:r w:rsidRPr="00DD0F18">
        <w:rPr>
          <w:szCs w:val="24"/>
        </w:rPr>
        <w:t>Under the previous Treasury Management Strategy, Lancashire County Council made a £</w:t>
      </w:r>
      <w:r>
        <w:rPr>
          <w:szCs w:val="24"/>
        </w:rPr>
        <w:t>6.4</w:t>
      </w:r>
      <w:r w:rsidRPr="00DD0F18">
        <w:rPr>
          <w:szCs w:val="24"/>
        </w:rPr>
        <w:t xml:space="preserve">m deposit with the Icelandic Bank </w:t>
      </w:r>
      <w:proofErr w:type="spellStart"/>
      <w:r w:rsidRPr="00DD0F18">
        <w:rPr>
          <w:szCs w:val="24"/>
        </w:rPr>
        <w:t>Landsbanki</w:t>
      </w:r>
      <w:proofErr w:type="spellEnd"/>
      <w:r w:rsidRPr="00DD0F18">
        <w:rPr>
          <w:szCs w:val="24"/>
        </w:rPr>
        <w:t xml:space="preserve"> Is</w:t>
      </w:r>
      <w:r>
        <w:rPr>
          <w:szCs w:val="24"/>
        </w:rPr>
        <w:t xml:space="preserve"> (LBI) which was still on deposit when the bank collapsed in October 2008. Following four distributions made by the bank winding up board, 48% of the claim currently remains outstanding. </w:t>
      </w:r>
    </w:p>
    <w:p w14:paraId="7B36A2A6" w14:textId="77777777" w:rsidR="00441217" w:rsidRDefault="00441217" w:rsidP="00441217">
      <w:pPr>
        <w:rPr>
          <w:szCs w:val="24"/>
        </w:rPr>
      </w:pPr>
    </w:p>
    <w:p w14:paraId="25F5BE22" w14:textId="77777777" w:rsidR="00003F4F" w:rsidRDefault="00441217" w:rsidP="00441217">
      <w:pPr>
        <w:rPr>
          <w:szCs w:val="24"/>
        </w:rPr>
      </w:pPr>
      <w:r>
        <w:rPr>
          <w:szCs w:val="24"/>
        </w:rPr>
        <w:t>The County Treasurer closely monitors developments in the bank's winding up process and the progression of the County Council's priority creditor claim through the administration process.</w:t>
      </w:r>
    </w:p>
    <w:p w14:paraId="161F5419" w14:textId="77777777" w:rsidR="00003F4F" w:rsidRDefault="00003F4F" w:rsidP="00441217">
      <w:pPr>
        <w:rPr>
          <w:szCs w:val="24"/>
        </w:rPr>
      </w:pPr>
    </w:p>
    <w:p w14:paraId="3C88747D" w14:textId="473917E0" w:rsidR="006B6256" w:rsidRDefault="00003F4F" w:rsidP="00441217">
      <w:pPr>
        <w:rPr>
          <w:szCs w:val="24"/>
        </w:rPr>
      </w:pPr>
      <w:r>
        <w:rPr>
          <w:szCs w:val="24"/>
        </w:rPr>
        <w:t xml:space="preserve">Based on a number of </w:t>
      </w:r>
      <w:r w:rsidR="006B6256">
        <w:rPr>
          <w:szCs w:val="24"/>
        </w:rPr>
        <w:t xml:space="preserve">factors the </w:t>
      </w:r>
      <w:r w:rsidR="00441217">
        <w:rPr>
          <w:szCs w:val="24"/>
        </w:rPr>
        <w:t>County Council's legal representatives</w:t>
      </w:r>
      <w:r w:rsidR="006B6256">
        <w:rPr>
          <w:szCs w:val="24"/>
        </w:rPr>
        <w:t xml:space="preserve"> have suggested that the risk of recovering the rest of </w:t>
      </w:r>
      <w:r w:rsidR="006B6256">
        <w:rPr>
          <w:szCs w:val="24"/>
        </w:rPr>
        <w:lastRenderedPageBreak/>
        <w:t>the claim from the winding up board have increased and they have</w:t>
      </w:r>
      <w:r>
        <w:rPr>
          <w:szCs w:val="24"/>
        </w:rPr>
        <w:t xml:space="preserve"> </w:t>
      </w:r>
      <w:r w:rsidR="00441217">
        <w:rPr>
          <w:szCs w:val="24"/>
        </w:rPr>
        <w:t>recommend</w:t>
      </w:r>
      <w:r>
        <w:rPr>
          <w:szCs w:val="24"/>
        </w:rPr>
        <w:t xml:space="preserve"> </w:t>
      </w:r>
      <w:r w:rsidR="00441217">
        <w:rPr>
          <w:szCs w:val="24"/>
        </w:rPr>
        <w:t>that the County Council should consider selling the claim at the current market price.</w:t>
      </w:r>
    </w:p>
    <w:p w14:paraId="75DC44C6" w14:textId="77777777" w:rsidR="006B6256" w:rsidRDefault="006B6256" w:rsidP="00441217">
      <w:pPr>
        <w:rPr>
          <w:szCs w:val="24"/>
        </w:rPr>
      </w:pPr>
    </w:p>
    <w:p w14:paraId="2CC433CD" w14:textId="01864135" w:rsidR="00340696" w:rsidRDefault="00003F4F" w:rsidP="00441217">
      <w:pPr>
        <w:rPr>
          <w:szCs w:val="24"/>
        </w:rPr>
      </w:pPr>
      <w:r>
        <w:rPr>
          <w:szCs w:val="24"/>
        </w:rPr>
        <w:t>The Deputy Leader has approved the sale of claim at his decision making session on 10</w:t>
      </w:r>
      <w:r w:rsidRPr="00003F4F">
        <w:rPr>
          <w:szCs w:val="24"/>
          <w:vertAlign w:val="superscript"/>
        </w:rPr>
        <w:t>th</w:t>
      </w:r>
      <w:r>
        <w:rPr>
          <w:szCs w:val="24"/>
        </w:rPr>
        <w:t xml:space="preserve"> Sept</w:t>
      </w:r>
      <w:r w:rsidR="00541C73">
        <w:rPr>
          <w:szCs w:val="24"/>
        </w:rPr>
        <w:t xml:space="preserve"> </w:t>
      </w:r>
      <w:r>
        <w:rPr>
          <w:szCs w:val="24"/>
        </w:rPr>
        <w:t>with a set reserve price</w:t>
      </w:r>
      <w:r w:rsidR="006B6256">
        <w:rPr>
          <w:szCs w:val="24"/>
        </w:rPr>
        <w:t xml:space="preserve">. </w:t>
      </w:r>
      <w:r w:rsidR="00340696">
        <w:rPr>
          <w:szCs w:val="24"/>
        </w:rPr>
        <w:t>The price is subject to legal privilege and cannot be disclosed in this report for legal reasons.</w:t>
      </w:r>
    </w:p>
    <w:p w14:paraId="16804D59" w14:textId="77777777" w:rsidR="00340696" w:rsidRDefault="00340696" w:rsidP="00441217">
      <w:pPr>
        <w:rPr>
          <w:szCs w:val="24"/>
        </w:rPr>
      </w:pPr>
    </w:p>
    <w:p w14:paraId="7A0AAF6A" w14:textId="54D701E8" w:rsidR="00441217" w:rsidRDefault="006B6256" w:rsidP="00441217">
      <w:pPr>
        <w:rPr>
          <w:szCs w:val="24"/>
        </w:rPr>
      </w:pPr>
      <w:r>
        <w:rPr>
          <w:szCs w:val="24"/>
        </w:rPr>
        <w:t xml:space="preserve">Selling the claim at the reserve price will lead to a loss of approximately £196k based on current balance sheet values.  This loss will be shared between the County Council, Pension Fund, Police and Crime Commissioner and the Combined Fire Authority.  </w:t>
      </w:r>
      <w:r w:rsidR="00340696">
        <w:rPr>
          <w:szCs w:val="24"/>
        </w:rPr>
        <w:t>The Council's estimated share of this loss is</w:t>
      </w:r>
      <w:r w:rsidR="00E0334B">
        <w:rPr>
          <w:szCs w:val="24"/>
        </w:rPr>
        <w:t xml:space="preserve"> £191k. </w:t>
      </w:r>
      <w:r>
        <w:rPr>
          <w:szCs w:val="24"/>
        </w:rPr>
        <w:t xml:space="preserve">This loss will not lead to </w:t>
      </w:r>
      <w:proofErr w:type="gramStart"/>
      <w:r w:rsidR="00541C73">
        <w:rPr>
          <w:szCs w:val="24"/>
        </w:rPr>
        <w:t>an overspend</w:t>
      </w:r>
      <w:proofErr w:type="gramEnd"/>
      <w:r>
        <w:rPr>
          <w:szCs w:val="24"/>
        </w:rPr>
        <w:t xml:space="preserve"> in the Council's finance charges budget as it can be covered by other investment income.</w:t>
      </w:r>
    </w:p>
    <w:p w14:paraId="33AB292F" w14:textId="77777777" w:rsidR="00441217" w:rsidRDefault="00441217" w:rsidP="00441217">
      <w:pPr>
        <w:rPr>
          <w:szCs w:val="24"/>
        </w:rPr>
      </w:pPr>
    </w:p>
    <w:p w14:paraId="4857AC3E" w14:textId="706F7566" w:rsidR="00441217" w:rsidRDefault="00441217" w:rsidP="00441217">
      <w:pPr>
        <w:rPr>
          <w:szCs w:val="24"/>
        </w:rPr>
      </w:pPr>
      <w:r>
        <w:rPr>
          <w:szCs w:val="24"/>
        </w:rPr>
        <w:t>Negotiations are ongoing to facilitate the sale but at this stage further information is held under legal privilege for commercial reasons.</w:t>
      </w:r>
    </w:p>
    <w:p w14:paraId="66779AE4" w14:textId="77777777" w:rsidR="00441217" w:rsidRPr="00F01ACE" w:rsidRDefault="00441217" w:rsidP="00441217">
      <w:pPr>
        <w:contextualSpacing/>
        <w:rPr>
          <w:b/>
        </w:rPr>
      </w:pPr>
    </w:p>
    <w:p w14:paraId="157E0AE7" w14:textId="77777777" w:rsidR="00F01ACE" w:rsidRPr="00F01ACE" w:rsidRDefault="00F01ACE" w:rsidP="00F01ACE">
      <w:pPr>
        <w:rPr>
          <w:b/>
          <w:highlight w:val="yellow"/>
        </w:rPr>
      </w:pPr>
    </w:p>
    <w:p w14:paraId="1F74ECE1" w14:textId="77777777" w:rsidR="00F01ACE" w:rsidRPr="00F01ACE" w:rsidRDefault="00F01ACE" w:rsidP="00F01ACE">
      <w:pPr>
        <w:rPr>
          <w:b/>
          <w:sz w:val="96"/>
          <w:szCs w:val="96"/>
          <w:u w:val="single"/>
        </w:rPr>
      </w:pPr>
    </w:p>
    <w:sectPr w:rsidR="00F01ACE" w:rsidRPr="00F01ACE" w:rsidSect="000F2DA6">
      <w:headerReference w:type="default" r:id="rId11"/>
      <w:footerReference w:type="default" r:id="rId12"/>
      <w:footerReference w:type="first" r:id="rId13"/>
      <w:type w:val="continuous"/>
      <w:pgSz w:w="11907" w:h="16840" w:code="9"/>
      <w:pgMar w:top="1134" w:right="1440" w:bottom="1440" w:left="1440" w:header="706" w:footer="7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1C6B8" w14:textId="77777777" w:rsidR="006B6256" w:rsidRDefault="006B6256">
      <w:r>
        <w:separator/>
      </w:r>
    </w:p>
  </w:endnote>
  <w:endnote w:type="continuationSeparator" w:id="0">
    <w:p w14:paraId="10DCEAC6" w14:textId="77777777" w:rsidR="006B6256" w:rsidRDefault="006B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6DF4" w14:textId="77777777" w:rsidR="006B6256" w:rsidRDefault="006B6256">
    <w:pPr>
      <w:pStyle w:val="Footer"/>
      <w:tabs>
        <w:tab w:val="clear" w:pos="4153"/>
      </w:tabs>
      <w:ind w:right="-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F0D5" w14:textId="77777777" w:rsidR="006B6256" w:rsidRDefault="006B6256">
    <w:pPr>
      <w:pStyle w:val="Footer"/>
      <w:tabs>
        <w:tab w:val="clear" w:pos="4153"/>
      </w:tabs>
      <w:ind w:right="-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FDABC" w14:textId="77777777" w:rsidR="006B6256" w:rsidRDefault="006B6256">
      <w:r>
        <w:separator/>
      </w:r>
    </w:p>
  </w:footnote>
  <w:footnote w:type="continuationSeparator" w:id="0">
    <w:p w14:paraId="26A0802F" w14:textId="77777777" w:rsidR="006B6256" w:rsidRDefault="006B6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71A5" w14:textId="77777777" w:rsidR="006B6256" w:rsidRDefault="006B6256">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7EE"/>
    <w:multiLevelType w:val="hybridMultilevel"/>
    <w:tmpl w:val="FD10DC60"/>
    <w:lvl w:ilvl="0" w:tplc="7E3C3D22">
      <w:start w:val="1"/>
      <w:numFmt w:val="lowerRoman"/>
      <w:lvlText w:val="%1)"/>
      <w:lvlJc w:val="left"/>
      <w:pPr>
        <w:ind w:left="720" w:hanging="360"/>
      </w:pPr>
      <w:rPr>
        <w:rFonts w:hint="default"/>
      </w:rPr>
    </w:lvl>
    <w:lvl w:ilvl="1" w:tplc="988CA95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675F3"/>
    <w:multiLevelType w:val="hybridMultilevel"/>
    <w:tmpl w:val="95FC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B4F7A"/>
    <w:multiLevelType w:val="hybridMultilevel"/>
    <w:tmpl w:val="81E2610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nsid w:val="092B7496"/>
    <w:multiLevelType w:val="hybridMultilevel"/>
    <w:tmpl w:val="3C1C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E0D07"/>
    <w:multiLevelType w:val="hybridMultilevel"/>
    <w:tmpl w:val="D4926224"/>
    <w:lvl w:ilvl="0" w:tplc="A202B5B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A06069D"/>
    <w:multiLevelType w:val="hybridMultilevel"/>
    <w:tmpl w:val="8D4E887E"/>
    <w:lvl w:ilvl="0" w:tplc="BB94A72A">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5BE230D"/>
    <w:multiLevelType w:val="hybridMultilevel"/>
    <w:tmpl w:val="571680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BA2327D"/>
    <w:multiLevelType w:val="hybridMultilevel"/>
    <w:tmpl w:val="3976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B7F0F"/>
    <w:multiLevelType w:val="hybridMultilevel"/>
    <w:tmpl w:val="B9DE110A"/>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nsid w:val="38CD52B0"/>
    <w:multiLevelType w:val="hybridMultilevel"/>
    <w:tmpl w:val="CC905C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8E60591"/>
    <w:multiLevelType w:val="hybridMultilevel"/>
    <w:tmpl w:val="6CDEE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DDF4CAA"/>
    <w:multiLevelType w:val="hybridMultilevel"/>
    <w:tmpl w:val="A1108C2C"/>
    <w:lvl w:ilvl="0" w:tplc="0809000F">
      <w:start w:val="5"/>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2">
    <w:nsid w:val="46F434E1"/>
    <w:multiLevelType w:val="hybridMultilevel"/>
    <w:tmpl w:val="7C66B688"/>
    <w:lvl w:ilvl="0" w:tplc="F5E4EA5A">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53175FE3"/>
    <w:multiLevelType w:val="hybridMultilevel"/>
    <w:tmpl w:val="C31ECC9C"/>
    <w:lvl w:ilvl="0" w:tplc="3B64DF6E">
      <w:start w:val="1"/>
      <w:numFmt w:val="decimal"/>
      <w:lvlText w:val="%1."/>
      <w:lvlJc w:val="left"/>
      <w:pPr>
        <w:ind w:left="786" w:hanging="360"/>
      </w:pPr>
      <w:rPr>
        <w:rFonts w:cs="Times New Roman" w:hint="default"/>
        <w:b w:val="0"/>
        <w:sz w:val="20"/>
        <w:szCs w:val="2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nsid w:val="55CC2815"/>
    <w:multiLevelType w:val="hybridMultilevel"/>
    <w:tmpl w:val="299839BA"/>
    <w:lvl w:ilvl="0" w:tplc="176E542A">
      <w:start w:val="12"/>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2E962C0"/>
    <w:multiLevelType w:val="hybridMultilevel"/>
    <w:tmpl w:val="0524B4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9187EAD"/>
    <w:multiLevelType w:val="hybridMultilevel"/>
    <w:tmpl w:val="2CB2FC1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9D54FB6"/>
    <w:multiLevelType w:val="hybridMultilevel"/>
    <w:tmpl w:val="3E549AE0"/>
    <w:lvl w:ilvl="0" w:tplc="5C9AE326">
      <w:start w:val="2"/>
      <w:numFmt w:val="bullet"/>
      <w:lvlText w:val="-"/>
      <w:lvlJc w:val="left"/>
      <w:pPr>
        <w:ind w:left="810" w:hanging="360"/>
      </w:pPr>
      <w:rPr>
        <w:rFonts w:ascii="Arial" w:eastAsia="Times New Roman" w:hAnsi="Aria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8">
    <w:nsid w:val="6A4B1F2B"/>
    <w:multiLevelType w:val="hybridMultilevel"/>
    <w:tmpl w:val="42B4836C"/>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4094F88"/>
    <w:multiLevelType w:val="hybridMultilevel"/>
    <w:tmpl w:val="E7FC6238"/>
    <w:lvl w:ilvl="0" w:tplc="65B8AE64">
      <w:start w:val="1"/>
      <w:numFmt w:val="decimal"/>
      <w:lvlText w:val="%1."/>
      <w:lvlJc w:val="left"/>
      <w:pPr>
        <w:ind w:left="360"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num w:numId="1">
    <w:abstractNumId w:val="2"/>
  </w:num>
  <w:num w:numId="2">
    <w:abstractNumId w:val="8"/>
  </w:num>
  <w:num w:numId="3">
    <w:abstractNumId w:val="19"/>
  </w:num>
  <w:num w:numId="4">
    <w:abstractNumId w:val="16"/>
  </w:num>
  <w:num w:numId="5">
    <w:abstractNumId w:val="18"/>
  </w:num>
  <w:num w:numId="6">
    <w:abstractNumId w:val="9"/>
  </w:num>
  <w:num w:numId="7">
    <w:abstractNumId w:val="7"/>
  </w:num>
  <w:num w:numId="8">
    <w:abstractNumId w:val="6"/>
  </w:num>
  <w:num w:numId="9">
    <w:abstractNumId w:val="17"/>
  </w:num>
  <w:num w:numId="10">
    <w:abstractNumId w:val="15"/>
  </w:num>
  <w:num w:numId="11">
    <w:abstractNumId w:val="4"/>
  </w:num>
  <w:num w:numId="12">
    <w:abstractNumId w:val="5"/>
  </w:num>
  <w:num w:numId="13">
    <w:abstractNumId w:val="12"/>
  </w:num>
  <w:num w:numId="14">
    <w:abstractNumId w:val="11"/>
  </w:num>
  <w:num w:numId="15">
    <w:abstractNumId w:val="13"/>
  </w:num>
  <w:num w:numId="16">
    <w:abstractNumId w:val="14"/>
  </w:num>
  <w:num w:numId="17">
    <w:abstractNumId w:val="3"/>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A4"/>
    <w:rsid w:val="00000475"/>
    <w:rsid w:val="0000197F"/>
    <w:rsid w:val="00002D68"/>
    <w:rsid w:val="00003945"/>
    <w:rsid w:val="00003F4F"/>
    <w:rsid w:val="00004B87"/>
    <w:rsid w:val="0000654A"/>
    <w:rsid w:val="0000791F"/>
    <w:rsid w:val="0001221F"/>
    <w:rsid w:val="00013020"/>
    <w:rsid w:val="00015A99"/>
    <w:rsid w:val="00020009"/>
    <w:rsid w:val="000204E0"/>
    <w:rsid w:val="000212C4"/>
    <w:rsid w:val="000220AB"/>
    <w:rsid w:val="00024233"/>
    <w:rsid w:val="00024DE2"/>
    <w:rsid w:val="000255E3"/>
    <w:rsid w:val="000264C7"/>
    <w:rsid w:val="000329E6"/>
    <w:rsid w:val="000337EE"/>
    <w:rsid w:val="00041916"/>
    <w:rsid w:val="00042020"/>
    <w:rsid w:val="00044DA7"/>
    <w:rsid w:val="00047AA0"/>
    <w:rsid w:val="00051819"/>
    <w:rsid w:val="00052EE8"/>
    <w:rsid w:val="000545A3"/>
    <w:rsid w:val="0005580E"/>
    <w:rsid w:val="00056360"/>
    <w:rsid w:val="00060506"/>
    <w:rsid w:val="00061277"/>
    <w:rsid w:val="0006417A"/>
    <w:rsid w:val="00067556"/>
    <w:rsid w:val="00074C9F"/>
    <w:rsid w:val="000750C7"/>
    <w:rsid w:val="00075638"/>
    <w:rsid w:val="00081C29"/>
    <w:rsid w:val="0008209F"/>
    <w:rsid w:val="00083593"/>
    <w:rsid w:val="000839BB"/>
    <w:rsid w:val="0008512F"/>
    <w:rsid w:val="0008534C"/>
    <w:rsid w:val="00090642"/>
    <w:rsid w:val="000929F4"/>
    <w:rsid w:val="00093DBA"/>
    <w:rsid w:val="00095AE7"/>
    <w:rsid w:val="000A1102"/>
    <w:rsid w:val="000A269F"/>
    <w:rsid w:val="000A3AA9"/>
    <w:rsid w:val="000A55C4"/>
    <w:rsid w:val="000B18AC"/>
    <w:rsid w:val="000B1F2A"/>
    <w:rsid w:val="000B48BE"/>
    <w:rsid w:val="000B5F46"/>
    <w:rsid w:val="000B793B"/>
    <w:rsid w:val="000B7F9E"/>
    <w:rsid w:val="000C1828"/>
    <w:rsid w:val="000C182B"/>
    <w:rsid w:val="000C21C1"/>
    <w:rsid w:val="000C3A5D"/>
    <w:rsid w:val="000C41B6"/>
    <w:rsid w:val="000C4EC8"/>
    <w:rsid w:val="000D07D3"/>
    <w:rsid w:val="000D0EDD"/>
    <w:rsid w:val="000D1258"/>
    <w:rsid w:val="000D2521"/>
    <w:rsid w:val="000D27EB"/>
    <w:rsid w:val="000D3A32"/>
    <w:rsid w:val="000D75B7"/>
    <w:rsid w:val="000E7B89"/>
    <w:rsid w:val="000F1083"/>
    <w:rsid w:val="000F2DA6"/>
    <w:rsid w:val="000F3E11"/>
    <w:rsid w:val="000F4096"/>
    <w:rsid w:val="000F4561"/>
    <w:rsid w:val="000F4DF5"/>
    <w:rsid w:val="000F7A78"/>
    <w:rsid w:val="00101873"/>
    <w:rsid w:val="00102B9F"/>
    <w:rsid w:val="0010362C"/>
    <w:rsid w:val="00103E1B"/>
    <w:rsid w:val="00105F47"/>
    <w:rsid w:val="0010740B"/>
    <w:rsid w:val="00111225"/>
    <w:rsid w:val="00111951"/>
    <w:rsid w:val="001128CC"/>
    <w:rsid w:val="001130C7"/>
    <w:rsid w:val="0011311F"/>
    <w:rsid w:val="001236AE"/>
    <w:rsid w:val="001255B3"/>
    <w:rsid w:val="0012634C"/>
    <w:rsid w:val="001264D6"/>
    <w:rsid w:val="00126861"/>
    <w:rsid w:val="001313CC"/>
    <w:rsid w:val="00140759"/>
    <w:rsid w:val="00146ED7"/>
    <w:rsid w:val="00152D50"/>
    <w:rsid w:val="00153378"/>
    <w:rsid w:val="0015521A"/>
    <w:rsid w:val="00157254"/>
    <w:rsid w:val="00160B29"/>
    <w:rsid w:val="0016265F"/>
    <w:rsid w:val="001631A1"/>
    <w:rsid w:val="0016471E"/>
    <w:rsid w:val="00164EA3"/>
    <w:rsid w:val="00165A71"/>
    <w:rsid w:val="00167BD8"/>
    <w:rsid w:val="00172457"/>
    <w:rsid w:val="001726FA"/>
    <w:rsid w:val="001740E7"/>
    <w:rsid w:val="00174326"/>
    <w:rsid w:val="00175102"/>
    <w:rsid w:val="00176D0D"/>
    <w:rsid w:val="00180500"/>
    <w:rsid w:val="00183307"/>
    <w:rsid w:val="00184626"/>
    <w:rsid w:val="00184A2C"/>
    <w:rsid w:val="001853BD"/>
    <w:rsid w:val="001917E0"/>
    <w:rsid w:val="001929DC"/>
    <w:rsid w:val="00193D98"/>
    <w:rsid w:val="00193DB7"/>
    <w:rsid w:val="001970A4"/>
    <w:rsid w:val="0019765E"/>
    <w:rsid w:val="00197A09"/>
    <w:rsid w:val="001A0A84"/>
    <w:rsid w:val="001A33BE"/>
    <w:rsid w:val="001A4FE4"/>
    <w:rsid w:val="001A5FA6"/>
    <w:rsid w:val="001A699B"/>
    <w:rsid w:val="001A732A"/>
    <w:rsid w:val="001B3E59"/>
    <w:rsid w:val="001B484E"/>
    <w:rsid w:val="001B486A"/>
    <w:rsid w:val="001B581D"/>
    <w:rsid w:val="001B673A"/>
    <w:rsid w:val="001C0D7B"/>
    <w:rsid w:val="001C70E9"/>
    <w:rsid w:val="001C7306"/>
    <w:rsid w:val="001D1580"/>
    <w:rsid w:val="001D1840"/>
    <w:rsid w:val="001D2D57"/>
    <w:rsid w:val="001D462F"/>
    <w:rsid w:val="001D6173"/>
    <w:rsid w:val="001D6466"/>
    <w:rsid w:val="001D74C2"/>
    <w:rsid w:val="001E1648"/>
    <w:rsid w:val="001E40BA"/>
    <w:rsid w:val="001F1707"/>
    <w:rsid w:val="001F2A47"/>
    <w:rsid w:val="001F337D"/>
    <w:rsid w:val="001F363D"/>
    <w:rsid w:val="001F487D"/>
    <w:rsid w:val="001F6E45"/>
    <w:rsid w:val="0020702D"/>
    <w:rsid w:val="002107C1"/>
    <w:rsid w:val="0021141B"/>
    <w:rsid w:val="00211A94"/>
    <w:rsid w:val="002139E0"/>
    <w:rsid w:val="00214C59"/>
    <w:rsid w:val="002156AC"/>
    <w:rsid w:val="0022245F"/>
    <w:rsid w:val="00226DA8"/>
    <w:rsid w:val="00236C21"/>
    <w:rsid w:val="002406FB"/>
    <w:rsid w:val="00240B93"/>
    <w:rsid w:val="002413DF"/>
    <w:rsid w:val="002440C5"/>
    <w:rsid w:val="0024650C"/>
    <w:rsid w:val="00246568"/>
    <w:rsid w:val="00252A3E"/>
    <w:rsid w:val="002531DF"/>
    <w:rsid w:val="00255969"/>
    <w:rsid w:val="00256971"/>
    <w:rsid w:val="00257EF6"/>
    <w:rsid w:val="00261B25"/>
    <w:rsid w:val="00263422"/>
    <w:rsid w:val="00264393"/>
    <w:rsid w:val="00266AF2"/>
    <w:rsid w:val="00266F95"/>
    <w:rsid w:val="002711C3"/>
    <w:rsid w:val="00273903"/>
    <w:rsid w:val="0027412A"/>
    <w:rsid w:val="002751C2"/>
    <w:rsid w:val="00275552"/>
    <w:rsid w:val="0027692A"/>
    <w:rsid w:val="00282854"/>
    <w:rsid w:val="00285770"/>
    <w:rsid w:val="00286374"/>
    <w:rsid w:val="00290BE7"/>
    <w:rsid w:val="00290E32"/>
    <w:rsid w:val="002919D0"/>
    <w:rsid w:val="00292E72"/>
    <w:rsid w:val="0029455D"/>
    <w:rsid w:val="002A04E1"/>
    <w:rsid w:val="002A4C69"/>
    <w:rsid w:val="002A4C9B"/>
    <w:rsid w:val="002A5996"/>
    <w:rsid w:val="002A6A44"/>
    <w:rsid w:val="002B0813"/>
    <w:rsid w:val="002B2B7B"/>
    <w:rsid w:val="002B4911"/>
    <w:rsid w:val="002B6B7A"/>
    <w:rsid w:val="002C0B4A"/>
    <w:rsid w:val="002C3093"/>
    <w:rsid w:val="002C4C13"/>
    <w:rsid w:val="002C4C91"/>
    <w:rsid w:val="002C6555"/>
    <w:rsid w:val="002D0DC3"/>
    <w:rsid w:val="002D2DC9"/>
    <w:rsid w:val="002D32CF"/>
    <w:rsid w:val="002D3561"/>
    <w:rsid w:val="002D36CB"/>
    <w:rsid w:val="002D707B"/>
    <w:rsid w:val="002E0237"/>
    <w:rsid w:val="002E0915"/>
    <w:rsid w:val="002E1AFC"/>
    <w:rsid w:val="002E22A5"/>
    <w:rsid w:val="002E2344"/>
    <w:rsid w:val="002E5120"/>
    <w:rsid w:val="002E5D4E"/>
    <w:rsid w:val="002E5F71"/>
    <w:rsid w:val="002F01BA"/>
    <w:rsid w:val="002F0B22"/>
    <w:rsid w:val="002F3A19"/>
    <w:rsid w:val="002F41F7"/>
    <w:rsid w:val="002F7A7B"/>
    <w:rsid w:val="002F7AC5"/>
    <w:rsid w:val="00300716"/>
    <w:rsid w:val="003008CD"/>
    <w:rsid w:val="00300EA8"/>
    <w:rsid w:val="003033F1"/>
    <w:rsid w:val="00303751"/>
    <w:rsid w:val="00304117"/>
    <w:rsid w:val="00307029"/>
    <w:rsid w:val="00311F43"/>
    <w:rsid w:val="00315ADA"/>
    <w:rsid w:val="003179EB"/>
    <w:rsid w:val="00324465"/>
    <w:rsid w:val="00327126"/>
    <w:rsid w:val="00327A76"/>
    <w:rsid w:val="003303E9"/>
    <w:rsid w:val="003317C2"/>
    <w:rsid w:val="00331B01"/>
    <w:rsid w:val="00332930"/>
    <w:rsid w:val="00333EC1"/>
    <w:rsid w:val="00334457"/>
    <w:rsid w:val="0033458F"/>
    <w:rsid w:val="0033491A"/>
    <w:rsid w:val="00334F9E"/>
    <w:rsid w:val="00335133"/>
    <w:rsid w:val="00340696"/>
    <w:rsid w:val="0034094B"/>
    <w:rsid w:val="003413AB"/>
    <w:rsid w:val="0034509C"/>
    <w:rsid w:val="00350341"/>
    <w:rsid w:val="003513ED"/>
    <w:rsid w:val="003520FE"/>
    <w:rsid w:val="00356745"/>
    <w:rsid w:val="00356DA5"/>
    <w:rsid w:val="00360D0D"/>
    <w:rsid w:val="003626BE"/>
    <w:rsid w:val="00364A7A"/>
    <w:rsid w:val="00364EAD"/>
    <w:rsid w:val="0036589C"/>
    <w:rsid w:val="00367DDA"/>
    <w:rsid w:val="00375B95"/>
    <w:rsid w:val="0037656D"/>
    <w:rsid w:val="00381875"/>
    <w:rsid w:val="00386B52"/>
    <w:rsid w:val="00390481"/>
    <w:rsid w:val="00396FB5"/>
    <w:rsid w:val="0039737C"/>
    <w:rsid w:val="003A0F58"/>
    <w:rsid w:val="003A1871"/>
    <w:rsid w:val="003A458A"/>
    <w:rsid w:val="003A69BC"/>
    <w:rsid w:val="003B54F4"/>
    <w:rsid w:val="003B5AAF"/>
    <w:rsid w:val="003B6032"/>
    <w:rsid w:val="003B6D0A"/>
    <w:rsid w:val="003B7681"/>
    <w:rsid w:val="003B7BB1"/>
    <w:rsid w:val="003C0324"/>
    <w:rsid w:val="003C14F7"/>
    <w:rsid w:val="003C22EB"/>
    <w:rsid w:val="003C3CFE"/>
    <w:rsid w:val="003C474F"/>
    <w:rsid w:val="003C5696"/>
    <w:rsid w:val="003C56A7"/>
    <w:rsid w:val="003C7331"/>
    <w:rsid w:val="003D1A77"/>
    <w:rsid w:val="003D379F"/>
    <w:rsid w:val="003D3A34"/>
    <w:rsid w:val="003D5B7B"/>
    <w:rsid w:val="003D64C1"/>
    <w:rsid w:val="003D69BB"/>
    <w:rsid w:val="003D69F4"/>
    <w:rsid w:val="003E1767"/>
    <w:rsid w:val="003E2697"/>
    <w:rsid w:val="003E7D8F"/>
    <w:rsid w:val="003F024C"/>
    <w:rsid w:val="003F1A04"/>
    <w:rsid w:val="003F31A1"/>
    <w:rsid w:val="003F34C3"/>
    <w:rsid w:val="003F6D1E"/>
    <w:rsid w:val="003F7247"/>
    <w:rsid w:val="00401A06"/>
    <w:rsid w:val="00403B6E"/>
    <w:rsid w:val="004043B1"/>
    <w:rsid w:val="004044C0"/>
    <w:rsid w:val="00406FD4"/>
    <w:rsid w:val="004107DE"/>
    <w:rsid w:val="00412AC9"/>
    <w:rsid w:val="00412F75"/>
    <w:rsid w:val="00414090"/>
    <w:rsid w:val="00414600"/>
    <w:rsid w:val="0041683F"/>
    <w:rsid w:val="00422B0C"/>
    <w:rsid w:val="004234C9"/>
    <w:rsid w:val="00424742"/>
    <w:rsid w:val="00424AA5"/>
    <w:rsid w:val="00431B68"/>
    <w:rsid w:val="0043220A"/>
    <w:rsid w:val="00433C0E"/>
    <w:rsid w:val="00435036"/>
    <w:rsid w:val="004363A2"/>
    <w:rsid w:val="00437BE2"/>
    <w:rsid w:val="00440885"/>
    <w:rsid w:val="00441217"/>
    <w:rsid w:val="004415EE"/>
    <w:rsid w:val="0045002D"/>
    <w:rsid w:val="0045179C"/>
    <w:rsid w:val="00452795"/>
    <w:rsid w:val="00453216"/>
    <w:rsid w:val="00453F8E"/>
    <w:rsid w:val="00455EBD"/>
    <w:rsid w:val="00457CCC"/>
    <w:rsid w:val="00457D24"/>
    <w:rsid w:val="004600C0"/>
    <w:rsid w:val="00462F46"/>
    <w:rsid w:val="00463622"/>
    <w:rsid w:val="0046437F"/>
    <w:rsid w:val="0046555D"/>
    <w:rsid w:val="004657C7"/>
    <w:rsid w:val="004735D1"/>
    <w:rsid w:val="0047400C"/>
    <w:rsid w:val="0048005A"/>
    <w:rsid w:val="0048070E"/>
    <w:rsid w:val="0048171F"/>
    <w:rsid w:val="00481A4A"/>
    <w:rsid w:val="00481FB4"/>
    <w:rsid w:val="0048441A"/>
    <w:rsid w:val="0048723D"/>
    <w:rsid w:val="004902A7"/>
    <w:rsid w:val="00491ABC"/>
    <w:rsid w:val="004A11B4"/>
    <w:rsid w:val="004A1C18"/>
    <w:rsid w:val="004A480A"/>
    <w:rsid w:val="004A5143"/>
    <w:rsid w:val="004A79C4"/>
    <w:rsid w:val="004B214A"/>
    <w:rsid w:val="004B6CC9"/>
    <w:rsid w:val="004C267E"/>
    <w:rsid w:val="004C4602"/>
    <w:rsid w:val="004D5BEC"/>
    <w:rsid w:val="004D66A6"/>
    <w:rsid w:val="004D701E"/>
    <w:rsid w:val="004D791C"/>
    <w:rsid w:val="004E0A55"/>
    <w:rsid w:val="004E0FBB"/>
    <w:rsid w:val="004E1A7A"/>
    <w:rsid w:val="004E3EC4"/>
    <w:rsid w:val="004E4B89"/>
    <w:rsid w:val="004E5C8F"/>
    <w:rsid w:val="004E699F"/>
    <w:rsid w:val="004F1BA8"/>
    <w:rsid w:val="004F1C20"/>
    <w:rsid w:val="004F2345"/>
    <w:rsid w:val="004F2DC0"/>
    <w:rsid w:val="004F6929"/>
    <w:rsid w:val="004F70E5"/>
    <w:rsid w:val="00500253"/>
    <w:rsid w:val="00504E5A"/>
    <w:rsid w:val="00510D71"/>
    <w:rsid w:val="00511BC0"/>
    <w:rsid w:val="00512A6C"/>
    <w:rsid w:val="0051359F"/>
    <w:rsid w:val="00514ECC"/>
    <w:rsid w:val="0051550D"/>
    <w:rsid w:val="00517108"/>
    <w:rsid w:val="00517A61"/>
    <w:rsid w:val="0052071D"/>
    <w:rsid w:val="00520A9E"/>
    <w:rsid w:val="00521FA5"/>
    <w:rsid w:val="00527A6C"/>
    <w:rsid w:val="005324C6"/>
    <w:rsid w:val="00534000"/>
    <w:rsid w:val="005353C3"/>
    <w:rsid w:val="005356AE"/>
    <w:rsid w:val="005363EB"/>
    <w:rsid w:val="005369F3"/>
    <w:rsid w:val="00536EA9"/>
    <w:rsid w:val="00541722"/>
    <w:rsid w:val="00541C73"/>
    <w:rsid w:val="005431E3"/>
    <w:rsid w:val="005455A5"/>
    <w:rsid w:val="005458E8"/>
    <w:rsid w:val="00547EEF"/>
    <w:rsid w:val="00552CA4"/>
    <w:rsid w:val="005541B9"/>
    <w:rsid w:val="00556336"/>
    <w:rsid w:val="005615BD"/>
    <w:rsid w:val="00561D5C"/>
    <w:rsid w:val="005628D8"/>
    <w:rsid w:val="00564797"/>
    <w:rsid w:val="005653CF"/>
    <w:rsid w:val="005723AC"/>
    <w:rsid w:val="005735DC"/>
    <w:rsid w:val="005736CD"/>
    <w:rsid w:val="00573F37"/>
    <w:rsid w:val="00580AD6"/>
    <w:rsid w:val="0058268A"/>
    <w:rsid w:val="00582E31"/>
    <w:rsid w:val="00583CA6"/>
    <w:rsid w:val="00586AD4"/>
    <w:rsid w:val="00586D58"/>
    <w:rsid w:val="00590030"/>
    <w:rsid w:val="0059030A"/>
    <w:rsid w:val="00592F54"/>
    <w:rsid w:val="005931E2"/>
    <w:rsid w:val="00593A5B"/>
    <w:rsid w:val="00593D9A"/>
    <w:rsid w:val="005A0341"/>
    <w:rsid w:val="005A1537"/>
    <w:rsid w:val="005A2158"/>
    <w:rsid w:val="005A55C6"/>
    <w:rsid w:val="005A6428"/>
    <w:rsid w:val="005A6ED5"/>
    <w:rsid w:val="005B2C27"/>
    <w:rsid w:val="005B4E8B"/>
    <w:rsid w:val="005B616F"/>
    <w:rsid w:val="005B7CC3"/>
    <w:rsid w:val="005C051E"/>
    <w:rsid w:val="005C1DC4"/>
    <w:rsid w:val="005C2383"/>
    <w:rsid w:val="005C3319"/>
    <w:rsid w:val="005C4E4C"/>
    <w:rsid w:val="005C5BB1"/>
    <w:rsid w:val="005C6E69"/>
    <w:rsid w:val="005C7EB0"/>
    <w:rsid w:val="005D4311"/>
    <w:rsid w:val="005D583A"/>
    <w:rsid w:val="005D7269"/>
    <w:rsid w:val="005E02A9"/>
    <w:rsid w:val="005E1E60"/>
    <w:rsid w:val="005E2EDF"/>
    <w:rsid w:val="005E34F7"/>
    <w:rsid w:val="005E4492"/>
    <w:rsid w:val="005E4A94"/>
    <w:rsid w:val="005E57C4"/>
    <w:rsid w:val="005E5A32"/>
    <w:rsid w:val="005F1B14"/>
    <w:rsid w:val="005F3DA1"/>
    <w:rsid w:val="005F4FC4"/>
    <w:rsid w:val="00600299"/>
    <w:rsid w:val="00601639"/>
    <w:rsid w:val="006029AD"/>
    <w:rsid w:val="00603DEC"/>
    <w:rsid w:val="0060692A"/>
    <w:rsid w:val="00610362"/>
    <w:rsid w:val="00612319"/>
    <w:rsid w:val="00613237"/>
    <w:rsid w:val="00615AA1"/>
    <w:rsid w:val="00615B38"/>
    <w:rsid w:val="00615C2C"/>
    <w:rsid w:val="006263DA"/>
    <w:rsid w:val="00627545"/>
    <w:rsid w:val="00631804"/>
    <w:rsid w:val="00634457"/>
    <w:rsid w:val="00635AC0"/>
    <w:rsid w:val="00635B0D"/>
    <w:rsid w:val="006360B1"/>
    <w:rsid w:val="006360F0"/>
    <w:rsid w:val="00637460"/>
    <w:rsid w:val="00641F85"/>
    <w:rsid w:val="006426D6"/>
    <w:rsid w:val="00643FA9"/>
    <w:rsid w:val="006454C8"/>
    <w:rsid w:val="00647980"/>
    <w:rsid w:val="00651796"/>
    <w:rsid w:val="0065450F"/>
    <w:rsid w:val="00656257"/>
    <w:rsid w:val="0065632C"/>
    <w:rsid w:val="006600AC"/>
    <w:rsid w:val="00661012"/>
    <w:rsid w:val="006610A8"/>
    <w:rsid w:val="00664B5D"/>
    <w:rsid w:val="00664C72"/>
    <w:rsid w:val="006737C1"/>
    <w:rsid w:val="00673C2B"/>
    <w:rsid w:val="00681982"/>
    <w:rsid w:val="00682B8D"/>
    <w:rsid w:val="00684062"/>
    <w:rsid w:val="0068406F"/>
    <w:rsid w:val="00687332"/>
    <w:rsid w:val="00690F23"/>
    <w:rsid w:val="00691123"/>
    <w:rsid w:val="00692ACF"/>
    <w:rsid w:val="00692C8B"/>
    <w:rsid w:val="00697267"/>
    <w:rsid w:val="006A16BA"/>
    <w:rsid w:val="006A2DEC"/>
    <w:rsid w:val="006A32D7"/>
    <w:rsid w:val="006A3C98"/>
    <w:rsid w:val="006A51DE"/>
    <w:rsid w:val="006A5832"/>
    <w:rsid w:val="006A5FDB"/>
    <w:rsid w:val="006B2962"/>
    <w:rsid w:val="006B4243"/>
    <w:rsid w:val="006B6256"/>
    <w:rsid w:val="006B6276"/>
    <w:rsid w:val="006B6339"/>
    <w:rsid w:val="006B789F"/>
    <w:rsid w:val="006C10DC"/>
    <w:rsid w:val="006C196F"/>
    <w:rsid w:val="006C1AAD"/>
    <w:rsid w:val="006C25A0"/>
    <w:rsid w:val="006D5874"/>
    <w:rsid w:val="006D58F2"/>
    <w:rsid w:val="006D6070"/>
    <w:rsid w:val="006D7867"/>
    <w:rsid w:val="006E0D04"/>
    <w:rsid w:val="006E3147"/>
    <w:rsid w:val="006E3B70"/>
    <w:rsid w:val="006E4603"/>
    <w:rsid w:val="006E4938"/>
    <w:rsid w:val="006E5FB5"/>
    <w:rsid w:val="006E6C16"/>
    <w:rsid w:val="006E6EEF"/>
    <w:rsid w:val="006E79AD"/>
    <w:rsid w:val="006E7A35"/>
    <w:rsid w:val="006F031A"/>
    <w:rsid w:val="006F0392"/>
    <w:rsid w:val="006F15F9"/>
    <w:rsid w:val="006F2556"/>
    <w:rsid w:val="006F3324"/>
    <w:rsid w:val="006F4E6B"/>
    <w:rsid w:val="006F5E62"/>
    <w:rsid w:val="006F6CC7"/>
    <w:rsid w:val="0070202E"/>
    <w:rsid w:val="00704263"/>
    <w:rsid w:val="007052C5"/>
    <w:rsid w:val="007054C7"/>
    <w:rsid w:val="0071182D"/>
    <w:rsid w:val="00713058"/>
    <w:rsid w:val="007132E1"/>
    <w:rsid w:val="0071388D"/>
    <w:rsid w:val="007142CC"/>
    <w:rsid w:val="0071518D"/>
    <w:rsid w:val="00717920"/>
    <w:rsid w:val="007206BE"/>
    <w:rsid w:val="00722298"/>
    <w:rsid w:val="00722DBE"/>
    <w:rsid w:val="00724181"/>
    <w:rsid w:val="007322E9"/>
    <w:rsid w:val="00733D0B"/>
    <w:rsid w:val="00733E76"/>
    <w:rsid w:val="00735783"/>
    <w:rsid w:val="007404E1"/>
    <w:rsid w:val="0074165E"/>
    <w:rsid w:val="007424E4"/>
    <w:rsid w:val="007433DB"/>
    <w:rsid w:val="007435A1"/>
    <w:rsid w:val="00744B73"/>
    <w:rsid w:val="00747832"/>
    <w:rsid w:val="00752543"/>
    <w:rsid w:val="00755975"/>
    <w:rsid w:val="00760361"/>
    <w:rsid w:val="007616B4"/>
    <w:rsid w:val="00763221"/>
    <w:rsid w:val="007638EE"/>
    <w:rsid w:val="00766646"/>
    <w:rsid w:val="007669DF"/>
    <w:rsid w:val="00767FFE"/>
    <w:rsid w:val="00770CEE"/>
    <w:rsid w:val="00773340"/>
    <w:rsid w:val="00773422"/>
    <w:rsid w:val="0077384F"/>
    <w:rsid w:val="00773CF3"/>
    <w:rsid w:val="007743F5"/>
    <w:rsid w:val="0077441D"/>
    <w:rsid w:val="007744BC"/>
    <w:rsid w:val="00774FC6"/>
    <w:rsid w:val="0077563E"/>
    <w:rsid w:val="0077620D"/>
    <w:rsid w:val="0078211E"/>
    <w:rsid w:val="007828C9"/>
    <w:rsid w:val="00784BE8"/>
    <w:rsid w:val="0078526D"/>
    <w:rsid w:val="0078560D"/>
    <w:rsid w:val="00785C17"/>
    <w:rsid w:val="0078695A"/>
    <w:rsid w:val="00786A5A"/>
    <w:rsid w:val="0078799A"/>
    <w:rsid w:val="00792CF2"/>
    <w:rsid w:val="00793A4C"/>
    <w:rsid w:val="007958F4"/>
    <w:rsid w:val="00795BD3"/>
    <w:rsid w:val="007974A0"/>
    <w:rsid w:val="007A00E7"/>
    <w:rsid w:val="007A0209"/>
    <w:rsid w:val="007A1759"/>
    <w:rsid w:val="007A2552"/>
    <w:rsid w:val="007A4889"/>
    <w:rsid w:val="007A7253"/>
    <w:rsid w:val="007B6A60"/>
    <w:rsid w:val="007B7E70"/>
    <w:rsid w:val="007C1D76"/>
    <w:rsid w:val="007C1E6A"/>
    <w:rsid w:val="007C4036"/>
    <w:rsid w:val="007C4797"/>
    <w:rsid w:val="007C5C9B"/>
    <w:rsid w:val="007D2084"/>
    <w:rsid w:val="007D5593"/>
    <w:rsid w:val="007D5CE4"/>
    <w:rsid w:val="007D7F14"/>
    <w:rsid w:val="007E3EA7"/>
    <w:rsid w:val="007E50DA"/>
    <w:rsid w:val="007F43D8"/>
    <w:rsid w:val="007F61DF"/>
    <w:rsid w:val="007F7194"/>
    <w:rsid w:val="007F7D51"/>
    <w:rsid w:val="008001FA"/>
    <w:rsid w:val="008015DB"/>
    <w:rsid w:val="00801B20"/>
    <w:rsid w:val="00803E5F"/>
    <w:rsid w:val="00804DB1"/>
    <w:rsid w:val="00805AAA"/>
    <w:rsid w:val="008109CF"/>
    <w:rsid w:val="00811616"/>
    <w:rsid w:val="0081216E"/>
    <w:rsid w:val="00812CFF"/>
    <w:rsid w:val="00813526"/>
    <w:rsid w:val="00814FB8"/>
    <w:rsid w:val="00820B8A"/>
    <w:rsid w:val="00822F8E"/>
    <w:rsid w:val="0082443D"/>
    <w:rsid w:val="008266AA"/>
    <w:rsid w:val="0082675E"/>
    <w:rsid w:val="00826DC6"/>
    <w:rsid w:val="00827EA1"/>
    <w:rsid w:val="00831CE3"/>
    <w:rsid w:val="008337C7"/>
    <w:rsid w:val="008338B1"/>
    <w:rsid w:val="00834496"/>
    <w:rsid w:val="00836CCA"/>
    <w:rsid w:val="00836E63"/>
    <w:rsid w:val="00837F98"/>
    <w:rsid w:val="00840140"/>
    <w:rsid w:val="0084027C"/>
    <w:rsid w:val="0084131C"/>
    <w:rsid w:val="008418AE"/>
    <w:rsid w:val="00841BC0"/>
    <w:rsid w:val="00842CD5"/>
    <w:rsid w:val="0085047F"/>
    <w:rsid w:val="00853488"/>
    <w:rsid w:val="008544E9"/>
    <w:rsid w:val="008556DA"/>
    <w:rsid w:val="00860803"/>
    <w:rsid w:val="00860FF1"/>
    <w:rsid w:val="0087080B"/>
    <w:rsid w:val="008751C9"/>
    <w:rsid w:val="008751E7"/>
    <w:rsid w:val="00877B2B"/>
    <w:rsid w:val="00880CE2"/>
    <w:rsid w:val="008811B3"/>
    <w:rsid w:val="008855F6"/>
    <w:rsid w:val="00886A32"/>
    <w:rsid w:val="0088750D"/>
    <w:rsid w:val="008909C4"/>
    <w:rsid w:val="00892592"/>
    <w:rsid w:val="008956BB"/>
    <w:rsid w:val="00897EB5"/>
    <w:rsid w:val="008A1B79"/>
    <w:rsid w:val="008A5729"/>
    <w:rsid w:val="008A661A"/>
    <w:rsid w:val="008B31ED"/>
    <w:rsid w:val="008B4AF7"/>
    <w:rsid w:val="008B54D4"/>
    <w:rsid w:val="008B654D"/>
    <w:rsid w:val="008B7B69"/>
    <w:rsid w:val="008C0F28"/>
    <w:rsid w:val="008C7FAC"/>
    <w:rsid w:val="008D18FC"/>
    <w:rsid w:val="008D3F6C"/>
    <w:rsid w:val="008D5851"/>
    <w:rsid w:val="008D585E"/>
    <w:rsid w:val="008D6731"/>
    <w:rsid w:val="008D6E02"/>
    <w:rsid w:val="008E1B62"/>
    <w:rsid w:val="008E1D31"/>
    <w:rsid w:val="008E2566"/>
    <w:rsid w:val="008E2917"/>
    <w:rsid w:val="008E521B"/>
    <w:rsid w:val="008F0AEF"/>
    <w:rsid w:val="008F19FD"/>
    <w:rsid w:val="008F5D4D"/>
    <w:rsid w:val="0090092C"/>
    <w:rsid w:val="00901C1B"/>
    <w:rsid w:val="00902A64"/>
    <w:rsid w:val="00902B3A"/>
    <w:rsid w:val="0090301F"/>
    <w:rsid w:val="00906E7A"/>
    <w:rsid w:val="009071F8"/>
    <w:rsid w:val="00907780"/>
    <w:rsid w:val="00910F0E"/>
    <w:rsid w:val="00912CEA"/>
    <w:rsid w:val="009147D5"/>
    <w:rsid w:val="00915DF7"/>
    <w:rsid w:val="00916423"/>
    <w:rsid w:val="00917C41"/>
    <w:rsid w:val="00920396"/>
    <w:rsid w:val="0092290B"/>
    <w:rsid w:val="00925482"/>
    <w:rsid w:val="009264A3"/>
    <w:rsid w:val="00927CE3"/>
    <w:rsid w:val="00927EC6"/>
    <w:rsid w:val="00930D5A"/>
    <w:rsid w:val="00936AD5"/>
    <w:rsid w:val="00936D99"/>
    <w:rsid w:val="00937C1E"/>
    <w:rsid w:val="009416F1"/>
    <w:rsid w:val="00942157"/>
    <w:rsid w:val="009428A9"/>
    <w:rsid w:val="0094493D"/>
    <w:rsid w:val="00944C98"/>
    <w:rsid w:val="00945FB1"/>
    <w:rsid w:val="009500ED"/>
    <w:rsid w:val="00952158"/>
    <w:rsid w:val="0095528B"/>
    <w:rsid w:val="009569C1"/>
    <w:rsid w:val="00956B81"/>
    <w:rsid w:val="00956D3C"/>
    <w:rsid w:val="00956F62"/>
    <w:rsid w:val="009572AF"/>
    <w:rsid w:val="00961275"/>
    <w:rsid w:val="009612C9"/>
    <w:rsid w:val="009622FD"/>
    <w:rsid w:val="00964A80"/>
    <w:rsid w:val="009703C4"/>
    <w:rsid w:val="00971639"/>
    <w:rsid w:val="009800F6"/>
    <w:rsid w:val="0098242B"/>
    <w:rsid w:val="00984243"/>
    <w:rsid w:val="009848BD"/>
    <w:rsid w:val="009862F9"/>
    <w:rsid w:val="0098765A"/>
    <w:rsid w:val="009915BF"/>
    <w:rsid w:val="00991B21"/>
    <w:rsid w:val="00993D0B"/>
    <w:rsid w:val="009952AF"/>
    <w:rsid w:val="00995650"/>
    <w:rsid w:val="00995B4A"/>
    <w:rsid w:val="009A144A"/>
    <w:rsid w:val="009A2FF3"/>
    <w:rsid w:val="009A322E"/>
    <w:rsid w:val="009A6AB0"/>
    <w:rsid w:val="009A6AF4"/>
    <w:rsid w:val="009B0089"/>
    <w:rsid w:val="009B0BEE"/>
    <w:rsid w:val="009B0DFC"/>
    <w:rsid w:val="009B0ED9"/>
    <w:rsid w:val="009B1483"/>
    <w:rsid w:val="009B4156"/>
    <w:rsid w:val="009B58FE"/>
    <w:rsid w:val="009C2DFA"/>
    <w:rsid w:val="009C44AE"/>
    <w:rsid w:val="009C4E78"/>
    <w:rsid w:val="009C51E3"/>
    <w:rsid w:val="009C7DA4"/>
    <w:rsid w:val="009D5752"/>
    <w:rsid w:val="009D5A2D"/>
    <w:rsid w:val="009E0920"/>
    <w:rsid w:val="009E1527"/>
    <w:rsid w:val="009E154F"/>
    <w:rsid w:val="009E1E6F"/>
    <w:rsid w:val="009E284A"/>
    <w:rsid w:val="009E60A8"/>
    <w:rsid w:val="009E716F"/>
    <w:rsid w:val="009F032F"/>
    <w:rsid w:val="009F18A0"/>
    <w:rsid w:val="009F23DA"/>
    <w:rsid w:val="009F2E6A"/>
    <w:rsid w:val="009F2F28"/>
    <w:rsid w:val="009F4191"/>
    <w:rsid w:val="009F4867"/>
    <w:rsid w:val="009F4BD7"/>
    <w:rsid w:val="009F4CF9"/>
    <w:rsid w:val="009F5245"/>
    <w:rsid w:val="009F5961"/>
    <w:rsid w:val="009F707F"/>
    <w:rsid w:val="00A004EA"/>
    <w:rsid w:val="00A032F6"/>
    <w:rsid w:val="00A04D4A"/>
    <w:rsid w:val="00A06C3E"/>
    <w:rsid w:val="00A0708B"/>
    <w:rsid w:val="00A13910"/>
    <w:rsid w:val="00A1466B"/>
    <w:rsid w:val="00A16919"/>
    <w:rsid w:val="00A2039A"/>
    <w:rsid w:val="00A212C1"/>
    <w:rsid w:val="00A220B3"/>
    <w:rsid w:val="00A2335E"/>
    <w:rsid w:val="00A26335"/>
    <w:rsid w:val="00A30055"/>
    <w:rsid w:val="00A316F6"/>
    <w:rsid w:val="00A324CB"/>
    <w:rsid w:val="00A346E2"/>
    <w:rsid w:val="00A3502F"/>
    <w:rsid w:val="00A36133"/>
    <w:rsid w:val="00A3721F"/>
    <w:rsid w:val="00A37E54"/>
    <w:rsid w:val="00A41249"/>
    <w:rsid w:val="00A42549"/>
    <w:rsid w:val="00A44DD5"/>
    <w:rsid w:val="00A44EF4"/>
    <w:rsid w:val="00A4584C"/>
    <w:rsid w:val="00A461FF"/>
    <w:rsid w:val="00A50194"/>
    <w:rsid w:val="00A50C99"/>
    <w:rsid w:val="00A50DA7"/>
    <w:rsid w:val="00A522C9"/>
    <w:rsid w:val="00A52C8F"/>
    <w:rsid w:val="00A55223"/>
    <w:rsid w:val="00A5566F"/>
    <w:rsid w:val="00A56A5E"/>
    <w:rsid w:val="00A57257"/>
    <w:rsid w:val="00A572FE"/>
    <w:rsid w:val="00A57EA4"/>
    <w:rsid w:val="00A605DE"/>
    <w:rsid w:val="00A63B24"/>
    <w:rsid w:val="00A648D4"/>
    <w:rsid w:val="00A70443"/>
    <w:rsid w:val="00A70459"/>
    <w:rsid w:val="00A714FD"/>
    <w:rsid w:val="00A721AC"/>
    <w:rsid w:val="00A72C98"/>
    <w:rsid w:val="00A732FD"/>
    <w:rsid w:val="00A73F9C"/>
    <w:rsid w:val="00A752C2"/>
    <w:rsid w:val="00A75C33"/>
    <w:rsid w:val="00A75C45"/>
    <w:rsid w:val="00A81A99"/>
    <w:rsid w:val="00A81FA9"/>
    <w:rsid w:val="00A8330A"/>
    <w:rsid w:val="00A8496C"/>
    <w:rsid w:val="00A86A0A"/>
    <w:rsid w:val="00A903AE"/>
    <w:rsid w:val="00A91484"/>
    <w:rsid w:val="00A91F5B"/>
    <w:rsid w:val="00A9291B"/>
    <w:rsid w:val="00A95CEC"/>
    <w:rsid w:val="00A9642F"/>
    <w:rsid w:val="00AA1D3F"/>
    <w:rsid w:val="00AA29A6"/>
    <w:rsid w:val="00AB0F48"/>
    <w:rsid w:val="00AB0F8F"/>
    <w:rsid w:val="00AB1274"/>
    <w:rsid w:val="00AB2052"/>
    <w:rsid w:val="00AB3480"/>
    <w:rsid w:val="00AB6BAC"/>
    <w:rsid w:val="00AC2AAA"/>
    <w:rsid w:val="00AC533C"/>
    <w:rsid w:val="00AC5F79"/>
    <w:rsid w:val="00AC6359"/>
    <w:rsid w:val="00AC6557"/>
    <w:rsid w:val="00AC7AEC"/>
    <w:rsid w:val="00AD0164"/>
    <w:rsid w:val="00AD3201"/>
    <w:rsid w:val="00AD3E3C"/>
    <w:rsid w:val="00AD60B2"/>
    <w:rsid w:val="00AD6830"/>
    <w:rsid w:val="00AD7D6F"/>
    <w:rsid w:val="00AE01C2"/>
    <w:rsid w:val="00AE2AD0"/>
    <w:rsid w:val="00AE4059"/>
    <w:rsid w:val="00AE729C"/>
    <w:rsid w:val="00AE78C6"/>
    <w:rsid w:val="00AF51D9"/>
    <w:rsid w:val="00AF56E2"/>
    <w:rsid w:val="00AF7F35"/>
    <w:rsid w:val="00B00BA8"/>
    <w:rsid w:val="00B00E09"/>
    <w:rsid w:val="00B0217B"/>
    <w:rsid w:val="00B0476F"/>
    <w:rsid w:val="00B07753"/>
    <w:rsid w:val="00B12638"/>
    <w:rsid w:val="00B13DCA"/>
    <w:rsid w:val="00B149C1"/>
    <w:rsid w:val="00B1677C"/>
    <w:rsid w:val="00B206BF"/>
    <w:rsid w:val="00B217DC"/>
    <w:rsid w:val="00B221C7"/>
    <w:rsid w:val="00B26CC8"/>
    <w:rsid w:val="00B278C2"/>
    <w:rsid w:val="00B30422"/>
    <w:rsid w:val="00B30F1B"/>
    <w:rsid w:val="00B316B0"/>
    <w:rsid w:val="00B35758"/>
    <w:rsid w:val="00B35ED1"/>
    <w:rsid w:val="00B36378"/>
    <w:rsid w:val="00B41B77"/>
    <w:rsid w:val="00B41EF8"/>
    <w:rsid w:val="00B448C3"/>
    <w:rsid w:val="00B45459"/>
    <w:rsid w:val="00B455CF"/>
    <w:rsid w:val="00B45F6E"/>
    <w:rsid w:val="00B46F5A"/>
    <w:rsid w:val="00B50D04"/>
    <w:rsid w:val="00B513B8"/>
    <w:rsid w:val="00B52136"/>
    <w:rsid w:val="00B53A14"/>
    <w:rsid w:val="00B56615"/>
    <w:rsid w:val="00B57B3E"/>
    <w:rsid w:val="00B57D0F"/>
    <w:rsid w:val="00B6045A"/>
    <w:rsid w:val="00B61EAB"/>
    <w:rsid w:val="00B65036"/>
    <w:rsid w:val="00B657DA"/>
    <w:rsid w:val="00B65F80"/>
    <w:rsid w:val="00B65FA9"/>
    <w:rsid w:val="00B70218"/>
    <w:rsid w:val="00B70A26"/>
    <w:rsid w:val="00B70ECE"/>
    <w:rsid w:val="00B71368"/>
    <w:rsid w:val="00B7358F"/>
    <w:rsid w:val="00B73AFF"/>
    <w:rsid w:val="00B807ED"/>
    <w:rsid w:val="00B81686"/>
    <w:rsid w:val="00B81A6B"/>
    <w:rsid w:val="00B8254E"/>
    <w:rsid w:val="00B8395C"/>
    <w:rsid w:val="00B8525F"/>
    <w:rsid w:val="00B85DF1"/>
    <w:rsid w:val="00B86166"/>
    <w:rsid w:val="00B94DD9"/>
    <w:rsid w:val="00B97D37"/>
    <w:rsid w:val="00BA177B"/>
    <w:rsid w:val="00BA19CA"/>
    <w:rsid w:val="00BA2012"/>
    <w:rsid w:val="00BA2B14"/>
    <w:rsid w:val="00BA2F33"/>
    <w:rsid w:val="00BA3795"/>
    <w:rsid w:val="00BA4835"/>
    <w:rsid w:val="00BA4BCF"/>
    <w:rsid w:val="00BA50A6"/>
    <w:rsid w:val="00BA55F4"/>
    <w:rsid w:val="00BA72DC"/>
    <w:rsid w:val="00BB2F1C"/>
    <w:rsid w:val="00BB796B"/>
    <w:rsid w:val="00BB7A1C"/>
    <w:rsid w:val="00BC15AE"/>
    <w:rsid w:val="00BC5730"/>
    <w:rsid w:val="00BC6AB2"/>
    <w:rsid w:val="00BC7232"/>
    <w:rsid w:val="00BD0126"/>
    <w:rsid w:val="00BD1E11"/>
    <w:rsid w:val="00BD2831"/>
    <w:rsid w:val="00BD6D9F"/>
    <w:rsid w:val="00BE0986"/>
    <w:rsid w:val="00BE2BFE"/>
    <w:rsid w:val="00BE2E99"/>
    <w:rsid w:val="00BE3883"/>
    <w:rsid w:val="00BE440E"/>
    <w:rsid w:val="00BE4AB2"/>
    <w:rsid w:val="00BE75C4"/>
    <w:rsid w:val="00BF04BD"/>
    <w:rsid w:val="00BF1E00"/>
    <w:rsid w:val="00BF2C55"/>
    <w:rsid w:val="00BF51D6"/>
    <w:rsid w:val="00BF760C"/>
    <w:rsid w:val="00C02D95"/>
    <w:rsid w:val="00C0388E"/>
    <w:rsid w:val="00C0592C"/>
    <w:rsid w:val="00C104AA"/>
    <w:rsid w:val="00C1058F"/>
    <w:rsid w:val="00C10A26"/>
    <w:rsid w:val="00C123F6"/>
    <w:rsid w:val="00C1278C"/>
    <w:rsid w:val="00C13211"/>
    <w:rsid w:val="00C148F6"/>
    <w:rsid w:val="00C17CD8"/>
    <w:rsid w:val="00C20C67"/>
    <w:rsid w:val="00C22DA6"/>
    <w:rsid w:val="00C23E5B"/>
    <w:rsid w:val="00C246A9"/>
    <w:rsid w:val="00C25BBB"/>
    <w:rsid w:val="00C26DB6"/>
    <w:rsid w:val="00C278EA"/>
    <w:rsid w:val="00C279AB"/>
    <w:rsid w:val="00C30FDF"/>
    <w:rsid w:val="00C31849"/>
    <w:rsid w:val="00C33603"/>
    <w:rsid w:val="00C353EB"/>
    <w:rsid w:val="00C37644"/>
    <w:rsid w:val="00C40228"/>
    <w:rsid w:val="00C426D6"/>
    <w:rsid w:val="00C461C2"/>
    <w:rsid w:val="00C462C9"/>
    <w:rsid w:val="00C46494"/>
    <w:rsid w:val="00C47558"/>
    <w:rsid w:val="00C5129D"/>
    <w:rsid w:val="00C555D5"/>
    <w:rsid w:val="00C5611A"/>
    <w:rsid w:val="00C564E9"/>
    <w:rsid w:val="00C56BAA"/>
    <w:rsid w:val="00C62025"/>
    <w:rsid w:val="00C63F80"/>
    <w:rsid w:val="00C6461F"/>
    <w:rsid w:val="00C66193"/>
    <w:rsid w:val="00C713CF"/>
    <w:rsid w:val="00C7320C"/>
    <w:rsid w:val="00C757CE"/>
    <w:rsid w:val="00C7711E"/>
    <w:rsid w:val="00C8495F"/>
    <w:rsid w:val="00C84AB9"/>
    <w:rsid w:val="00C85DF7"/>
    <w:rsid w:val="00C919D8"/>
    <w:rsid w:val="00C9264B"/>
    <w:rsid w:val="00C93675"/>
    <w:rsid w:val="00C93886"/>
    <w:rsid w:val="00C963E4"/>
    <w:rsid w:val="00CA0D50"/>
    <w:rsid w:val="00CA20C1"/>
    <w:rsid w:val="00CA533F"/>
    <w:rsid w:val="00CA60E0"/>
    <w:rsid w:val="00CB054B"/>
    <w:rsid w:val="00CB067F"/>
    <w:rsid w:val="00CB08E8"/>
    <w:rsid w:val="00CB3066"/>
    <w:rsid w:val="00CC058A"/>
    <w:rsid w:val="00CC33AA"/>
    <w:rsid w:val="00CC4B52"/>
    <w:rsid w:val="00CC79AA"/>
    <w:rsid w:val="00CD010D"/>
    <w:rsid w:val="00CD03C3"/>
    <w:rsid w:val="00CD1264"/>
    <w:rsid w:val="00CD14C3"/>
    <w:rsid w:val="00CD274C"/>
    <w:rsid w:val="00CD6EE2"/>
    <w:rsid w:val="00CD6FEC"/>
    <w:rsid w:val="00CE04DF"/>
    <w:rsid w:val="00CE09DE"/>
    <w:rsid w:val="00CE0BAE"/>
    <w:rsid w:val="00CE22A8"/>
    <w:rsid w:val="00CF6550"/>
    <w:rsid w:val="00D00ED7"/>
    <w:rsid w:val="00D03F0D"/>
    <w:rsid w:val="00D07FA1"/>
    <w:rsid w:val="00D10F8E"/>
    <w:rsid w:val="00D14083"/>
    <w:rsid w:val="00D14883"/>
    <w:rsid w:val="00D15D1E"/>
    <w:rsid w:val="00D15D29"/>
    <w:rsid w:val="00D16283"/>
    <w:rsid w:val="00D24140"/>
    <w:rsid w:val="00D24F98"/>
    <w:rsid w:val="00D254E8"/>
    <w:rsid w:val="00D32DFD"/>
    <w:rsid w:val="00D33B00"/>
    <w:rsid w:val="00D34902"/>
    <w:rsid w:val="00D34B84"/>
    <w:rsid w:val="00D35A26"/>
    <w:rsid w:val="00D369EF"/>
    <w:rsid w:val="00D41084"/>
    <w:rsid w:val="00D41291"/>
    <w:rsid w:val="00D43167"/>
    <w:rsid w:val="00D45913"/>
    <w:rsid w:val="00D46C89"/>
    <w:rsid w:val="00D5065A"/>
    <w:rsid w:val="00D5107D"/>
    <w:rsid w:val="00D524FE"/>
    <w:rsid w:val="00D54F2B"/>
    <w:rsid w:val="00D55243"/>
    <w:rsid w:val="00D55400"/>
    <w:rsid w:val="00D57100"/>
    <w:rsid w:val="00D57AEF"/>
    <w:rsid w:val="00D603D3"/>
    <w:rsid w:val="00D61123"/>
    <w:rsid w:val="00D63360"/>
    <w:rsid w:val="00D64087"/>
    <w:rsid w:val="00D65CE9"/>
    <w:rsid w:val="00D67CF6"/>
    <w:rsid w:val="00D72D95"/>
    <w:rsid w:val="00D7555C"/>
    <w:rsid w:val="00D76BC1"/>
    <w:rsid w:val="00D77C65"/>
    <w:rsid w:val="00D83DE8"/>
    <w:rsid w:val="00D8601B"/>
    <w:rsid w:val="00D86332"/>
    <w:rsid w:val="00D87E33"/>
    <w:rsid w:val="00D901FE"/>
    <w:rsid w:val="00D9155F"/>
    <w:rsid w:val="00D91878"/>
    <w:rsid w:val="00D93ED8"/>
    <w:rsid w:val="00D949DF"/>
    <w:rsid w:val="00DA16C7"/>
    <w:rsid w:val="00DA19BB"/>
    <w:rsid w:val="00DA650D"/>
    <w:rsid w:val="00DA670A"/>
    <w:rsid w:val="00DB4233"/>
    <w:rsid w:val="00DC602A"/>
    <w:rsid w:val="00DC7D11"/>
    <w:rsid w:val="00DD0980"/>
    <w:rsid w:val="00DD0F18"/>
    <w:rsid w:val="00DD5819"/>
    <w:rsid w:val="00DD5929"/>
    <w:rsid w:val="00DD6611"/>
    <w:rsid w:val="00DE004F"/>
    <w:rsid w:val="00DE178C"/>
    <w:rsid w:val="00DE1885"/>
    <w:rsid w:val="00DE2BD8"/>
    <w:rsid w:val="00DE6292"/>
    <w:rsid w:val="00DF05B9"/>
    <w:rsid w:val="00DF3397"/>
    <w:rsid w:val="00DF342D"/>
    <w:rsid w:val="00DF5778"/>
    <w:rsid w:val="00DF6703"/>
    <w:rsid w:val="00DF67F7"/>
    <w:rsid w:val="00E0334B"/>
    <w:rsid w:val="00E04F9D"/>
    <w:rsid w:val="00E0731E"/>
    <w:rsid w:val="00E141BC"/>
    <w:rsid w:val="00E16FDF"/>
    <w:rsid w:val="00E17812"/>
    <w:rsid w:val="00E2012A"/>
    <w:rsid w:val="00E21904"/>
    <w:rsid w:val="00E22649"/>
    <w:rsid w:val="00E22671"/>
    <w:rsid w:val="00E238B4"/>
    <w:rsid w:val="00E26C0C"/>
    <w:rsid w:val="00E302CD"/>
    <w:rsid w:val="00E31ECF"/>
    <w:rsid w:val="00E326B7"/>
    <w:rsid w:val="00E34F6E"/>
    <w:rsid w:val="00E37D8A"/>
    <w:rsid w:val="00E37FC4"/>
    <w:rsid w:val="00E40CCA"/>
    <w:rsid w:val="00E44F98"/>
    <w:rsid w:val="00E46754"/>
    <w:rsid w:val="00E46DA8"/>
    <w:rsid w:val="00E47195"/>
    <w:rsid w:val="00E50447"/>
    <w:rsid w:val="00E51B32"/>
    <w:rsid w:val="00E53395"/>
    <w:rsid w:val="00E539DA"/>
    <w:rsid w:val="00E56FDA"/>
    <w:rsid w:val="00E57A54"/>
    <w:rsid w:val="00E61159"/>
    <w:rsid w:val="00E71A1D"/>
    <w:rsid w:val="00E71BA4"/>
    <w:rsid w:val="00E724FD"/>
    <w:rsid w:val="00E7280E"/>
    <w:rsid w:val="00E800FE"/>
    <w:rsid w:val="00E80F8F"/>
    <w:rsid w:val="00E810DB"/>
    <w:rsid w:val="00E822E2"/>
    <w:rsid w:val="00E879B9"/>
    <w:rsid w:val="00E87EC1"/>
    <w:rsid w:val="00E919DE"/>
    <w:rsid w:val="00E93F76"/>
    <w:rsid w:val="00E9694B"/>
    <w:rsid w:val="00E96B86"/>
    <w:rsid w:val="00E975DF"/>
    <w:rsid w:val="00E97791"/>
    <w:rsid w:val="00E97DE1"/>
    <w:rsid w:val="00EA186C"/>
    <w:rsid w:val="00EA4EE2"/>
    <w:rsid w:val="00EA513E"/>
    <w:rsid w:val="00EA6CDE"/>
    <w:rsid w:val="00EB0886"/>
    <w:rsid w:val="00EB1429"/>
    <w:rsid w:val="00EB454D"/>
    <w:rsid w:val="00EB4F4E"/>
    <w:rsid w:val="00EB5F4F"/>
    <w:rsid w:val="00EB79A8"/>
    <w:rsid w:val="00EB7BA1"/>
    <w:rsid w:val="00EC02EE"/>
    <w:rsid w:val="00EC6B41"/>
    <w:rsid w:val="00ED0FAF"/>
    <w:rsid w:val="00ED3639"/>
    <w:rsid w:val="00ED3EB0"/>
    <w:rsid w:val="00ED7FE4"/>
    <w:rsid w:val="00EE20F0"/>
    <w:rsid w:val="00EE3F68"/>
    <w:rsid w:val="00EE46A0"/>
    <w:rsid w:val="00EE47F3"/>
    <w:rsid w:val="00EE49B9"/>
    <w:rsid w:val="00EE49EB"/>
    <w:rsid w:val="00EE6163"/>
    <w:rsid w:val="00EF5715"/>
    <w:rsid w:val="00F01ACE"/>
    <w:rsid w:val="00F033B9"/>
    <w:rsid w:val="00F03E45"/>
    <w:rsid w:val="00F04A33"/>
    <w:rsid w:val="00F060E9"/>
    <w:rsid w:val="00F0719B"/>
    <w:rsid w:val="00F1008D"/>
    <w:rsid w:val="00F1203B"/>
    <w:rsid w:val="00F12F1F"/>
    <w:rsid w:val="00F15226"/>
    <w:rsid w:val="00F20E80"/>
    <w:rsid w:val="00F21D39"/>
    <w:rsid w:val="00F228EE"/>
    <w:rsid w:val="00F23AEC"/>
    <w:rsid w:val="00F24FC3"/>
    <w:rsid w:val="00F2589C"/>
    <w:rsid w:val="00F31417"/>
    <w:rsid w:val="00F33C95"/>
    <w:rsid w:val="00F3442A"/>
    <w:rsid w:val="00F34A68"/>
    <w:rsid w:val="00F34F45"/>
    <w:rsid w:val="00F36723"/>
    <w:rsid w:val="00F36DC9"/>
    <w:rsid w:val="00F37A38"/>
    <w:rsid w:val="00F37C68"/>
    <w:rsid w:val="00F412B4"/>
    <w:rsid w:val="00F44903"/>
    <w:rsid w:val="00F45214"/>
    <w:rsid w:val="00F465E7"/>
    <w:rsid w:val="00F5321A"/>
    <w:rsid w:val="00F54CAD"/>
    <w:rsid w:val="00F55656"/>
    <w:rsid w:val="00F61633"/>
    <w:rsid w:val="00F632C1"/>
    <w:rsid w:val="00F63A0E"/>
    <w:rsid w:val="00F658F9"/>
    <w:rsid w:val="00F66171"/>
    <w:rsid w:val="00F672DA"/>
    <w:rsid w:val="00F73AE1"/>
    <w:rsid w:val="00F74BC3"/>
    <w:rsid w:val="00F74F5B"/>
    <w:rsid w:val="00F76D12"/>
    <w:rsid w:val="00F77263"/>
    <w:rsid w:val="00F80170"/>
    <w:rsid w:val="00F81AE8"/>
    <w:rsid w:val="00F82C97"/>
    <w:rsid w:val="00F832E1"/>
    <w:rsid w:val="00F84DAC"/>
    <w:rsid w:val="00F85703"/>
    <w:rsid w:val="00F9018A"/>
    <w:rsid w:val="00F90A69"/>
    <w:rsid w:val="00F915EE"/>
    <w:rsid w:val="00F91AC8"/>
    <w:rsid w:val="00F92394"/>
    <w:rsid w:val="00F92483"/>
    <w:rsid w:val="00F94B2F"/>
    <w:rsid w:val="00F95A60"/>
    <w:rsid w:val="00F95E30"/>
    <w:rsid w:val="00F96523"/>
    <w:rsid w:val="00FA3D27"/>
    <w:rsid w:val="00FA3D93"/>
    <w:rsid w:val="00FA58AB"/>
    <w:rsid w:val="00FA70BB"/>
    <w:rsid w:val="00FB21C1"/>
    <w:rsid w:val="00FB3A19"/>
    <w:rsid w:val="00FB4640"/>
    <w:rsid w:val="00FB5853"/>
    <w:rsid w:val="00FC234C"/>
    <w:rsid w:val="00FC392A"/>
    <w:rsid w:val="00FC41C9"/>
    <w:rsid w:val="00FC4F0B"/>
    <w:rsid w:val="00FC6B07"/>
    <w:rsid w:val="00FD0210"/>
    <w:rsid w:val="00FD3F61"/>
    <w:rsid w:val="00FD499D"/>
    <w:rsid w:val="00FE2FF4"/>
    <w:rsid w:val="00FE3954"/>
    <w:rsid w:val="00FE506C"/>
    <w:rsid w:val="00FE537E"/>
    <w:rsid w:val="00FE576B"/>
    <w:rsid w:val="00FE5BB6"/>
    <w:rsid w:val="00FF2E6C"/>
    <w:rsid w:val="00FF2FEE"/>
    <w:rsid w:val="00FF376F"/>
    <w:rsid w:val="00FF3AA7"/>
    <w:rsid w:val="00FF4486"/>
    <w:rsid w:val="00FF4896"/>
    <w:rsid w:val="00FF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02FAC"/>
  <w14:defaultImageDpi w14:val="0"/>
  <w15:docId w15:val="{89BB3E82-089D-4D5E-8D0C-705241A1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semiHidden/>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8298">
      <w:marLeft w:val="0"/>
      <w:marRight w:val="0"/>
      <w:marTop w:val="0"/>
      <w:marBottom w:val="0"/>
      <w:divBdr>
        <w:top w:val="none" w:sz="0" w:space="0" w:color="auto"/>
        <w:left w:val="none" w:sz="0" w:space="0" w:color="auto"/>
        <w:bottom w:val="none" w:sz="0" w:space="0" w:color="auto"/>
        <w:right w:val="none" w:sz="0" w:space="0" w:color="auto"/>
      </w:divBdr>
    </w:div>
    <w:div w:id="954558299">
      <w:marLeft w:val="0"/>
      <w:marRight w:val="0"/>
      <w:marTop w:val="0"/>
      <w:marBottom w:val="0"/>
      <w:divBdr>
        <w:top w:val="none" w:sz="0" w:space="0" w:color="auto"/>
        <w:left w:val="none" w:sz="0" w:space="0" w:color="auto"/>
        <w:bottom w:val="none" w:sz="0" w:space="0" w:color="auto"/>
        <w:right w:val="none" w:sz="0" w:space="0" w:color="auto"/>
      </w:divBdr>
    </w:div>
    <w:div w:id="954558300">
      <w:marLeft w:val="0"/>
      <w:marRight w:val="0"/>
      <w:marTop w:val="0"/>
      <w:marBottom w:val="0"/>
      <w:divBdr>
        <w:top w:val="none" w:sz="0" w:space="0" w:color="auto"/>
        <w:left w:val="none" w:sz="0" w:space="0" w:color="auto"/>
        <w:bottom w:val="none" w:sz="0" w:space="0" w:color="auto"/>
        <w:right w:val="none" w:sz="0" w:space="0" w:color="auto"/>
      </w:divBdr>
    </w:div>
    <w:div w:id="954558301">
      <w:marLeft w:val="0"/>
      <w:marRight w:val="0"/>
      <w:marTop w:val="0"/>
      <w:marBottom w:val="0"/>
      <w:divBdr>
        <w:top w:val="none" w:sz="0" w:space="0" w:color="auto"/>
        <w:left w:val="none" w:sz="0" w:space="0" w:color="auto"/>
        <w:bottom w:val="none" w:sz="0" w:space="0" w:color="auto"/>
        <w:right w:val="none" w:sz="0" w:space="0" w:color="auto"/>
      </w:divBdr>
    </w:div>
    <w:div w:id="954558302">
      <w:marLeft w:val="0"/>
      <w:marRight w:val="0"/>
      <w:marTop w:val="0"/>
      <w:marBottom w:val="0"/>
      <w:divBdr>
        <w:top w:val="none" w:sz="0" w:space="0" w:color="auto"/>
        <w:left w:val="none" w:sz="0" w:space="0" w:color="auto"/>
        <w:bottom w:val="none" w:sz="0" w:space="0" w:color="auto"/>
        <w:right w:val="none" w:sz="0" w:space="0" w:color="auto"/>
      </w:divBdr>
    </w:div>
    <w:div w:id="954558303">
      <w:marLeft w:val="0"/>
      <w:marRight w:val="0"/>
      <w:marTop w:val="0"/>
      <w:marBottom w:val="0"/>
      <w:divBdr>
        <w:top w:val="none" w:sz="0" w:space="0" w:color="auto"/>
        <w:left w:val="none" w:sz="0" w:space="0" w:color="auto"/>
        <w:bottom w:val="none" w:sz="0" w:space="0" w:color="auto"/>
        <w:right w:val="none" w:sz="0" w:space="0" w:color="auto"/>
      </w:divBdr>
    </w:div>
    <w:div w:id="954558304">
      <w:marLeft w:val="0"/>
      <w:marRight w:val="0"/>
      <w:marTop w:val="0"/>
      <w:marBottom w:val="0"/>
      <w:divBdr>
        <w:top w:val="none" w:sz="0" w:space="0" w:color="auto"/>
        <w:left w:val="none" w:sz="0" w:space="0" w:color="auto"/>
        <w:bottom w:val="none" w:sz="0" w:space="0" w:color="auto"/>
        <w:right w:val="none" w:sz="0" w:space="0" w:color="auto"/>
      </w:divBdr>
    </w:div>
    <w:div w:id="954558305">
      <w:marLeft w:val="0"/>
      <w:marRight w:val="0"/>
      <w:marTop w:val="0"/>
      <w:marBottom w:val="0"/>
      <w:divBdr>
        <w:top w:val="none" w:sz="0" w:space="0" w:color="auto"/>
        <w:left w:val="none" w:sz="0" w:space="0" w:color="auto"/>
        <w:bottom w:val="none" w:sz="0" w:space="0" w:color="auto"/>
        <w:right w:val="none" w:sz="0" w:space="0" w:color="auto"/>
      </w:divBdr>
    </w:div>
    <w:div w:id="954558306">
      <w:marLeft w:val="0"/>
      <w:marRight w:val="0"/>
      <w:marTop w:val="0"/>
      <w:marBottom w:val="0"/>
      <w:divBdr>
        <w:top w:val="none" w:sz="0" w:space="0" w:color="auto"/>
        <w:left w:val="none" w:sz="0" w:space="0" w:color="auto"/>
        <w:bottom w:val="none" w:sz="0" w:space="0" w:color="auto"/>
        <w:right w:val="none" w:sz="0" w:space="0" w:color="auto"/>
      </w:divBdr>
    </w:div>
    <w:div w:id="954558307">
      <w:marLeft w:val="0"/>
      <w:marRight w:val="0"/>
      <w:marTop w:val="0"/>
      <w:marBottom w:val="0"/>
      <w:divBdr>
        <w:top w:val="none" w:sz="0" w:space="0" w:color="auto"/>
        <w:left w:val="none" w:sz="0" w:space="0" w:color="auto"/>
        <w:bottom w:val="none" w:sz="0" w:space="0" w:color="auto"/>
        <w:right w:val="none" w:sz="0" w:space="0" w:color="auto"/>
      </w:divBdr>
    </w:div>
    <w:div w:id="954558308">
      <w:marLeft w:val="0"/>
      <w:marRight w:val="0"/>
      <w:marTop w:val="0"/>
      <w:marBottom w:val="0"/>
      <w:divBdr>
        <w:top w:val="none" w:sz="0" w:space="0" w:color="auto"/>
        <w:left w:val="none" w:sz="0" w:space="0" w:color="auto"/>
        <w:bottom w:val="none" w:sz="0" w:space="0" w:color="auto"/>
        <w:right w:val="none" w:sz="0" w:space="0" w:color="auto"/>
      </w:divBdr>
    </w:div>
    <w:div w:id="954558309">
      <w:marLeft w:val="0"/>
      <w:marRight w:val="0"/>
      <w:marTop w:val="0"/>
      <w:marBottom w:val="0"/>
      <w:divBdr>
        <w:top w:val="none" w:sz="0" w:space="0" w:color="auto"/>
        <w:left w:val="none" w:sz="0" w:space="0" w:color="auto"/>
        <w:bottom w:val="none" w:sz="0" w:space="0" w:color="auto"/>
        <w:right w:val="none" w:sz="0" w:space="0" w:color="auto"/>
      </w:divBdr>
    </w:div>
    <w:div w:id="954558310">
      <w:marLeft w:val="0"/>
      <w:marRight w:val="0"/>
      <w:marTop w:val="0"/>
      <w:marBottom w:val="0"/>
      <w:divBdr>
        <w:top w:val="none" w:sz="0" w:space="0" w:color="auto"/>
        <w:left w:val="none" w:sz="0" w:space="0" w:color="auto"/>
        <w:bottom w:val="none" w:sz="0" w:space="0" w:color="auto"/>
        <w:right w:val="none" w:sz="0" w:space="0" w:color="auto"/>
      </w:divBdr>
    </w:div>
    <w:div w:id="954558311">
      <w:marLeft w:val="0"/>
      <w:marRight w:val="0"/>
      <w:marTop w:val="0"/>
      <w:marBottom w:val="0"/>
      <w:divBdr>
        <w:top w:val="none" w:sz="0" w:space="0" w:color="auto"/>
        <w:left w:val="none" w:sz="0" w:space="0" w:color="auto"/>
        <w:bottom w:val="none" w:sz="0" w:space="0" w:color="auto"/>
        <w:right w:val="none" w:sz="0" w:space="0" w:color="auto"/>
      </w:divBdr>
    </w:div>
    <w:div w:id="954558312">
      <w:marLeft w:val="0"/>
      <w:marRight w:val="0"/>
      <w:marTop w:val="0"/>
      <w:marBottom w:val="0"/>
      <w:divBdr>
        <w:top w:val="none" w:sz="0" w:space="0" w:color="auto"/>
        <w:left w:val="none" w:sz="0" w:space="0" w:color="auto"/>
        <w:bottom w:val="none" w:sz="0" w:space="0" w:color="auto"/>
        <w:right w:val="none" w:sz="0" w:space="0" w:color="auto"/>
      </w:divBdr>
    </w:div>
    <w:div w:id="954558313">
      <w:marLeft w:val="0"/>
      <w:marRight w:val="0"/>
      <w:marTop w:val="0"/>
      <w:marBottom w:val="0"/>
      <w:divBdr>
        <w:top w:val="none" w:sz="0" w:space="0" w:color="auto"/>
        <w:left w:val="none" w:sz="0" w:space="0" w:color="auto"/>
        <w:bottom w:val="none" w:sz="0" w:space="0" w:color="auto"/>
        <w:right w:val="none" w:sz="0" w:space="0" w:color="auto"/>
      </w:divBdr>
    </w:div>
    <w:div w:id="954558314">
      <w:marLeft w:val="0"/>
      <w:marRight w:val="0"/>
      <w:marTop w:val="0"/>
      <w:marBottom w:val="0"/>
      <w:divBdr>
        <w:top w:val="none" w:sz="0" w:space="0" w:color="auto"/>
        <w:left w:val="none" w:sz="0" w:space="0" w:color="auto"/>
        <w:bottom w:val="none" w:sz="0" w:space="0" w:color="auto"/>
        <w:right w:val="none" w:sz="0" w:space="0" w:color="auto"/>
      </w:divBdr>
    </w:div>
    <w:div w:id="954558315">
      <w:marLeft w:val="0"/>
      <w:marRight w:val="0"/>
      <w:marTop w:val="0"/>
      <w:marBottom w:val="0"/>
      <w:divBdr>
        <w:top w:val="none" w:sz="0" w:space="0" w:color="auto"/>
        <w:left w:val="none" w:sz="0" w:space="0" w:color="auto"/>
        <w:bottom w:val="none" w:sz="0" w:space="0" w:color="auto"/>
        <w:right w:val="none" w:sz="0" w:space="0" w:color="auto"/>
      </w:divBdr>
    </w:div>
    <w:div w:id="954558316">
      <w:marLeft w:val="0"/>
      <w:marRight w:val="0"/>
      <w:marTop w:val="0"/>
      <w:marBottom w:val="0"/>
      <w:divBdr>
        <w:top w:val="none" w:sz="0" w:space="0" w:color="auto"/>
        <w:left w:val="none" w:sz="0" w:space="0" w:color="auto"/>
        <w:bottom w:val="none" w:sz="0" w:space="0" w:color="auto"/>
        <w:right w:val="none" w:sz="0" w:space="0" w:color="auto"/>
      </w:divBdr>
    </w:div>
    <w:div w:id="954558317">
      <w:marLeft w:val="0"/>
      <w:marRight w:val="0"/>
      <w:marTop w:val="0"/>
      <w:marBottom w:val="0"/>
      <w:divBdr>
        <w:top w:val="none" w:sz="0" w:space="0" w:color="auto"/>
        <w:left w:val="none" w:sz="0" w:space="0" w:color="auto"/>
        <w:bottom w:val="none" w:sz="0" w:space="0" w:color="auto"/>
        <w:right w:val="none" w:sz="0" w:space="0" w:color="auto"/>
      </w:divBdr>
    </w:div>
    <w:div w:id="954558318">
      <w:marLeft w:val="0"/>
      <w:marRight w:val="0"/>
      <w:marTop w:val="0"/>
      <w:marBottom w:val="0"/>
      <w:divBdr>
        <w:top w:val="none" w:sz="0" w:space="0" w:color="auto"/>
        <w:left w:val="none" w:sz="0" w:space="0" w:color="auto"/>
        <w:bottom w:val="none" w:sz="0" w:space="0" w:color="auto"/>
        <w:right w:val="none" w:sz="0" w:space="0" w:color="auto"/>
      </w:divBdr>
    </w:div>
    <w:div w:id="954558319">
      <w:marLeft w:val="0"/>
      <w:marRight w:val="0"/>
      <w:marTop w:val="0"/>
      <w:marBottom w:val="0"/>
      <w:divBdr>
        <w:top w:val="none" w:sz="0" w:space="0" w:color="auto"/>
        <w:left w:val="none" w:sz="0" w:space="0" w:color="auto"/>
        <w:bottom w:val="none" w:sz="0" w:space="0" w:color="auto"/>
        <w:right w:val="none" w:sz="0" w:space="0" w:color="auto"/>
      </w:divBdr>
    </w:div>
    <w:div w:id="954558320">
      <w:marLeft w:val="0"/>
      <w:marRight w:val="0"/>
      <w:marTop w:val="0"/>
      <w:marBottom w:val="0"/>
      <w:divBdr>
        <w:top w:val="none" w:sz="0" w:space="0" w:color="auto"/>
        <w:left w:val="none" w:sz="0" w:space="0" w:color="auto"/>
        <w:bottom w:val="none" w:sz="0" w:space="0" w:color="auto"/>
        <w:right w:val="none" w:sz="0" w:space="0" w:color="auto"/>
      </w:divBdr>
    </w:div>
    <w:div w:id="954558321">
      <w:marLeft w:val="0"/>
      <w:marRight w:val="0"/>
      <w:marTop w:val="0"/>
      <w:marBottom w:val="0"/>
      <w:divBdr>
        <w:top w:val="none" w:sz="0" w:space="0" w:color="auto"/>
        <w:left w:val="none" w:sz="0" w:space="0" w:color="auto"/>
        <w:bottom w:val="none" w:sz="0" w:space="0" w:color="auto"/>
        <w:right w:val="none" w:sz="0" w:space="0" w:color="auto"/>
      </w:divBdr>
    </w:div>
    <w:div w:id="954558322">
      <w:marLeft w:val="0"/>
      <w:marRight w:val="0"/>
      <w:marTop w:val="0"/>
      <w:marBottom w:val="0"/>
      <w:divBdr>
        <w:top w:val="none" w:sz="0" w:space="0" w:color="auto"/>
        <w:left w:val="none" w:sz="0" w:space="0" w:color="auto"/>
        <w:bottom w:val="none" w:sz="0" w:space="0" w:color="auto"/>
        <w:right w:val="none" w:sz="0" w:space="0" w:color="auto"/>
      </w:divBdr>
    </w:div>
    <w:div w:id="954558323">
      <w:marLeft w:val="0"/>
      <w:marRight w:val="0"/>
      <w:marTop w:val="0"/>
      <w:marBottom w:val="0"/>
      <w:divBdr>
        <w:top w:val="none" w:sz="0" w:space="0" w:color="auto"/>
        <w:left w:val="none" w:sz="0" w:space="0" w:color="auto"/>
        <w:bottom w:val="none" w:sz="0" w:space="0" w:color="auto"/>
        <w:right w:val="none" w:sz="0" w:space="0" w:color="auto"/>
      </w:divBdr>
    </w:div>
    <w:div w:id="954558324">
      <w:marLeft w:val="0"/>
      <w:marRight w:val="0"/>
      <w:marTop w:val="0"/>
      <w:marBottom w:val="0"/>
      <w:divBdr>
        <w:top w:val="none" w:sz="0" w:space="0" w:color="auto"/>
        <w:left w:val="none" w:sz="0" w:space="0" w:color="auto"/>
        <w:bottom w:val="none" w:sz="0" w:space="0" w:color="auto"/>
        <w:right w:val="none" w:sz="0" w:space="0" w:color="auto"/>
      </w:divBdr>
    </w:div>
    <w:div w:id="954558325">
      <w:marLeft w:val="0"/>
      <w:marRight w:val="0"/>
      <w:marTop w:val="0"/>
      <w:marBottom w:val="0"/>
      <w:divBdr>
        <w:top w:val="none" w:sz="0" w:space="0" w:color="auto"/>
        <w:left w:val="none" w:sz="0" w:space="0" w:color="auto"/>
        <w:bottom w:val="none" w:sz="0" w:space="0" w:color="auto"/>
        <w:right w:val="none" w:sz="0" w:space="0" w:color="auto"/>
      </w:divBdr>
    </w:div>
    <w:div w:id="954558326">
      <w:marLeft w:val="0"/>
      <w:marRight w:val="0"/>
      <w:marTop w:val="0"/>
      <w:marBottom w:val="0"/>
      <w:divBdr>
        <w:top w:val="none" w:sz="0" w:space="0" w:color="auto"/>
        <w:left w:val="none" w:sz="0" w:space="0" w:color="auto"/>
        <w:bottom w:val="none" w:sz="0" w:space="0" w:color="auto"/>
        <w:right w:val="none" w:sz="0" w:space="0" w:color="auto"/>
      </w:divBdr>
    </w:div>
    <w:div w:id="954558327">
      <w:marLeft w:val="0"/>
      <w:marRight w:val="0"/>
      <w:marTop w:val="0"/>
      <w:marBottom w:val="0"/>
      <w:divBdr>
        <w:top w:val="none" w:sz="0" w:space="0" w:color="auto"/>
        <w:left w:val="none" w:sz="0" w:space="0" w:color="auto"/>
        <w:bottom w:val="none" w:sz="0" w:space="0" w:color="auto"/>
        <w:right w:val="none" w:sz="0" w:space="0" w:color="auto"/>
      </w:divBdr>
    </w:div>
    <w:div w:id="954558328">
      <w:marLeft w:val="0"/>
      <w:marRight w:val="0"/>
      <w:marTop w:val="0"/>
      <w:marBottom w:val="0"/>
      <w:divBdr>
        <w:top w:val="none" w:sz="0" w:space="0" w:color="auto"/>
        <w:left w:val="none" w:sz="0" w:space="0" w:color="auto"/>
        <w:bottom w:val="none" w:sz="0" w:space="0" w:color="auto"/>
        <w:right w:val="none" w:sz="0" w:space="0" w:color="auto"/>
      </w:divBdr>
    </w:div>
    <w:div w:id="954558329">
      <w:marLeft w:val="0"/>
      <w:marRight w:val="0"/>
      <w:marTop w:val="0"/>
      <w:marBottom w:val="0"/>
      <w:divBdr>
        <w:top w:val="none" w:sz="0" w:space="0" w:color="auto"/>
        <w:left w:val="none" w:sz="0" w:space="0" w:color="auto"/>
        <w:bottom w:val="none" w:sz="0" w:space="0" w:color="auto"/>
        <w:right w:val="none" w:sz="0" w:space="0" w:color="auto"/>
      </w:divBdr>
    </w:div>
    <w:div w:id="954558330">
      <w:marLeft w:val="0"/>
      <w:marRight w:val="0"/>
      <w:marTop w:val="0"/>
      <w:marBottom w:val="0"/>
      <w:divBdr>
        <w:top w:val="none" w:sz="0" w:space="0" w:color="auto"/>
        <w:left w:val="none" w:sz="0" w:space="0" w:color="auto"/>
        <w:bottom w:val="none" w:sz="0" w:space="0" w:color="auto"/>
        <w:right w:val="none" w:sz="0" w:space="0" w:color="auto"/>
      </w:divBdr>
    </w:div>
    <w:div w:id="954558331">
      <w:marLeft w:val="0"/>
      <w:marRight w:val="0"/>
      <w:marTop w:val="0"/>
      <w:marBottom w:val="0"/>
      <w:divBdr>
        <w:top w:val="none" w:sz="0" w:space="0" w:color="auto"/>
        <w:left w:val="none" w:sz="0" w:space="0" w:color="auto"/>
        <w:bottom w:val="none" w:sz="0" w:space="0" w:color="auto"/>
        <w:right w:val="none" w:sz="0" w:space="0" w:color="auto"/>
      </w:divBdr>
    </w:div>
    <w:div w:id="954558332">
      <w:marLeft w:val="0"/>
      <w:marRight w:val="0"/>
      <w:marTop w:val="0"/>
      <w:marBottom w:val="0"/>
      <w:divBdr>
        <w:top w:val="none" w:sz="0" w:space="0" w:color="auto"/>
        <w:left w:val="none" w:sz="0" w:space="0" w:color="auto"/>
        <w:bottom w:val="none" w:sz="0" w:space="0" w:color="auto"/>
        <w:right w:val="none" w:sz="0" w:space="0" w:color="auto"/>
      </w:divBdr>
    </w:div>
    <w:div w:id="954558333">
      <w:marLeft w:val="0"/>
      <w:marRight w:val="0"/>
      <w:marTop w:val="0"/>
      <w:marBottom w:val="0"/>
      <w:divBdr>
        <w:top w:val="none" w:sz="0" w:space="0" w:color="auto"/>
        <w:left w:val="none" w:sz="0" w:space="0" w:color="auto"/>
        <w:bottom w:val="none" w:sz="0" w:space="0" w:color="auto"/>
        <w:right w:val="none" w:sz="0" w:space="0" w:color="auto"/>
      </w:divBdr>
    </w:div>
    <w:div w:id="954558334">
      <w:marLeft w:val="0"/>
      <w:marRight w:val="0"/>
      <w:marTop w:val="0"/>
      <w:marBottom w:val="0"/>
      <w:divBdr>
        <w:top w:val="none" w:sz="0" w:space="0" w:color="auto"/>
        <w:left w:val="none" w:sz="0" w:space="0" w:color="auto"/>
        <w:bottom w:val="none" w:sz="0" w:space="0" w:color="auto"/>
        <w:right w:val="none" w:sz="0" w:space="0" w:color="auto"/>
      </w:divBdr>
    </w:div>
    <w:div w:id="954558335">
      <w:marLeft w:val="0"/>
      <w:marRight w:val="0"/>
      <w:marTop w:val="0"/>
      <w:marBottom w:val="0"/>
      <w:divBdr>
        <w:top w:val="none" w:sz="0" w:space="0" w:color="auto"/>
        <w:left w:val="none" w:sz="0" w:space="0" w:color="auto"/>
        <w:bottom w:val="none" w:sz="0" w:space="0" w:color="auto"/>
        <w:right w:val="none" w:sz="0" w:space="0" w:color="auto"/>
      </w:divBdr>
    </w:div>
    <w:div w:id="954558336">
      <w:marLeft w:val="0"/>
      <w:marRight w:val="0"/>
      <w:marTop w:val="0"/>
      <w:marBottom w:val="0"/>
      <w:divBdr>
        <w:top w:val="none" w:sz="0" w:space="0" w:color="auto"/>
        <w:left w:val="none" w:sz="0" w:space="0" w:color="auto"/>
        <w:bottom w:val="none" w:sz="0" w:space="0" w:color="auto"/>
        <w:right w:val="none" w:sz="0" w:space="0" w:color="auto"/>
      </w:divBdr>
    </w:div>
    <w:div w:id="954558337">
      <w:marLeft w:val="0"/>
      <w:marRight w:val="0"/>
      <w:marTop w:val="0"/>
      <w:marBottom w:val="0"/>
      <w:divBdr>
        <w:top w:val="none" w:sz="0" w:space="0" w:color="auto"/>
        <w:left w:val="none" w:sz="0" w:space="0" w:color="auto"/>
        <w:bottom w:val="none" w:sz="0" w:space="0" w:color="auto"/>
        <w:right w:val="none" w:sz="0" w:space="0" w:color="auto"/>
      </w:divBdr>
    </w:div>
    <w:div w:id="954558338">
      <w:marLeft w:val="0"/>
      <w:marRight w:val="0"/>
      <w:marTop w:val="0"/>
      <w:marBottom w:val="0"/>
      <w:divBdr>
        <w:top w:val="none" w:sz="0" w:space="0" w:color="auto"/>
        <w:left w:val="none" w:sz="0" w:space="0" w:color="auto"/>
        <w:bottom w:val="none" w:sz="0" w:space="0" w:color="auto"/>
        <w:right w:val="none" w:sz="0" w:space="0" w:color="auto"/>
      </w:divBdr>
    </w:div>
    <w:div w:id="954558339">
      <w:marLeft w:val="0"/>
      <w:marRight w:val="0"/>
      <w:marTop w:val="0"/>
      <w:marBottom w:val="0"/>
      <w:divBdr>
        <w:top w:val="none" w:sz="0" w:space="0" w:color="auto"/>
        <w:left w:val="none" w:sz="0" w:space="0" w:color="auto"/>
        <w:bottom w:val="none" w:sz="0" w:space="0" w:color="auto"/>
        <w:right w:val="none" w:sz="0" w:space="0" w:color="auto"/>
      </w:divBdr>
    </w:div>
    <w:div w:id="954558340">
      <w:marLeft w:val="0"/>
      <w:marRight w:val="0"/>
      <w:marTop w:val="0"/>
      <w:marBottom w:val="0"/>
      <w:divBdr>
        <w:top w:val="none" w:sz="0" w:space="0" w:color="auto"/>
        <w:left w:val="none" w:sz="0" w:space="0" w:color="auto"/>
        <w:bottom w:val="none" w:sz="0" w:space="0" w:color="auto"/>
        <w:right w:val="none" w:sz="0" w:space="0" w:color="auto"/>
      </w:divBdr>
    </w:div>
    <w:div w:id="954558341">
      <w:marLeft w:val="0"/>
      <w:marRight w:val="0"/>
      <w:marTop w:val="0"/>
      <w:marBottom w:val="0"/>
      <w:divBdr>
        <w:top w:val="none" w:sz="0" w:space="0" w:color="auto"/>
        <w:left w:val="none" w:sz="0" w:space="0" w:color="auto"/>
        <w:bottom w:val="none" w:sz="0" w:space="0" w:color="auto"/>
        <w:right w:val="none" w:sz="0" w:space="0" w:color="auto"/>
      </w:divBdr>
    </w:div>
    <w:div w:id="954558342">
      <w:marLeft w:val="0"/>
      <w:marRight w:val="0"/>
      <w:marTop w:val="0"/>
      <w:marBottom w:val="0"/>
      <w:divBdr>
        <w:top w:val="none" w:sz="0" w:space="0" w:color="auto"/>
        <w:left w:val="none" w:sz="0" w:space="0" w:color="auto"/>
        <w:bottom w:val="none" w:sz="0" w:space="0" w:color="auto"/>
        <w:right w:val="none" w:sz="0" w:space="0" w:color="auto"/>
      </w:divBdr>
    </w:div>
    <w:div w:id="954558343">
      <w:marLeft w:val="0"/>
      <w:marRight w:val="0"/>
      <w:marTop w:val="0"/>
      <w:marBottom w:val="0"/>
      <w:divBdr>
        <w:top w:val="none" w:sz="0" w:space="0" w:color="auto"/>
        <w:left w:val="none" w:sz="0" w:space="0" w:color="auto"/>
        <w:bottom w:val="none" w:sz="0" w:space="0" w:color="auto"/>
        <w:right w:val="none" w:sz="0" w:space="0" w:color="auto"/>
      </w:divBdr>
    </w:div>
    <w:div w:id="954558344">
      <w:marLeft w:val="0"/>
      <w:marRight w:val="0"/>
      <w:marTop w:val="0"/>
      <w:marBottom w:val="0"/>
      <w:divBdr>
        <w:top w:val="none" w:sz="0" w:space="0" w:color="auto"/>
        <w:left w:val="none" w:sz="0" w:space="0" w:color="auto"/>
        <w:bottom w:val="none" w:sz="0" w:space="0" w:color="auto"/>
        <w:right w:val="none" w:sz="0" w:space="0" w:color="auto"/>
      </w:divBdr>
    </w:div>
    <w:div w:id="954558345">
      <w:marLeft w:val="0"/>
      <w:marRight w:val="0"/>
      <w:marTop w:val="0"/>
      <w:marBottom w:val="0"/>
      <w:divBdr>
        <w:top w:val="none" w:sz="0" w:space="0" w:color="auto"/>
        <w:left w:val="none" w:sz="0" w:space="0" w:color="auto"/>
        <w:bottom w:val="none" w:sz="0" w:space="0" w:color="auto"/>
        <w:right w:val="none" w:sz="0" w:space="0" w:color="auto"/>
      </w:divBdr>
    </w:div>
    <w:div w:id="954558346">
      <w:marLeft w:val="0"/>
      <w:marRight w:val="0"/>
      <w:marTop w:val="0"/>
      <w:marBottom w:val="0"/>
      <w:divBdr>
        <w:top w:val="none" w:sz="0" w:space="0" w:color="auto"/>
        <w:left w:val="none" w:sz="0" w:space="0" w:color="auto"/>
        <w:bottom w:val="none" w:sz="0" w:space="0" w:color="auto"/>
        <w:right w:val="none" w:sz="0" w:space="0" w:color="auto"/>
      </w:divBdr>
    </w:div>
    <w:div w:id="954558347">
      <w:marLeft w:val="0"/>
      <w:marRight w:val="0"/>
      <w:marTop w:val="0"/>
      <w:marBottom w:val="0"/>
      <w:divBdr>
        <w:top w:val="none" w:sz="0" w:space="0" w:color="auto"/>
        <w:left w:val="none" w:sz="0" w:space="0" w:color="auto"/>
        <w:bottom w:val="none" w:sz="0" w:space="0" w:color="auto"/>
        <w:right w:val="none" w:sz="0" w:space="0" w:color="auto"/>
      </w:divBdr>
    </w:div>
    <w:div w:id="954558348">
      <w:marLeft w:val="0"/>
      <w:marRight w:val="0"/>
      <w:marTop w:val="0"/>
      <w:marBottom w:val="0"/>
      <w:divBdr>
        <w:top w:val="none" w:sz="0" w:space="0" w:color="auto"/>
        <w:left w:val="none" w:sz="0" w:space="0" w:color="auto"/>
        <w:bottom w:val="none" w:sz="0" w:space="0" w:color="auto"/>
        <w:right w:val="none" w:sz="0" w:space="0" w:color="auto"/>
      </w:divBdr>
    </w:div>
    <w:div w:id="954558349">
      <w:marLeft w:val="0"/>
      <w:marRight w:val="0"/>
      <w:marTop w:val="0"/>
      <w:marBottom w:val="0"/>
      <w:divBdr>
        <w:top w:val="none" w:sz="0" w:space="0" w:color="auto"/>
        <w:left w:val="none" w:sz="0" w:space="0" w:color="auto"/>
        <w:bottom w:val="none" w:sz="0" w:space="0" w:color="auto"/>
        <w:right w:val="none" w:sz="0" w:space="0" w:color="auto"/>
      </w:divBdr>
    </w:div>
    <w:div w:id="954558350">
      <w:marLeft w:val="0"/>
      <w:marRight w:val="0"/>
      <w:marTop w:val="0"/>
      <w:marBottom w:val="0"/>
      <w:divBdr>
        <w:top w:val="none" w:sz="0" w:space="0" w:color="auto"/>
        <w:left w:val="none" w:sz="0" w:space="0" w:color="auto"/>
        <w:bottom w:val="none" w:sz="0" w:space="0" w:color="auto"/>
        <w:right w:val="none" w:sz="0" w:space="0" w:color="auto"/>
      </w:divBdr>
    </w:div>
    <w:div w:id="954558351">
      <w:marLeft w:val="0"/>
      <w:marRight w:val="0"/>
      <w:marTop w:val="0"/>
      <w:marBottom w:val="0"/>
      <w:divBdr>
        <w:top w:val="none" w:sz="0" w:space="0" w:color="auto"/>
        <w:left w:val="none" w:sz="0" w:space="0" w:color="auto"/>
        <w:bottom w:val="none" w:sz="0" w:space="0" w:color="auto"/>
        <w:right w:val="none" w:sz="0" w:space="0" w:color="auto"/>
      </w:divBdr>
    </w:div>
    <w:div w:id="954558352">
      <w:marLeft w:val="0"/>
      <w:marRight w:val="0"/>
      <w:marTop w:val="0"/>
      <w:marBottom w:val="0"/>
      <w:divBdr>
        <w:top w:val="none" w:sz="0" w:space="0" w:color="auto"/>
        <w:left w:val="none" w:sz="0" w:space="0" w:color="auto"/>
        <w:bottom w:val="none" w:sz="0" w:space="0" w:color="auto"/>
        <w:right w:val="none" w:sz="0" w:space="0" w:color="auto"/>
      </w:divBdr>
    </w:div>
    <w:div w:id="954558353">
      <w:marLeft w:val="0"/>
      <w:marRight w:val="0"/>
      <w:marTop w:val="0"/>
      <w:marBottom w:val="0"/>
      <w:divBdr>
        <w:top w:val="none" w:sz="0" w:space="0" w:color="auto"/>
        <w:left w:val="none" w:sz="0" w:space="0" w:color="auto"/>
        <w:bottom w:val="none" w:sz="0" w:space="0" w:color="auto"/>
        <w:right w:val="none" w:sz="0" w:space="0" w:color="auto"/>
      </w:divBdr>
    </w:div>
    <w:div w:id="954558354">
      <w:marLeft w:val="0"/>
      <w:marRight w:val="0"/>
      <w:marTop w:val="0"/>
      <w:marBottom w:val="0"/>
      <w:divBdr>
        <w:top w:val="none" w:sz="0" w:space="0" w:color="auto"/>
        <w:left w:val="none" w:sz="0" w:space="0" w:color="auto"/>
        <w:bottom w:val="none" w:sz="0" w:space="0" w:color="auto"/>
        <w:right w:val="none" w:sz="0" w:space="0" w:color="auto"/>
      </w:divBdr>
    </w:div>
    <w:div w:id="954558355">
      <w:marLeft w:val="0"/>
      <w:marRight w:val="0"/>
      <w:marTop w:val="0"/>
      <w:marBottom w:val="0"/>
      <w:divBdr>
        <w:top w:val="none" w:sz="0" w:space="0" w:color="auto"/>
        <w:left w:val="none" w:sz="0" w:space="0" w:color="auto"/>
        <w:bottom w:val="none" w:sz="0" w:space="0" w:color="auto"/>
        <w:right w:val="none" w:sz="0" w:space="0" w:color="auto"/>
      </w:divBdr>
    </w:div>
    <w:div w:id="954558356">
      <w:marLeft w:val="0"/>
      <w:marRight w:val="0"/>
      <w:marTop w:val="0"/>
      <w:marBottom w:val="0"/>
      <w:divBdr>
        <w:top w:val="none" w:sz="0" w:space="0" w:color="auto"/>
        <w:left w:val="none" w:sz="0" w:space="0" w:color="auto"/>
        <w:bottom w:val="none" w:sz="0" w:space="0" w:color="auto"/>
        <w:right w:val="none" w:sz="0" w:space="0" w:color="auto"/>
      </w:divBdr>
    </w:div>
    <w:div w:id="954558357">
      <w:marLeft w:val="0"/>
      <w:marRight w:val="0"/>
      <w:marTop w:val="0"/>
      <w:marBottom w:val="0"/>
      <w:divBdr>
        <w:top w:val="none" w:sz="0" w:space="0" w:color="auto"/>
        <w:left w:val="none" w:sz="0" w:space="0" w:color="auto"/>
        <w:bottom w:val="none" w:sz="0" w:space="0" w:color="auto"/>
        <w:right w:val="none" w:sz="0" w:space="0" w:color="auto"/>
      </w:divBdr>
    </w:div>
    <w:div w:id="954558358">
      <w:marLeft w:val="0"/>
      <w:marRight w:val="0"/>
      <w:marTop w:val="0"/>
      <w:marBottom w:val="0"/>
      <w:divBdr>
        <w:top w:val="none" w:sz="0" w:space="0" w:color="auto"/>
        <w:left w:val="none" w:sz="0" w:space="0" w:color="auto"/>
        <w:bottom w:val="none" w:sz="0" w:space="0" w:color="auto"/>
        <w:right w:val="none" w:sz="0" w:space="0" w:color="auto"/>
      </w:divBdr>
    </w:div>
    <w:div w:id="954558359">
      <w:marLeft w:val="0"/>
      <w:marRight w:val="0"/>
      <w:marTop w:val="0"/>
      <w:marBottom w:val="0"/>
      <w:divBdr>
        <w:top w:val="none" w:sz="0" w:space="0" w:color="auto"/>
        <w:left w:val="none" w:sz="0" w:space="0" w:color="auto"/>
        <w:bottom w:val="none" w:sz="0" w:space="0" w:color="auto"/>
        <w:right w:val="none" w:sz="0" w:space="0" w:color="auto"/>
      </w:divBdr>
    </w:div>
    <w:div w:id="954558360">
      <w:marLeft w:val="0"/>
      <w:marRight w:val="0"/>
      <w:marTop w:val="0"/>
      <w:marBottom w:val="0"/>
      <w:divBdr>
        <w:top w:val="none" w:sz="0" w:space="0" w:color="auto"/>
        <w:left w:val="none" w:sz="0" w:space="0" w:color="auto"/>
        <w:bottom w:val="none" w:sz="0" w:space="0" w:color="auto"/>
        <w:right w:val="none" w:sz="0" w:space="0" w:color="auto"/>
      </w:divBdr>
    </w:div>
    <w:div w:id="954558361">
      <w:marLeft w:val="0"/>
      <w:marRight w:val="0"/>
      <w:marTop w:val="0"/>
      <w:marBottom w:val="0"/>
      <w:divBdr>
        <w:top w:val="none" w:sz="0" w:space="0" w:color="auto"/>
        <w:left w:val="none" w:sz="0" w:space="0" w:color="auto"/>
        <w:bottom w:val="none" w:sz="0" w:space="0" w:color="auto"/>
        <w:right w:val="none" w:sz="0" w:space="0" w:color="auto"/>
      </w:divBdr>
    </w:div>
    <w:div w:id="954558362">
      <w:marLeft w:val="0"/>
      <w:marRight w:val="0"/>
      <w:marTop w:val="0"/>
      <w:marBottom w:val="0"/>
      <w:divBdr>
        <w:top w:val="none" w:sz="0" w:space="0" w:color="auto"/>
        <w:left w:val="none" w:sz="0" w:space="0" w:color="auto"/>
        <w:bottom w:val="none" w:sz="0" w:space="0" w:color="auto"/>
        <w:right w:val="none" w:sz="0" w:space="0" w:color="auto"/>
      </w:divBdr>
    </w:div>
    <w:div w:id="954558363">
      <w:marLeft w:val="0"/>
      <w:marRight w:val="0"/>
      <w:marTop w:val="0"/>
      <w:marBottom w:val="0"/>
      <w:divBdr>
        <w:top w:val="none" w:sz="0" w:space="0" w:color="auto"/>
        <w:left w:val="none" w:sz="0" w:space="0" w:color="auto"/>
        <w:bottom w:val="none" w:sz="0" w:space="0" w:color="auto"/>
        <w:right w:val="none" w:sz="0" w:space="0" w:color="auto"/>
      </w:divBdr>
    </w:div>
    <w:div w:id="954558364">
      <w:marLeft w:val="0"/>
      <w:marRight w:val="0"/>
      <w:marTop w:val="0"/>
      <w:marBottom w:val="0"/>
      <w:divBdr>
        <w:top w:val="none" w:sz="0" w:space="0" w:color="auto"/>
        <w:left w:val="none" w:sz="0" w:space="0" w:color="auto"/>
        <w:bottom w:val="none" w:sz="0" w:space="0" w:color="auto"/>
        <w:right w:val="none" w:sz="0" w:space="0" w:color="auto"/>
      </w:divBdr>
    </w:div>
    <w:div w:id="954558365">
      <w:marLeft w:val="0"/>
      <w:marRight w:val="0"/>
      <w:marTop w:val="0"/>
      <w:marBottom w:val="0"/>
      <w:divBdr>
        <w:top w:val="none" w:sz="0" w:space="0" w:color="auto"/>
        <w:left w:val="none" w:sz="0" w:space="0" w:color="auto"/>
        <w:bottom w:val="none" w:sz="0" w:space="0" w:color="auto"/>
        <w:right w:val="none" w:sz="0" w:space="0" w:color="auto"/>
      </w:divBdr>
    </w:div>
    <w:div w:id="954558366">
      <w:marLeft w:val="0"/>
      <w:marRight w:val="0"/>
      <w:marTop w:val="0"/>
      <w:marBottom w:val="0"/>
      <w:divBdr>
        <w:top w:val="none" w:sz="0" w:space="0" w:color="auto"/>
        <w:left w:val="none" w:sz="0" w:space="0" w:color="auto"/>
        <w:bottom w:val="none" w:sz="0" w:space="0" w:color="auto"/>
        <w:right w:val="none" w:sz="0" w:space="0" w:color="auto"/>
      </w:divBdr>
    </w:div>
    <w:div w:id="954558367">
      <w:marLeft w:val="0"/>
      <w:marRight w:val="0"/>
      <w:marTop w:val="0"/>
      <w:marBottom w:val="0"/>
      <w:divBdr>
        <w:top w:val="none" w:sz="0" w:space="0" w:color="auto"/>
        <w:left w:val="none" w:sz="0" w:space="0" w:color="auto"/>
        <w:bottom w:val="none" w:sz="0" w:space="0" w:color="auto"/>
        <w:right w:val="none" w:sz="0" w:space="0" w:color="auto"/>
      </w:divBdr>
    </w:div>
    <w:div w:id="954558368">
      <w:marLeft w:val="0"/>
      <w:marRight w:val="0"/>
      <w:marTop w:val="0"/>
      <w:marBottom w:val="0"/>
      <w:divBdr>
        <w:top w:val="none" w:sz="0" w:space="0" w:color="auto"/>
        <w:left w:val="none" w:sz="0" w:space="0" w:color="auto"/>
        <w:bottom w:val="none" w:sz="0" w:space="0" w:color="auto"/>
        <w:right w:val="none" w:sz="0" w:space="0" w:color="auto"/>
      </w:divBdr>
    </w:div>
    <w:div w:id="954558369">
      <w:marLeft w:val="0"/>
      <w:marRight w:val="0"/>
      <w:marTop w:val="0"/>
      <w:marBottom w:val="0"/>
      <w:divBdr>
        <w:top w:val="none" w:sz="0" w:space="0" w:color="auto"/>
        <w:left w:val="none" w:sz="0" w:space="0" w:color="auto"/>
        <w:bottom w:val="none" w:sz="0" w:space="0" w:color="auto"/>
        <w:right w:val="none" w:sz="0" w:space="0" w:color="auto"/>
      </w:divBdr>
    </w:div>
    <w:div w:id="954558370">
      <w:marLeft w:val="0"/>
      <w:marRight w:val="0"/>
      <w:marTop w:val="0"/>
      <w:marBottom w:val="0"/>
      <w:divBdr>
        <w:top w:val="none" w:sz="0" w:space="0" w:color="auto"/>
        <w:left w:val="none" w:sz="0" w:space="0" w:color="auto"/>
        <w:bottom w:val="none" w:sz="0" w:space="0" w:color="auto"/>
        <w:right w:val="none" w:sz="0" w:space="0" w:color="auto"/>
      </w:divBdr>
    </w:div>
    <w:div w:id="954558371">
      <w:marLeft w:val="0"/>
      <w:marRight w:val="0"/>
      <w:marTop w:val="0"/>
      <w:marBottom w:val="0"/>
      <w:divBdr>
        <w:top w:val="none" w:sz="0" w:space="0" w:color="auto"/>
        <w:left w:val="none" w:sz="0" w:space="0" w:color="auto"/>
        <w:bottom w:val="none" w:sz="0" w:space="0" w:color="auto"/>
        <w:right w:val="none" w:sz="0" w:space="0" w:color="auto"/>
      </w:divBdr>
    </w:div>
    <w:div w:id="954558372">
      <w:marLeft w:val="0"/>
      <w:marRight w:val="0"/>
      <w:marTop w:val="0"/>
      <w:marBottom w:val="0"/>
      <w:divBdr>
        <w:top w:val="none" w:sz="0" w:space="0" w:color="auto"/>
        <w:left w:val="none" w:sz="0" w:space="0" w:color="auto"/>
        <w:bottom w:val="none" w:sz="0" w:space="0" w:color="auto"/>
        <w:right w:val="none" w:sz="0" w:space="0" w:color="auto"/>
      </w:divBdr>
    </w:div>
    <w:div w:id="954558373">
      <w:marLeft w:val="0"/>
      <w:marRight w:val="0"/>
      <w:marTop w:val="0"/>
      <w:marBottom w:val="0"/>
      <w:divBdr>
        <w:top w:val="none" w:sz="0" w:space="0" w:color="auto"/>
        <w:left w:val="none" w:sz="0" w:space="0" w:color="auto"/>
        <w:bottom w:val="none" w:sz="0" w:space="0" w:color="auto"/>
        <w:right w:val="none" w:sz="0" w:space="0" w:color="auto"/>
      </w:divBdr>
    </w:div>
    <w:div w:id="954558374">
      <w:marLeft w:val="0"/>
      <w:marRight w:val="0"/>
      <w:marTop w:val="0"/>
      <w:marBottom w:val="0"/>
      <w:divBdr>
        <w:top w:val="none" w:sz="0" w:space="0" w:color="auto"/>
        <w:left w:val="none" w:sz="0" w:space="0" w:color="auto"/>
        <w:bottom w:val="none" w:sz="0" w:space="0" w:color="auto"/>
        <w:right w:val="none" w:sz="0" w:space="0" w:color="auto"/>
      </w:divBdr>
    </w:div>
    <w:div w:id="954558375">
      <w:marLeft w:val="0"/>
      <w:marRight w:val="0"/>
      <w:marTop w:val="0"/>
      <w:marBottom w:val="0"/>
      <w:divBdr>
        <w:top w:val="none" w:sz="0" w:space="0" w:color="auto"/>
        <w:left w:val="none" w:sz="0" w:space="0" w:color="auto"/>
        <w:bottom w:val="none" w:sz="0" w:space="0" w:color="auto"/>
        <w:right w:val="none" w:sz="0" w:space="0" w:color="auto"/>
      </w:divBdr>
    </w:div>
    <w:div w:id="954558376">
      <w:marLeft w:val="0"/>
      <w:marRight w:val="0"/>
      <w:marTop w:val="0"/>
      <w:marBottom w:val="0"/>
      <w:divBdr>
        <w:top w:val="none" w:sz="0" w:space="0" w:color="auto"/>
        <w:left w:val="none" w:sz="0" w:space="0" w:color="auto"/>
        <w:bottom w:val="none" w:sz="0" w:space="0" w:color="auto"/>
        <w:right w:val="none" w:sz="0" w:space="0" w:color="auto"/>
      </w:divBdr>
    </w:div>
    <w:div w:id="954558377">
      <w:marLeft w:val="0"/>
      <w:marRight w:val="0"/>
      <w:marTop w:val="0"/>
      <w:marBottom w:val="0"/>
      <w:divBdr>
        <w:top w:val="none" w:sz="0" w:space="0" w:color="auto"/>
        <w:left w:val="none" w:sz="0" w:space="0" w:color="auto"/>
        <w:bottom w:val="none" w:sz="0" w:space="0" w:color="auto"/>
        <w:right w:val="none" w:sz="0" w:space="0" w:color="auto"/>
      </w:divBdr>
    </w:div>
    <w:div w:id="954558378">
      <w:marLeft w:val="0"/>
      <w:marRight w:val="0"/>
      <w:marTop w:val="0"/>
      <w:marBottom w:val="0"/>
      <w:divBdr>
        <w:top w:val="none" w:sz="0" w:space="0" w:color="auto"/>
        <w:left w:val="none" w:sz="0" w:space="0" w:color="auto"/>
        <w:bottom w:val="none" w:sz="0" w:space="0" w:color="auto"/>
        <w:right w:val="none" w:sz="0" w:space="0" w:color="auto"/>
      </w:divBdr>
    </w:div>
    <w:div w:id="954558379">
      <w:marLeft w:val="0"/>
      <w:marRight w:val="0"/>
      <w:marTop w:val="0"/>
      <w:marBottom w:val="0"/>
      <w:divBdr>
        <w:top w:val="none" w:sz="0" w:space="0" w:color="auto"/>
        <w:left w:val="none" w:sz="0" w:space="0" w:color="auto"/>
        <w:bottom w:val="none" w:sz="0" w:space="0" w:color="auto"/>
        <w:right w:val="none" w:sz="0" w:space="0" w:color="auto"/>
      </w:divBdr>
    </w:div>
    <w:div w:id="954558380">
      <w:marLeft w:val="0"/>
      <w:marRight w:val="0"/>
      <w:marTop w:val="0"/>
      <w:marBottom w:val="0"/>
      <w:divBdr>
        <w:top w:val="none" w:sz="0" w:space="0" w:color="auto"/>
        <w:left w:val="none" w:sz="0" w:space="0" w:color="auto"/>
        <w:bottom w:val="none" w:sz="0" w:space="0" w:color="auto"/>
        <w:right w:val="none" w:sz="0" w:space="0" w:color="auto"/>
      </w:divBdr>
    </w:div>
    <w:div w:id="11815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Res\County%20Treasurer\Accounting%20and%20Taxation\Accounting\LCC\Accounts\2013-14\Treasury\Monitoring\Monthly\Reporting\Audit%20&amp;%20Governance\PWLB%20sht%20term%20rates%20working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orpData02\Res\County%20Treasurer\Accounting%20and%20Taxation\Accounting\LCC\Accounts\2013-14\Treasury\Monitoring\Monthly\Reporting\Audit%20&amp;%20Governance\PWLB%20rates%20for%20TM%20Qtr%20WP.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GB"/>
              <a:t>Short-term Rates</a:t>
            </a:r>
          </a:p>
        </c:rich>
      </c:tx>
      <c:layout>
        <c:manualLayout>
          <c:xMode val="edge"/>
          <c:yMode val="edge"/>
          <c:x val="0.39441709882882997"/>
          <c:y val="5.3565341369365867E-2"/>
        </c:manualLayout>
      </c:layout>
      <c:overlay val="0"/>
      <c:spPr>
        <a:noFill/>
        <a:ln w="25400">
          <a:noFill/>
        </a:ln>
      </c:spPr>
    </c:title>
    <c:autoTitleDeleted val="0"/>
    <c:plotArea>
      <c:layout>
        <c:manualLayout>
          <c:layoutTarget val="inner"/>
          <c:xMode val="edge"/>
          <c:yMode val="edge"/>
          <c:x val="8.5487077534791206E-2"/>
          <c:y val="0.14404451616131975"/>
          <c:w val="0.86878727634194852"/>
          <c:h val="0.59212970114877961"/>
        </c:manualLayout>
      </c:layout>
      <c:lineChart>
        <c:grouping val="standard"/>
        <c:varyColors val="0"/>
        <c:ser>
          <c:idx val="1"/>
          <c:order val="0"/>
          <c:tx>
            <c:strRef>
              <c:f>'Short Term Rates'!$E$2</c:f>
              <c:strCache>
                <c:ptCount val="1"/>
                <c:pt idx="0">
                  <c:v>Dec-13</c:v>
                </c:pt>
              </c:strCache>
            </c:strRef>
          </c:tx>
          <c:spPr>
            <a:ln w="25400">
              <a:solidFill>
                <a:srgbClr val="0070C0"/>
              </a:solidFill>
              <a:prstDash val="solid"/>
            </a:ln>
          </c:spPr>
          <c:marker>
            <c:symbol val="none"/>
          </c:marker>
          <c:cat>
            <c:strRef>
              <c:f>'Short Term Rates'!$D$3:$D$10</c:f>
              <c:strCache>
                <c:ptCount val="8"/>
                <c:pt idx="0">
                  <c:v>O/night</c:v>
                </c:pt>
                <c:pt idx="1">
                  <c:v>Week</c:v>
                </c:pt>
                <c:pt idx="2">
                  <c:v>1m</c:v>
                </c:pt>
                <c:pt idx="3">
                  <c:v>2m</c:v>
                </c:pt>
                <c:pt idx="4">
                  <c:v>3m</c:v>
                </c:pt>
                <c:pt idx="5">
                  <c:v>6m</c:v>
                </c:pt>
                <c:pt idx="6">
                  <c:v>9m</c:v>
                </c:pt>
                <c:pt idx="7">
                  <c:v>12m</c:v>
                </c:pt>
              </c:strCache>
            </c:strRef>
          </c:cat>
          <c:val>
            <c:numRef>
              <c:f>'Short Term Rates'!$E$3:$E$10</c:f>
              <c:numCache>
                <c:formatCode>0.00</c:formatCode>
                <c:ptCount val="8"/>
                <c:pt idx="0">
                  <c:v>0.35</c:v>
                </c:pt>
                <c:pt idx="1">
                  <c:v>0.35</c:v>
                </c:pt>
                <c:pt idx="2">
                  <c:v>0.4</c:v>
                </c:pt>
                <c:pt idx="3">
                  <c:v>0.4</c:v>
                </c:pt>
                <c:pt idx="4">
                  <c:v>0.41</c:v>
                </c:pt>
                <c:pt idx="5">
                  <c:v>0.5</c:v>
                </c:pt>
                <c:pt idx="6">
                  <c:v>0.5</c:v>
                </c:pt>
                <c:pt idx="7">
                  <c:v>0.54</c:v>
                </c:pt>
              </c:numCache>
            </c:numRef>
          </c:val>
          <c:smooth val="0"/>
        </c:ser>
        <c:ser>
          <c:idx val="3"/>
          <c:order val="1"/>
          <c:tx>
            <c:strRef>
              <c:f>'Short Term Rates'!$F$2</c:f>
              <c:strCache>
                <c:ptCount val="1"/>
                <c:pt idx="0">
                  <c:v>Mar-14</c:v>
                </c:pt>
              </c:strCache>
            </c:strRef>
          </c:tx>
          <c:spPr>
            <a:ln w="25400">
              <a:solidFill>
                <a:srgbClr val="FF0000"/>
              </a:solidFill>
              <a:prstDash val="dashDot"/>
            </a:ln>
          </c:spPr>
          <c:marker>
            <c:symbol val="none"/>
          </c:marker>
          <c:cat>
            <c:strRef>
              <c:f>'Short Term Rates'!$D$3:$D$10</c:f>
              <c:strCache>
                <c:ptCount val="8"/>
                <c:pt idx="0">
                  <c:v>O/night</c:v>
                </c:pt>
                <c:pt idx="1">
                  <c:v>Week</c:v>
                </c:pt>
                <c:pt idx="2">
                  <c:v>1m</c:v>
                </c:pt>
                <c:pt idx="3">
                  <c:v>2m</c:v>
                </c:pt>
                <c:pt idx="4">
                  <c:v>3m</c:v>
                </c:pt>
                <c:pt idx="5">
                  <c:v>6m</c:v>
                </c:pt>
                <c:pt idx="6">
                  <c:v>9m</c:v>
                </c:pt>
                <c:pt idx="7">
                  <c:v>12m</c:v>
                </c:pt>
              </c:strCache>
            </c:strRef>
          </c:cat>
          <c:val>
            <c:numRef>
              <c:f>'Short Term Rates'!$F$3:$F$10</c:f>
              <c:numCache>
                <c:formatCode>0.00</c:formatCode>
                <c:ptCount val="8"/>
                <c:pt idx="0">
                  <c:v>0.35</c:v>
                </c:pt>
                <c:pt idx="1">
                  <c:v>0.35</c:v>
                </c:pt>
                <c:pt idx="2">
                  <c:v>0.4</c:v>
                </c:pt>
                <c:pt idx="3">
                  <c:v>0.4</c:v>
                </c:pt>
                <c:pt idx="4">
                  <c:v>0.41</c:v>
                </c:pt>
                <c:pt idx="5">
                  <c:v>0.5</c:v>
                </c:pt>
                <c:pt idx="6">
                  <c:v>0.5</c:v>
                </c:pt>
                <c:pt idx="7">
                  <c:v>0.5</c:v>
                </c:pt>
              </c:numCache>
            </c:numRef>
          </c:val>
          <c:smooth val="0"/>
        </c:ser>
        <c:ser>
          <c:idx val="0"/>
          <c:order val="2"/>
          <c:tx>
            <c:strRef>
              <c:f>'Short Term Rates'!$G$2</c:f>
              <c:strCache>
                <c:ptCount val="1"/>
                <c:pt idx="0">
                  <c:v>Sep-14</c:v>
                </c:pt>
              </c:strCache>
            </c:strRef>
          </c:tx>
          <c:spPr>
            <a:ln>
              <a:solidFill>
                <a:schemeClr val="tx1"/>
              </a:solidFill>
              <a:prstDash val="sysDot"/>
            </a:ln>
          </c:spPr>
          <c:marker>
            <c:symbol val="none"/>
          </c:marker>
          <c:cat>
            <c:strRef>
              <c:f>'Short Term Rates'!$D$3:$D$10</c:f>
              <c:strCache>
                <c:ptCount val="8"/>
                <c:pt idx="0">
                  <c:v>O/night</c:v>
                </c:pt>
                <c:pt idx="1">
                  <c:v>Week</c:v>
                </c:pt>
                <c:pt idx="2">
                  <c:v>1m</c:v>
                </c:pt>
                <c:pt idx="3">
                  <c:v>2m</c:v>
                </c:pt>
                <c:pt idx="4">
                  <c:v>3m</c:v>
                </c:pt>
                <c:pt idx="5">
                  <c:v>6m</c:v>
                </c:pt>
                <c:pt idx="6">
                  <c:v>9m</c:v>
                </c:pt>
                <c:pt idx="7">
                  <c:v>12m</c:v>
                </c:pt>
              </c:strCache>
            </c:strRef>
          </c:cat>
          <c:val>
            <c:numRef>
              <c:f>'Short Term Rates'!$G$3:$G$10</c:f>
              <c:numCache>
                <c:formatCode>0.00</c:formatCode>
                <c:ptCount val="8"/>
                <c:pt idx="0">
                  <c:v>0.35</c:v>
                </c:pt>
                <c:pt idx="1">
                  <c:v>0.35</c:v>
                </c:pt>
                <c:pt idx="2">
                  <c:v>0.4</c:v>
                </c:pt>
                <c:pt idx="3">
                  <c:v>0.4</c:v>
                </c:pt>
                <c:pt idx="4">
                  <c:v>0.41</c:v>
                </c:pt>
                <c:pt idx="5">
                  <c:v>0.5</c:v>
                </c:pt>
                <c:pt idx="6">
                  <c:v>0.5</c:v>
                </c:pt>
                <c:pt idx="7">
                  <c:v>0.5</c:v>
                </c:pt>
              </c:numCache>
            </c:numRef>
          </c:val>
          <c:smooth val="0"/>
        </c:ser>
        <c:dLbls>
          <c:showLegendKey val="0"/>
          <c:showVal val="0"/>
          <c:showCatName val="0"/>
          <c:showSerName val="0"/>
          <c:showPercent val="0"/>
          <c:showBubbleSize val="0"/>
        </c:dLbls>
        <c:smooth val="0"/>
        <c:axId val="155474360"/>
        <c:axId val="157326184"/>
      </c:lineChart>
      <c:catAx>
        <c:axId val="155474360"/>
        <c:scaling>
          <c:orientation val="minMax"/>
        </c:scaling>
        <c:delete val="0"/>
        <c:axPos val="b"/>
        <c:title>
          <c:tx>
            <c:rich>
              <a:bodyPr/>
              <a:lstStyle/>
              <a:p>
                <a:pPr>
                  <a:defRPr sz="975" b="1" i="0" u="none" strike="noStrike" baseline="0">
                    <a:solidFill>
                      <a:srgbClr val="000000"/>
                    </a:solidFill>
                    <a:latin typeface="Arial"/>
                    <a:ea typeface="Arial"/>
                    <a:cs typeface="Arial"/>
                  </a:defRPr>
                </a:pPr>
                <a:r>
                  <a:rPr lang="en-GB"/>
                  <a:t>Period</a:t>
                </a:r>
              </a:p>
            </c:rich>
          </c:tx>
          <c:layout>
            <c:manualLayout>
              <c:xMode val="edge"/>
              <c:yMode val="edge"/>
              <c:x val="0.45722477926974103"/>
              <c:y val="0.8220778328634846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57326184"/>
        <c:crosses val="autoZero"/>
        <c:auto val="1"/>
        <c:lblAlgn val="ctr"/>
        <c:lblOffset val="100"/>
        <c:tickLblSkip val="1"/>
        <c:tickMarkSkip val="1"/>
        <c:noMultiLvlLbl val="0"/>
      </c:catAx>
      <c:valAx>
        <c:axId val="157326184"/>
        <c:scaling>
          <c:orientation val="minMax"/>
          <c:min val="0"/>
        </c:scaling>
        <c:delete val="0"/>
        <c:axPos val="l"/>
        <c:majorGridlines>
          <c:spPr>
            <a:ln w="3175">
              <a:solidFill>
                <a:srgbClr val="000000"/>
              </a:solidFill>
              <a:prstDash val="solid"/>
            </a:ln>
          </c:spPr>
        </c:majorGridlines>
        <c:title>
          <c:tx>
            <c:rich>
              <a:bodyPr rot="0" vert="horz"/>
              <a:lstStyle/>
              <a:p>
                <a:pPr algn="ctr">
                  <a:defRPr sz="1050" b="1" i="0" u="none" strike="noStrike" baseline="0">
                    <a:solidFill>
                      <a:srgbClr val="000000"/>
                    </a:solidFill>
                    <a:latin typeface="Arial"/>
                    <a:ea typeface="Arial"/>
                    <a:cs typeface="Arial"/>
                  </a:defRPr>
                </a:pPr>
                <a:r>
                  <a:rPr lang="en-GB"/>
                  <a:t>%</a:t>
                </a:r>
              </a:p>
            </c:rich>
          </c:tx>
          <c:layout>
            <c:manualLayout>
              <c:xMode val="edge"/>
              <c:yMode val="edge"/>
              <c:x val="3.8416236617765775E-2"/>
              <c:y val="2.7700722594860824E-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55474360"/>
        <c:crosses val="autoZero"/>
        <c:crossBetween val="between"/>
        <c:majorUnit val="0.2"/>
      </c:valAx>
      <c:spPr>
        <a:solidFill>
          <a:srgbClr val="FFFFFF"/>
        </a:solidFill>
        <a:ln w="25400">
          <a:solidFill>
            <a:srgbClr val="000000"/>
          </a:solidFill>
          <a:prstDash val="solid"/>
        </a:ln>
      </c:spPr>
    </c:plotArea>
    <c:legend>
      <c:legendPos val="b"/>
      <c:layout>
        <c:manualLayout>
          <c:xMode val="edge"/>
          <c:yMode val="edge"/>
          <c:x val="0.26296051157856476"/>
          <c:y val="0.89720022034282754"/>
          <c:w val="0.43677600686387624"/>
          <c:h val="4.9817439486730786E-2"/>
        </c:manualLayout>
      </c:layout>
      <c:overlay val="0"/>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GB"/>
              <a:t>PWLB Interest Rates - Maturity Loans</a:t>
            </a:r>
          </a:p>
        </c:rich>
      </c:tx>
      <c:layout>
        <c:manualLayout>
          <c:xMode val="edge"/>
          <c:yMode val="edge"/>
          <c:x val="0.27681656255314846"/>
          <c:y val="3.39943342776204E-2"/>
        </c:manualLayout>
      </c:layout>
      <c:overlay val="0"/>
      <c:spPr>
        <a:noFill/>
        <a:ln w="25400">
          <a:noFill/>
        </a:ln>
      </c:spPr>
    </c:title>
    <c:autoTitleDeleted val="0"/>
    <c:plotArea>
      <c:layout>
        <c:manualLayout>
          <c:layoutTarget val="inner"/>
          <c:xMode val="edge"/>
          <c:yMode val="edge"/>
          <c:x val="7.5306544257046568E-2"/>
          <c:y val="0.11898016997167143"/>
          <c:w val="0.85113908160289808"/>
          <c:h val="0.70538243626062325"/>
        </c:manualLayout>
      </c:layout>
      <c:lineChart>
        <c:grouping val="standard"/>
        <c:varyColors val="0"/>
        <c:ser>
          <c:idx val="0"/>
          <c:order val="0"/>
          <c:tx>
            <c:strRef>
              <c:f>'PWLB maturity '!$C$2</c:f>
              <c:strCache>
                <c:ptCount val="1"/>
                <c:pt idx="0">
                  <c:v>Dec-13</c:v>
                </c:pt>
              </c:strCache>
            </c:strRef>
          </c:tx>
          <c:marker>
            <c:symbol val="none"/>
          </c:marker>
          <c:cat>
            <c:strRef>
              <c:f>'PWLB maturity '!$B$3:$B$102</c:f>
              <c:strCache>
                <c:ptCount val="100"/>
                <c:pt idx="0">
                  <c:v>1</c:v>
                </c:pt>
                <c:pt idx="1">
                  <c:v> 1½</c:v>
                </c:pt>
                <c:pt idx="2">
                  <c:v> 2</c:v>
                </c:pt>
                <c:pt idx="3">
                  <c:v> 2½</c:v>
                </c:pt>
                <c:pt idx="4">
                  <c:v> 3</c:v>
                </c:pt>
                <c:pt idx="5">
                  <c:v> 3½</c:v>
                </c:pt>
                <c:pt idx="6">
                  <c:v> 4</c:v>
                </c:pt>
                <c:pt idx="7">
                  <c:v> 4½</c:v>
                </c:pt>
                <c:pt idx="8">
                  <c:v> 5</c:v>
                </c:pt>
                <c:pt idx="9">
                  <c:v> 5½</c:v>
                </c:pt>
                <c:pt idx="10">
                  <c:v> 6</c:v>
                </c:pt>
                <c:pt idx="11">
                  <c:v> 6½</c:v>
                </c:pt>
                <c:pt idx="12">
                  <c:v> 7</c:v>
                </c:pt>
                <c:pt idx="13">
                  <c:v> 7½</c:v>
                </c:pt>
                <c:pt idx="14">
                  <c:v> 8</c:v>
                </c:pt>
                <c:pt idx="15">
                  <c:v> 8½</c:v>
                </c:pt>
                <c:pt idx="16">
                  <c:v> 9</c:v>
                </c:pt>
                <c:pt idx="17">
                  <c:v> 9½</c:v>
                </c:pt>
                <c:pt idx="18">
                  <c:v> 10</c:v>
                </c:pt>
                <c:pt idx="19">
                  <c:v>10½</c:v>
                </c:pt>
                <c:pt idx="20">
                  <c:v> 11</c:v>
                </c:pt>
                <c:pt idx="21">
                  <c:v>11½</c:v>
                </c:pt>
                <c:pt idx="22">
                  <c:v> 12</c:v>
                </c:pt>
                <c:pt idx="23">
                  <c:v>12½</c:v>
                </c:pt>
                <c:pt idx="24">
                  <c:v> 13</c:v>
                </c:pt>
                <c:pt idx="25">
                  <c:v>13½</c:v>
                </c:pt>
                <c:pt idx="26">
                  <c:v> 14</c:v>
                </c:pt>
                <c:pt idx="27">
                  <c:v>14½</c:v>
                </c:pt>
                <c:pt idx="28">
                  <c:v> 15</c:v>
                </c:pt>
                <c:pt idx="29">
                  <c:v>15½</c:v>
                </c:pt>
                <c:pt idx="30">
                  <c:v> 16</c:v>
                </c:pt>
                <c:pt idx="31">
                  <c:v>16½</c:v>
                </c:pt>
                <c:pt idx="32">
                  <c:v> 17</c:v>
                </c:pt>
                <c:pt idx="33">
                  <c:v>17½</c:v>
                </c:pt>
                <c:pt idx="34">
                  <c:v> 18</c:v>
                </c:pt>
                <c:pt idx="35">
                  <c:v>18½</c:v>
                </c:pt>
                <c:pt idx="36">
                  <c:v> 19</c:v>
                </c:pt>
                <c:pt idx="37">
                  <c:v>19½</c:v>
                </c:pt>
                <c:pt idx="38">
                  <c:v> 20</c:v>
                </c:pt>
                <c:pt idx="39">
                  <c:v>20½</c:v>
                </c:pt>
                <c:pt idx="40">
                  <c:v> 21</c:v>
                </c:pt>
                <c:pt idx="41">
                  <c:v>21½</c:v>
                </c:pt>
                <c:pt idx="42">
                  <c:v> 22</c:v>
                </c:pt>
                <c:pt idx="43">
                  <c:v>22½</c:v>
                </c:pt>
                <c:pt idx="44">
                  <c:v> 23</c:v>
                </c:pt>
                <c:pt idx="45">
                  <c:v>23½</c:v>
                </c:pt>
                <c:pt idx="46">
                  <c:v> 24</c:v>
                </c:pt>
                <c:pt idx="47">
                  <c:v>24½</c:v>
                </c:pt>
                <c:pt idx="48">
                  <c:v> 25</c:v>
                </c:pt>
                <c:pt idx="49">
                  <c:v>25½</c:v>
                </c:pt>
                <c:pt idx="50">
                  <c:v> 26</c:v>
                </c:pt>
                <c:pt idx="51">
                  <c:v>26½</c:v>
                </c:pt>
                <c:pt idx="52">
                  <c:v> 27</c:v>
                </c:pt>
                <c:pt idx="53">
                  <c:v>27½</c:v>
                </c:pt>
                <c:pt idx="54">
                  <c:v> 28</c:v>
                </c:pt>
                <c:pt idx="55">
                  <c:v>28½</c:v>
                </c:pt>
                <c:pt idx="56">
                  <c:v> 29</c:v>
                </c:pt>
                <c:pt idx="57">
                  <c:v>29½</c:v>
                </c:pt>
                <c:pt idx="58">
                  <c:v> 30</c:v>
                </c:pt>
                <c:pt idx="59">
                  <c:v>30½</c:v>
                </c:pt>
                <c:pt idx="60">
                  <c:v> 31</c:v>
                </c:pt>
                <c:pt idx="61">
                  <c:v>31½</c:v>
                </c:pt>
                <c:pt idx="62">
                  <c:v> 32</c:v>
                </c:pt>
                <c:pt idx="63">
                  <c:v>32½</c:v>
                </c:pt>
                <c:pt idx="64">
                  <c:v> 33</c:v>
                </c:pt>
                <c:pt idx="65">
                  <c:v>33½</c:v>
                </c:pt>
                <c:pt idx="66">
                  <c:v> 34</c:v>
                </c:pt>
                <c:pt idx="67">
                  <c:v>34½</c:v>
                </c:pt>
                <c:pt idx="68">
                  <c:v> 35</c:v>
                </c:pt>
                <c:pt idx="69">
                  <c:v>35½</c:v>
                </c:pt>
                <c:pt idx="70">
                  <c:v> 36</c:v>
                </c:pt>
                <c:pt idx="71">
                  <c:v>36½</c:v>
                </c:pt>
                <c:pt idx="72">
                  <c:v> 37</c:v>
                </c:pt>
                <c:pt idx="73">
                  <c:v>37½</c:v>
                </c:pt>
                <c:pt idx="74">
                  <c:v> 38</c:v>
                </c:pt>
                <c:pt idx="75">
                  <c:v>38½</c:v>
                </c:pt>
                <c:pt idx="76">
                  <c:v> 39</c:v>
                </c:pt>
                <c:pt idx="77">
                  <c:v>39½</c:v>
                </c:pt>
                <c:pt idx="78">
                  <c:v> 40</c:v>
                </c:pt>
                <c:pt idx="79">
                  <c:v>40½</c:v>
                </c:pt>
                <c:pt idx="80">
                  <c:v> 41</c:v>
                </c:pt>
                <c:pt idx="81">
                  <c:v>41½</c:v>
                </c:pt>
                <c:pt idx="82">
                  <c:v> 42</c:v>
                </c:pt>
                <c:pt idx="83">
                  <c:v>42½</c:v>
                </c:pt>
                <c:pt idx="84">
                  <c:v> 43</c:v>
                </c:pt>
                <c:pt idx="85">
                  <c:v>43½</c:v>
                </c:pt>
                <c:pt idx="86">
                  <c:v> 44</c:v>
                </c:pt>
                <c:pt idx="87">
                  <c:v>44½</c:v>
                </c:pt>
                <c:pt idx="88">
                  <c:v> 45</c:v>
                </c:pt>
                <c:pt idx="89">
                  <c:v>45½</c:v>
                </c:pt>
                <c:pt idx="90">
                  <c:v> 46</c:v>
                </c:pt>
                <c:pt idx="91">
                  <c:v>46½</c:v>
                </c:pt>
                <c:pt idx="92">
                  <c:v> 47</c:v>
                </c:pt>
                <c:pt idx="93">
                  <c:v>47½</c:v>
                </c:pt>
                <c:pt idx="94">
                  <c:v> 48</c:v>
                </c:pt>
                <c:pt idx="95">
                  <c:v>48½</c:v>
                </c:pt>
                <c:pt idx="96">
                  <c:v> 49</c:v>
                </c:pt>
                <c:pt idx="97">
                  <c:v>49½</c:v>
                </c:pt>
                <c:pt idx="98">
                  <c:v> 50</c:v>
                </c:pt>
                <c:pt idx="99">
                  <c:v>51+</c:v>
                </c:pt>
              </c:strCache>
            </c:strRef>
          </c:cat>
          <c:val>
            <c:numRef>
              <c:f>'PWLB maturity '!$C$3:$C$102</c:f>
              <c:numCache>
                <c:formatCode>#,##0.00;\-#,##0.00;\-</c:formatCode>
                <c:ptCount val="100"/>
                <c:pt idx="0">
                  <c:v>1.31</c:v>
                </c:pt>
                <c:pt idx="1">
                  <c:v>1.47</c:v>
                </c:pt>
                <c:pt idx="2">
                  <c:v>1.64</c:v>
                </c:pt>
                <c:pt idx="3">
                  <c:v>1.82</c:v>
                </c:pt>
                <c:pt idx="4">
                  <c:v>2.0099999999999998</c:v>
                </c:pt>
                <c:pt idx="5">
                  <c:v>2.19</c:v>
                </c:pt>
                <c:pt idx="6">
                  <c:v>2.37</c:v>
                </c:pt>
                <c:pt idx="7">
                  <c:v>2.5499999999999998</c:v>
                </c:pt>
                <c:pt idx="8">
                  <c:v>2.72</c:v>
                </c:pt>
                <c:pt idx="9">
                  <c:v>2.89</c:v>
                </c:pt>
                <c:pt idx="10">
                  <c:v>3.04</c:v>
                </c:pt>
                <c:pt idx="11">
                  <c:v>3.18</c:v>
                </c:pt>
                <c:pt idx="12">
                  <c:v>3.31</c:v>
                </c:pt>
                <c:pt idx="13">
                  <c:v>3.43</c:v>
                </c:pt>
                <c:pt idx="14">
                  <c:v>3.55</c:v>
                </c:pt>
                <c:pt idx="15">
                  <c:v>3.65</c:v>
                </c:pt>
                <c:pt idx="16">
                  <c:v>3.74</c:v>
                </c:pt>
                <c:pt idx="17">
                  <c:v>3.83</c:v>
                </c:pt>
                <c:pt idx="18">
                  <c:v>3.9</c:v>
                </c:pt>
                <c:pt idx="19">
                  <c:v>3.97</c:v>
                </c:pt>
                <c:pt idx="20">
                  <c:v>4.04</c:v>
                </c:pt>
                <c:pt idx="21">
                  <c:v>4.09</c:v>
                </c:pt>
                <c:pt idx="22">
                  <c:v>4.1399999999999997</c:v>
                </c:pt>
                <c:pt idx="23">
                  <c:v>4.1900000000000004</c:v>
                </c:pt>
                <c:pt idx="24">
                  <c:v>4.2300000000000004</c:v>
                </c:pt>
                <c:pt idx="25">
                  <c:v>4.2699999999999996</c:v>
                </c:pt>
                <c:pt idx="26">
                  <c:v>4.3</c:v>
                </c:pt>
                <c:pt idx="27">
                  <c:v>4.33</c:v>
                </c:pt>
                <c:pt idx="28">
                  <c:v>4.3600000000000003</c:v>
                </c:pt>
                <c:pt idx="29">
                  <c:v>4.38</c:v>
                </c:pt>
                <c:pt idx="30">
                  <c:v>4.4000000000000004</c:v>
                </c:pt>
                <c:pt idx="31">
                  <c:v>4.42</c:v>
                </c:pt>
                <c:pt idx="32">
                  <c:v>4.4400000000000004</c:v>
                </c:pt>
                <c:pt idx="33">
                  <c:v>4.45</c:v>
                </c:pt>
                <c:pt idx="34">
                  <c:v>4.47</c:v>
                </c:pt>
                <c:pt idx="35">
                  <c:v>4.4800000000000004</c:v>
                </c:pt>
                <c:pt idx="36">
                  <c:v>4.49</c:v>
                </c:pt>
                <c:pt idx="37">
                  <c:v>4.5</c:v>
                </c:pt>
                <c:pt idx="38">
                  <c:v>4.51</c:v>
                </c:pt>
                <c:pt idx="39">
                  <c:v>4.5199999999999996</c:v>
                </c:pt>
                <c:pt idx="40">
                  <c:v>4.53</c:v>
                </c:pt>
                <c:pt idx="41">
                  <c:v>4.53</c:v>
                </c:pt>
                <c:pt idx="42">
                  <c:v>4.54</c:v>
                </c:pt>
                <c:pt idx="43">
                  <c:v>4.54</c:v>
                </c:pt>
                <c:pt idx="44">
                  <c:v>4.55</c:v>
                </c:pt>
                <c:pt idx="45">
                  <c:v>4.55</c:v>
                </c:pt>
                <c:pt idx="46">
                  <c:v>4.55</c:v>
                </c:pt>
                <c:pt idx="47">
                  <c:v>4.5599999999999996</c:v>
                </c:pt>
                <c:pt idx="48">
                  <c:v>4.5599999999999996</c:v>
                </c:pt>
                <c:pt idx="49">
                  <c:v>4.5599999999999996</c:v>
                </c:pt>
                <c:pt idx="50">
                  <c:v>4.5599999999999996</c:v>
                </c:pt>
                <c:pt idx="51">
                  <c:v>4.57</c:v>
                </c:pt>
                <c:pt idx="52">
                  <c:v>4.57</c:v>
                </c:pt>
                <c:pt idx="53">
                  <c:v>4.57</c:v>
                </c:pt>
                <c:pt idx="54">
                  <c:v>4.57</c:v>
                </c:pt>
                <c:pt idx="55">
                  <c:v>4.57</c:v>
                </c:pt>
                <c:pt idx="56">
                  <c:v>4.57</c:v>
                </c:pt>
                <c:pt idx="57">
                  <c:v>4.57</c:v>
                </c:pt>
                <c:pt idx="58">
                  <c:v>4.57</c:v>
                </c:pt>
                <c:pt idx="59">
                  <c:v>4.57</c:v>
                </c:pt>
                <c:pt idx="60">
                  <c:v>4.57</c:v>
                </c:pt>
                <c:pt idx="61">
                  <c:v>4.57</c:v>
                </c:pt>
                <c:pt idx="62">
                  <c:v>4.57</c:v>
                </c:pt>
                <c:pt idx="63">
                  <c:v>4.57</c:v>
                </c:pt>
                <c:pt idx="64">
                  <c:v>4.57</c:v>
                </c:pt>
                <c:pt idx="65">
                  <c:v>4.57</c:v>
                </c:pt>
                <c:pt idx="66">
                  <c:v>4.5599999999999996</c:v>
                </c:pt>
                <c:pt idx="67">
                  <c:v>4.5599999999999996</c:v>
                </c:pt>
                <c:pt idx="68">
                  <c:v>4.5599999999999996</c:v>
                </c:pt>
                <c:pt idx="69">
                  <c:v>4.5599999999999996</c:v>
                </c:pt>
                <c:pt idx="70">
                  <c:v>4.5599999999999996</c:v>
                </c:pt>
                <c:pt idx="71">
                  <c:v>4.5599999999999996</c:v>
                </c:pt>
                <c:pt idx="72">
                  <c:v>4.55</c:v>
                </c:pt>
                <c:pt idx="73">
                  <c:v>4.55</c:v>
                </c:pt>
                <c:pt idx="74">
                  <c:v>4.55</c:v>
                </c:pt>
                <c:pt idx="75">
                  <c:v>4.55</c:v>
                </c:pt>
                <c:pt idx="76">
                  <c:v>4.55</c:v>
                </c:pt>
                <c:pt idx="77">
                  <c:v>4.55</c:v>
                </c:pt>
                <c:pt idx="78">
                  <c:v>4.54</c:v>
                </c:pt>
                <c:pt idx="79">
                  <c:v>4.54</c:v>
                </c:pt>
                <c:pt idx="80">
                  <c:v>4.54</c:v>
                </c:pt>
                <c:pt idx="81">
                  <c:v>4.54</c:v>
                </c:pt>
                <c:pt idx="82">
                  <c:v>4.54</c:v>
                </c:pt>
                <c:pt idx="83">
                  <c:v>4.54</c:v>
                </c:pt>
                <c:pt idx="84">
                  <c:v>4.53</c:v>
                </c:pt>
                <c:pt idx="85">
                  <c:v>4.53</c:v>
                </c:pt>
                <c:pt idx="86">
                  <c:v>4.53</c:v>
                </c:pt>
                <c:pt idx="87">
                  <c:v>4.53</c:v>
                </c:pt>
                <c:pt idx="88">
                  <c:v>4.53</c:v>
                </c:pt>
                <c:pt idx="89">
                  <c:v>4.53</c:v>
                </c:pt>
                <c:pt idx="90">
                  <c:v>4.53</c:v>
                </c:pt>
                <c:pt idx="91">
                  <c:v>4.53</c:v>
                </c:pt>
                <c:pt idx="92">
                  <c:v>4.53</c:v>
                </c:pt>
                <c:pt idx="93">
                  <c:v>4.53</c:v>
                </c:pt>
                <c:pt idx="94">
                  <c:v>4.53</c:v>
                </c:pt>
                <c:pt idx="95">
                  <c:v>4.5199999999999996</c:v>
                </c:pt>
                <c:pt idx="96">
                  <c:v>4.5199999999999996</c:v>
                </c:pt>
                <c:pt idx="97">
                  <c:v>4.5199999999999996</c:v>
                </c:pt>
                <c:pt idx="98">
                  <c:v>4.5199999999999996</c:v>
                </c:pt>
                <c:pt idx="99">
                  <c:v>4.5199999999999996</c:v>
                </c:pt>
              </c:numCache>
            </c:numRef>
          </c:val>
          <c:smooth val="0"/>
        </c:ser>
        <c:ser>
          <c:idx val="1"/>
          <c:order val="1"/>
          <c:tx>
            <c:strRef>
              <c:f>'PWLB maturity '!$D$2</c:f>
              <c:strCache>
                <c:ptCount val="1"/>
                <c:pt idx="0">
                  <c:v>Mar-14</c:v>
                </c:pt>
              </c:strCache>
            </c:strRef>
          </c:tx>
          <c:spPr>
            <a:ln>
              <a:solidFill>
                <a:srgbClr val="FF0000"/>
              </a:solidFill>
              <a:prstDash val="dashDot"/>
            </a:ln>
          </c:spPr>
          <c:marker>
            <c:symbol val="none"/>
          </c:marker>
          <c:cat>
            <c:strRef>
              <c:f>'PWLB maturity '!$B$3:$B$102</c:f>
              <c:strCache>
                <c:ptCount val="100"/>
                <c:pt idx="0">
                  <c:v>1</c:v>
                </c:pt>
                <c:pt idx="1">
                  <c:v> 1½</c:v>
                </c:pt>
                <c:pt idx="2">
                  <c:v> 2</c:v>
                </c:pt>
                <c:pt idx="3">
                  <c:v> 2½</c:v>
                </c:pt>
                <c:pt idx="4">
                  <c:v> 3</c:v>
                </c:pt>
                <c:pt idx="5">
                  <c:v> 3½</c:v>
                </c:pt>
                <c:pt idx="6">
                  <c:v> 4</c:v>
                </c:pt>
                <c:pt idx="7">
                  <c:v> 4½</c:v>
                </c:pt>
                <c:pt idx="8">
                  <c:v> 5</c:v>
                </c:pt>
                <c:pt idx="9">
                  <c:v> 5½</c:v>
                </c:pt>
                <c:pt idx="10">
                  <c:v> 6</c:v>
                </c:pt>
                <c:pt idx="11">
                  <c:v> 6½</c:v>
                </c:pt>
                <c:pt idx="12">
                  <c:v> 7</c:v>
                </c:pt>
                <c:pt idx="13">
                  <c:v> 7½</c:v>
                </c:pt>
                <c:pt idx="14">
                  <c:v> 8</c:v>
                </c:pt>
                <c:pt idx="15">
                  <c:v> 8½</c:v>
                </c:pt>
                <c:pt idx="16">
                  <c:v> 9</c:v>
                </c:pt>
                <c:pt idx="17">
                  <c:v> 9½</c:v>
                </c:pt>
                <c:pt idx="18">
                  <c:v> 10</c:v>
                </c:pt>
                <c:pt idx="19">
                  <c:v>10½</c:v>
                </c:pt>
                <c:pt idx="20">
                  <c:v> 11</c:v>
                </c:pt>
                <c:pt idx="21">
                  <c:v>11½</c:v>
                </c:pt>
                <c:pt idx="22">
                  <c:v> 12</c:v>
                </c:pt>
                <c:pt idx="23">
                  <c:v>12½</c:v>
                </c:pt>
                <c:pt idx="24">
                  <c:v> 13</c:v>
                </c:pt>
                <c:pt idx="25">
                  <c:v>13½</c:v>
                </c:pt>
                <c:pt idx="26">
                  <c:v> 14</c:v>
                </c:pt>
                <c:pt idx="27">
                  <c:v>14½</c:v>
                </c:pt>
                <c:pt idx="28">
                  <c:v> 15</c:v>
                </c:pt>
                <c:pt idx="29">
                  <c:v>15½</c:v>
                </c:pt>
                <c:pt idx="30">
                  <c:v> 16</c:v>
                </c:pt>
                <c:pt idx="31">
                  <c:v>16½</c:v>
                </c:pt>
                <c:pt idx="32">
                  <c:v> 17</c:v>
                </c:pt>
                <c:pt idx="33">
                  <c:v>17½</c:v>
                </c:pt>
                <c:pt idx="34">
                  <c:v> 18</c:v>
                </c:pt>
                <c:pt idx="35">
                  <c:v>18½</c:v>
                </c:pt>
                <c:pt idx="36">
                  <c:v> 19</c:v>
                </c:pt>
                <c:pt idx="37">
                  <c:v>19½</c:v>
                </c:pt>
                <c:pt idx="38">
                  <c:v> 20</c:v>
                </c:pt>
                <c:pt idx="39">
                  <c:v>20½</c:v>
                </c:pt>
                <c:pt idx="40">
                  <c:v> 21</c:v>
                </c:pt>
                <c:pt idx="41">
                  <c:v>21½</c:v>
                </c:pt>
                <c:pt idx="42">
                  <c:v> 22</c:v>
                </c:pt>
                <c:pt idx="43">
                  <c:v>22½</c:v>
                </c:pt>
                <c:pt idx="44">
                  <c:v> 23</c:v>
                </c:pt>
                <c:pt idx="45">
                  <c:v>23½</c:v>
                </c:pt>
                <c:pt idx="46">
                  <c:v> 24</c:v>
                </c:pt>
                <c:pt idx="47">
                  <c:v>24½</c:v>
                </c:pt>
                <c:pt idx="48">
                  <c:v> 25</c:v>
                </c:pt>
                <c:pt idx="49">
                  <c:v>25½</c:v>
                </c:pt>
                <c:pt idx="50">
                  <c:v> 26</c:v>
                </c:pt>
                <c:pt idx="51">
                  <c:v>26½</c:v>
                </c:pt>
                <c:pt idx="52">
                  <c:v> 27</c:v>
                </c:pt>
                <c:pt idx="53">
                  <c:v>27½</c:v>
                </c:pt>
                <c:pt idx="54">
                  <c:v> 28</c:v>
                </c:pt>
                <c:pt idx="55">
                  <c:v>28½</c:v>
                </c:pt>
                <c:pt idx="56">
                  <c:v> 29</c:v>
                </c:pt>
                <c:pt idx="57">
                  <c:v>29½</c:v>
                </c:pt>
                <c:pt idx="58">
                  <c:v> 30</c:v>
                </c:pt>
                <c:pt idx="59">
                  <c:v>30½</c:v>
                </c:pt>
                <c:pt idx="60">
                  <c:v> 31</c:v>
                </c:pt>
                <c:pt idx="61">
                  <c:v>31½</c:v>
                </c:pt>
                <c:pt idx="62">
                  <c:v> 32</c:v>
                </c:pt>
                <c:pt idx="63">
                  <c:v>32½</c:v>
                </c:pt>
                <c:pt idx="64">
                  <c:v> 33</c:v>
                </c:pt>
                <c:pt idx="65">
                  <c:v>33½</c:v>
                </c:pt>
                <c:pt idx="66">
                  <c:v> 34</c:v>
                </c:pt>
                <c:pt idx="67">
                  <c:v>34½</c:v>
                </c:pt>
                <c:pt idx="68">
                  <c:v> 35</c:v>
                </c:pt>
                <c:pt idx="69">
                  <c:v>35½</c:v>
                </c:pt>
                <c:pt idx="70">
                  <c:v> 36</c:v>
                </c:pt>
                <c:pt idx="71">
                  <c:v>36½</c:v>
                </c:pt>
                <c:pt idx="72">
                  <c:v> 37</c:v>
                </c:pt>
                <c:pt idx="73">
                  <c:v>37½</c:v>
                </c:pt>
                <c:pt idx="74">
                  <c:v> 38</c:v>
                </c:pt>
                <c:pt idx="75">
                  <c:v>38½</c:v>
                </c:pt>
                <c:pt idx="76">
                  <c:v> 39</c:v>
                </c:pt>
                <c:pt idx="77">
                  <c:v>39½</c:v>
                </c:pt>
                <c:pt idx="78">
                  <c:v> 40</c:v>
                </c:pt>
                <c:pt idx="79">
                  <c:v>40½</c:v>
                </c:pt>
                <c:pt idx="80">
                  <c:v> 41</c:v>
                </c:pt>
                <c:pt idx="81">
                  <c:v>41½</c:v>
                </c:pt>
                <c:pt idx="82">
                  <c:v> 42</c:v>
                </c:pt>
                <c:pt idx="83">
                  <c:v>42½</c:v>
                </c:pt>
                <c:pt idx="84">
                  <c:v> 43</c:v>
                </c:pt>
                <c:pt idx="85">
                  <c:v>43½</c:v>
                </c:pt>
                <c:pt idx="86">
                  <c:v> 44</c:v>
                </c:pt>
                <c:pt idx="87">
                  <c:v>44½</c:v>
                </c:pt>
                <c:pt idx="88">
                  <c:v> 45</c:v>
                </c:pt>
                <c:pt idx="89">
                  <c:v>45½</c:v>
                </c:pt>
                <c:pt idx="90">
                  <c:v> 46</c:v>
                </c:pt>
                <c:pt idx="91">
                  <c:v>46½</c:v>
                </c:pt>
                <c:pt idx="92">
                  <c:v> 47</c:v>
                </c:pt>
                <c:pt idx="93">
                  <c:v>47½</c:v>
                </c:pt>
                <c:pt idx="94">
                  <c:v> 48</c:v>
                </c:pt>
                <c:pt idx="95">
                  <c:v>48½</c:v>
                </c:pt>
                <c:pt idx="96">
                  <c:v> 49</c:v>
                </c:pt>
                <c:pt idx="97">
                  <c:v>49½</c:v>
                </c:pt>
                <c:pt idx="98">
                  <c:v> 50</c:v>
                </c:pt>
                <c:pt idx="99">
                  <c:v>51+</c:v>
                </c:pt>
              </c:strCache>
            </c:strRef>
          </c:cat>
          <c:val>
            <c:numRef>
              <c:f>'PWLB maturity '!$D$3:$D$102</c:f>
              <c:numCache>
                <c:formatCode>General</c:formatCode>
                <c:ptCount val="100"/>
                <c:pt idx="0">
                  <c:v>1.46</c:v>
                </c:pt>
                <c:pt idx="1">
                  <c:v>1.64</c:v>
                </c:pt>
                <c:pt idx="2">
                  <c:v>1.83</c:v>
                </c:pt>
                <c:pt idx="3">
                  <c:v>2.02</c:v>
                </c:pt>
                <c:pt idx="4">
                  <c:v>2.2000000000000002</c:v>
                </c:pt>
                <c:pt idx="5">
                  <c:v>2.38</c:v>
                </c:pt>
                <c:pt idx="6">
                  <c:v>2.5499999999999998</c:v>
                </c:pt>
                <c:pt idx="7">
                  <c:v>2.72</c:v>
                </c:pt>
                <c:pt idx="8">
                  <c:v>2.87</c:v>
                </c:pt>
                <c:pt idx="9">
                  <c:v>3</c:v>
                </c:pt>
                <c:pt idx="10">
                  <c:v>3.13</c:v>
                </c:pt>
                <c:pt idx="11">
                  <c:v>3.25</c:v>
                </c:pt>
                <c:pt idx="12">
                  <c:v>3.36</c:v>
                </c:pt>
                <c:pt idx="13">
                  <c:v>3.46</c:v>
                </c:pt>
                <c:pt idx="14">
                  <c:v>3.55</c:v>
                </c:pt>
                <c:pt idx="15">
                  <c:v>3.63</c:v>
                </c:pt>
                <c:pt idx="16">
                  <c:v>3.7</c:v>
                </c:pt>
                <c:pt idx="17">
                  <c:v>3.77</c:v>
                </c:pt>
                <c:pt idx="18">
                  <c:v>3.84</c:v>
                </c:pt>
                <c:pt idx="19">
                  <c:v>3.89</c:v>
                </c:pt>
                <c:pt idx="20">
                  <c:v>3.95</c:v>
                </c:pt>
                <c:pt idx="21">
                  <c:v>4</c:v>
                </c:pt>
                <c:pt idx="22">
                  <c:v>4.04</c:v>
                </c:pt>
                <c:pt idx="23">
                  <c:v>4.08</c:v>
                </c:pt>
                <c:pt idx="24">
                  <c:v>4.12</c:v>
                </c:pt>
                <c:pt idx="25">
                  <c:v>4.1500000000000004</c:v>
                </c:pt>
                <c:pt idx="26">
                  <c:v>4.1900000000000004</c:v>
                </c:pt>
                <c:pt idx="27">
                  <c:v>4.22</c:v>
                </c:pt>
                <c:pt idx="28">
                  <c:v>4.24</c:v>
                </c:pt>
                <c:pt idx="29">
                  <c:v>4.2699999999999996</c:v>
                </c:pt>
                <c:pt idx="30">
                  <c:v>4.29</c:v>
                </c:pt>
                <c:pt idx="31">
                  <c:v>4.3099999999999996</c:v>
                </c:pt>
                <c:pt idx="32">
                  <c:v>4.33</c:v>
                </c:pt>
                <c:pt idx="33">
                  <c:v>4.3499999999999996</c:v>
                </c:pt>
                <c:pt idx="34">
                  <c:v>4.37</c:v>
                </c:pt>
                <c:pt idx="35">
                  <c:v>4.3899999999999997</c:v>
                </c:pt>
                <c:pt idx="36">
                  <c:v>4.4000000000000004</c:v>
                </c:pt>
                <c:pt idx="37">
                  <c:v>4.41</c:v>
                </c:pt>
                <c:pt idx="38">
                  <c:v>4.43</c:v>
                </c:pt>
                <c:pt idx="39">
                  <c:v>4.4400000000000004</c:v>
                </c:pt>
                <c:pt idx="40">
                  <c:v>4.45</c:v>
                </c:pt>
                <c:pt idx="41">
                  <c:v>4.46</c:v>
                </c:pt>
                <c:pt idx="42">
                  <c:v>4.47</c:v>
                </c:pt>
                <c:pt idx="43">
                  <c:v>4.4800000000000004</c:v>
                </c:pt>
                <c:pt idx="44">
                  <c:v>4.4800000000000004</c:v>
                </c:pt>
                <c:pt idx="45">
                  <c:v>4.49</c:v>
                </c:pt>
                <c:pt idx="46">
                  <c:v>4.5</c:v>
                </c:pt>
                <c:pt idx="47">
                  <c:v>4.5</c:v>
                </c:pt>
                <c:pt idx="48">
                  <c:v>4.51</c:v>
                </c:pt>
                <c:pt idx="49">
                  <c:v>4.51</c:v>
                </c:pt>
                <c:pt idx="50">
                  <c:v>4.51</c:v>
                </c:pt>
                <c:pt idx="51">
                  <c:v>4.5199999999999996</c:v>
                </c:pt>
                <c:pt idx="52">
                  <c:v>4.5199999999999996</c:v>
                </c:pt>
                <c:pt idx="53">
                  <c:v>4.5199999999999996</c:v>
                </c:pt>
                <c:pt idx="54">
                  <c:v>4.5199999999999996</c:v>
                </c:pt>
                <c:pt idx="55">
                  <c:v>4.5199999999999996</c:v>
                </c:pt>
                <c:pt idx="56">
                  <c:v>4.53</c:v>
                </c:pt>
                <c:pt idx="57">
                  <c:v>4.53</c:v>
                </c:pt>
                <c:pt idx="58">
                  <c:v>4.53</c:v>
                </c:pt>
                <c:pt idx="59">
                  <c:v>4.53</c:v>
                </c:pt>
                <c:pt idx="60">
                  <c:v>4.53</c:v>
                </c:pt>
                <c:pt idx="61">
                  <c:v>4.53</c:v>
                </c:pt>
                <c:pt idx="62">
                  <c:v>4.53</c:v>
                </c:pt>
                <c:pt idx="63">
                  <c:v>4.53</c:v>
                </c:pt>
                <c:pt idx="64">
                  <c:v>4.53</c:v>
                </c:pt>
                <c:pt idx="65">
                  <c:v>4.53</c:v>
                </c:pt>
                <c:pt idx="66">
                  <c:v>4.5199999999999996</c:v>
                </c:pt>
                <c:pt idx="67">
                  <c:v>4.5199999999999996</c:v>
                </c:pt>
                <c:pt idx="68">
                  <c:v>4.5199999999999996</c:v>
                </c:pt>
                <c:pt idx="69">
                  <c:v>4.5199999999999996</c:v>
                </c:pt>
                <c:pt idx="70">
                  <c:v>4.5199999999999996</c:v>
                </c:pt>
                <c:pt idx="71">
                  <c:v>4.5199999999999996</c:v>
                </c:pt>
                <c:pt idx="72">
                  <c:v>4.5199999999999996</c:v>
                </c:pt>
                <c:pt idx="73">
                  <c:v>4.5199999999999996</c:v>
                </c:pt>
                <c:pt idx="74">
                  <c:v>4.51</c:v>
                </c:pt>
                <c:pt idx="75">
                  <c:v>4.51</c:v>
                </c:pt>
                <c:pt idx="76">
                  <c:v>4.51</c:v>
                </c:pt>
                <c:pt idx="77">
                  <c:v>4.51</c:v>
                </c:pt>
                <c:pt idx="78">
                  <c:v>4.51</c:v>
                </c:pt>
                <c:pt idx="79">
                  <c:v>4.51</c:v>
                </c:pt>
                <c:pt idx="80">
                  <c:v>4.5</c:v>
                </c:pt>
                <c:pt idx="81">
                  <c:v>4.5</c:v>
                </c:pt>
                <c:pt idx="82">
                  <c:v>4.5</c:v>
                </c:pt>
                <c:pt idx="83">
                  <c:v>4.5</c:v>
                </c:pt>
                <c:pt idx="84">
                  <c:v>4.5</c:v>
                </c:pt>
                <c:pt idx="85">
                  <c:v>4.5</c:v>
                </c:pt>
                <c:pt idx="86">
                  <c:v>4.5</c:v>
                </c:pt>
                <c:pt idx="87">
                  <c:v>4.5</c:v>
                </c:pt>
                <c:pt idx="88">
                  <c:v>4.5</c:v>
                </c:pt>
                <c:pt idx="89">
                  <c:v>4.49</c:v>
                </c:pt>
                <c:pt idx="90">
                  <c:v>4.49</c:v>
                </c:pt>
                <c:pt idx="91">
                  <c:v>4.49</c:v>
                </c:pt>
                <c:pt idx="92">
                  <c:v>4.49</c:v>
                </c:pt>
                <c:pt idx="93">
                  <c:v>4.49</c:v>
                </c:pt>
                <c:pt idx="94">
                  <c:v>4.49</c:v>
                </c:pt>
                <c:pt idx="95">
                  <c:v>4.49</c:v>
                </c:pt>
                <c:pt idx="96">
                  <c:v>4.49</c:v>
                </c:pt>
                <c:pt idx="97">
                  <c:v>4.49</c:v>
                </c:pt>
                <c:pt idx="98">
                  <c:v>4.49</c:v>
                </c:pt>
                <c:pt idx="99">
                  <c:v>4.49</c:v>
                </c:pt>
              </c:numCache>
            </c:numRef>
          </c:val>
          <c:smooth val="0"/>
        </c:ser>
        <c:ser>
          <c:idx val="2"/>
          <c:order val="2"/>
          <c:tx>
            <c:strRef>
              <c:f>'PWLB maturity '!$E$2</c:f>
              <c:strCache>
                <c:ptCount val="1"/>
                <c:pt idx="0">
                  <c:v>Sep-14</c:v>
                </c:pt>
              </c:strCache>
            </c:strRef>
          </c:tx>
          <c:spPr>
            <a:ln cmpd="sng">
              <a:solidFill>
                <a:schemeClr val="tx1"/>
              </a:solidFill>
              <a:prstDash val="sysDot"/>
            </a:ln>
          </c:spPr>
          <c:marker>
            <c:symbol val="none"/>
          </c:marker>
          <c:cat>
            <c:strRef>
              <c:f>'PWLB maturity '!$B$3:$B$102</c:f>
              <c:strCache>
                <c:ptCount val="100"/>
                <c:pt idx="0">
                  <c:v>1</c:v>
                </c:pt>
                <c:pt idx="1">
                  <c:v> 1½</c:v>
                </c:pt>
                <c:pt idx="2">
                  <c:v> 2</c:v>
                </c:pt>
                <c:pt idx="3">
                  <c:v> 2½</c:v>
                </c:pt>
                <c:pt idx="4">
                  <c:v> 3</c:v>
                </c:pt>
                <c:pt idx="5">
                  <c:v> 3½</c:v>
                </c:pt>
                <c:pt idx="6">
                  <c:v> 4</c:v>
                </c:pt>
                <c:pt idx="7">
                  <c:v> 4½</c:v>
                </c:pt>
                <c:pt idx="8">
                  <c:v> 5</c:v>
                </c:pt>
                <c:pt idx="9">
                  <c:v> 5½</c:v>
                </c:pt>
                <c:pt idx="10">
                  <c:v> 6</c:v>
                </c:pt>
                <c:pt idx="11">
                  <c:v> 6½</c:v>
                </c:pt>
                <c:pt idx="12">
                  <c:v> 7</c:v>
                </c:pt>
                <c:pt idx="13">
                  <c:v> 7½</c:v>
                </c:pt>
                <c:pt idx="14">
                  <c:v> 8</c:v>
                </c:pt>
                <c:pt idx="15">
                  <c:v> 8½</c:v>
                </c:pt>
                <c:pt idx="16">
                  <c:v> 9</c:v>
                </c:pt>
                <c:pt idx="17">
                  <c:v> 9½</c:v>
                </c:pt>
                <c:pt idx="18">
                  <c:v> 10</c:v>
                </c:pt>
                <c:pt idx="19">
                  <c:v>10½</c:v>
                </c:pt>
                <c:pt idx="20">
                  <c:v> 11</c:v>
                </c:pt>
                <c:pt idx="21">
                  <c:v>11½</c:v>
                </c:pt>
                <c:pt idx="22">
                  <c:v> 12</c:v>
                </c:pt>
                <c:pt idx="23">
                  <c:v>12½</c:v>
                </c:pt>
                <c:pt idx="24">
                  <c:v> 13</c:v>
                </c:pt>
                <c:pt idx="25">
                  <c:v>13½</c:v>
                </c:pt>
                <c:pt idx="26">
                  <c:v> 14</c:v>
                </c:pt>
                <c:pt idx="27">
                  <c:v>14½</c:v>
                </c:pt>
                <c:pt idx="28">
                  <c:v> 15</c:v>
                </c:pt>
                <c:pt idx="29">
                  <c:v>15½</c:v>
                </c:pt>
                <c:pt idx="30">
                  <c:v> 16</c:v>
                </c:pt>
                <c:pt idx="31">
                  <c:v>16½</c:v>
                </c:pt>
                <c:pt idx="32">
                  <c:v> 17</c:v>
                </c:pt>
                <c:pt idx="33">
                  <c:v>17½</c:v>
                </c:pt>
                <c:pt idx="34">
                  <c:v> 18</c:v>
                </c:pt>
                <c:pt idx="35">
                  <c:v>18½</c:v>
                </c:pt>
                <c:pt idx="36">
                  <c:v> 19</c:v>
                </c:pt>
                <c:pt idx="37">
                  <c:v>19½</c:v>
                </c:pt>
                <c:pt idx="38">
                  <c:v> 20</c:v>
                </c:pt>
                <c:pt idx="39">
                  <c:v>20½</c:v>
                </c:pt>
                <c:pt idx="40">
                  <c:v> 21</c:v>
                </c:pt>
                <c:pt idx="41">
                  <c:v>21½</c:v>
                </c:pt>
                <c:pt idx="42">
                  <c:v> 22</c:v>
                </c:pt>
                <c:pt idx="43">
                  <c:v>22½</c:v>
                </c:pt>
                <c:pt idx="44">
                  <c:v> 23</c:v>
                </c:pt>
                <c:pt idx="45">
                  <c:v>23½</c:v>
                </c:pt>
                <c:pt idx="46">
                  <c:v> 24</c:v>
                </c:pt>
                <c:pt idx="47">
                  <c:v>24½</c:v>
                </c:pt>
                <c:pt idx="48">
                  <c:v> 25</c:v>
                </c:pt>
                <c:pt idx="49">
                  <c:v>25½</c:v>
                </c:pt>
                <c:pt idx="50">
                  <c:v> 26</c:v>
                </c:pt>
                <c:pt idx="51">
                  <c:v>26½</c:v>
                </c:pt>
                <c:pt idx="52">
                  <c:v> 27</c:v>
                </c:pt>
                <c:pt idx="53">
                  <c:v>27½</c:v>
                </c:pt>
                <c:pt idx="54">
                  <c:v> 28</c:v>
                </c:pt>
                <c:pt idx="55">
                  <c:v>28½</c:v>
                </c:pt>
                <c:pt idx="56">
                  <c:v> 29</c:v>
                </c:pt>
                <c:pt idx="57">
                  <c:v>29½</c:v>
                </c:pt>
                <c:pt idx="58">
                  <c:v> 30</c:v>
                </c:pt>
                <c:pt idx="59">
                  <c:v>30½</c:v>
                </c:pt>
                <c:pt idx="60">
                  <c:v> 31</c:v>
                </c:pt>
                <c:pt idx="61">
                  <c:v>31½</c:v>
                </c:pt>
                <c:pt idx="62">
                  <c:v> 32</c:v>
                </c:pt>
                <c:pt idx="63">
                  <c:v>32½</c:v>
                </c:pt>
                <c:pt idx="64">
                  <c:v> 33</c:v>
                </c:pt>
                <c:pt idx="65">
                  <c:v>33½</c:v>
                </c:pt>
                <c:pt idx="66">
                  <c:v> 34</c:v>
                </c:pt>
                <c:pt idx="67">
                  <c:v>34½</c:v>
                </c:pt>
                <c:pt idx="68">
                  <c:v> 35</c:v>
                </c:pt>
                <c:pt idx="69">
                  <c:v>35½</c:v>
                </c:pt>
                <c:pt idx="70">
                  <c:v> 36</c:v>
                </c:pt>
                <c:pt idx="71">
                  <c:v>36½</c:v>
                </c:pt>
                <c:pt idx="72">
                  <c:v> 37</c:v>
                </c:pt>
                <c:pt idx="73">
                  <c:v>37½</c:v>
                </c:pt>
                <c:pt idx="74">
                  <c:v> 38</c:v>
                </c:pt>
                <c:pt idx="75">
                  <c:v>38½</c:v>
                </c:pt>
                <c:pt idx="76">
                  <c:v> 39</c:v>
                </c:pt>
                <c:pt idx="77">
                  <c:v>39½</c:v>
                </c:pt>
                <c:pt idx="78">
                  <c:v> 40</c:v>
                </c:pt>
                <c:pt idx="79">
                  <c:v>40½</c:v>
                </c:pt>
                <c:pt idx="80">
                  <c:v> 41</c:v>
                </c:pt>
                <c:pt idx="81">
                  <c:v>41½</c:v>
                </c:pt>
                <c:pt idx="82">
                  <c:v> 42</c:v>
                </c:pt>
                <c:pt idx="83">
                  <c:v>42½</c:v>
                </c:pt>
                <c:pt idx="84">
                  <c:v> 43</c:v>
                </c:pt>
                <c:pt idx="85">
                  <c:v>43½</c:v>
                </c:pt>
                <c:pt idx="86">
                  <c:v> 44</c:v>
                </c:pt>
                <c:pt idx="87">
                  <c:v>44½</c:v>
                </c:pt>
                <c:pt idx="88">
                  <c:v> 45</c:v>
                </c:pt>
                <c:pt idx="89">
                  <c:v>45½</c:v>
                </c:pt>
                <c:pt idx="90">
                  <c:v> 46</c:v>
                </c:pt>
                <c:pt idx="91">
                  <c:v>46½</c:v>
                </c:pt>
                <c:pt idx="92">
                  <c:v> 47</c:v>
                </c:pt>
                <c:pt idx="93">
                  <c:v>47½</c:v>
                </c:pt>
                <c:pt idx="94">
                  <c:v> 48</c:v>
                </c:pt>
                <c:pt idx="95">
                  <c:v>48½</c:v>
                </c:pt>
                <c:pt idx="96">
                  <c:v> 49</c:v>
                </c:pt>
                <c:pt idx="97">
                  <c:v>49½</c:v>
                </c:pt>
                <c:pt idx="98">
                  <c:v> 50</c:v>
                </c:pt>
                <c:pt idx="99">
                  <c:v>51+</c:v>
                </c:pt>
              </c:strCache>
            </c:strRef>
          </c:cat>
          <c:val>
            <c:numRef>
              <c:f>'PWLB maturity '!$E$3:$E$102</c:f>
              <c:numCache>
                <c:formatCode>General</c:formatCode>
                <c:ptCount val="100"/>
                <c:pt idx="0">
                  <c:v>1.56</c:v>
                </c:pt>
                <c:pt idx="1">
                  <c:v>1.92</c:v>
                </c:pt>
                <c:pt idx="2">
                  <c:v>2.09</c:v>
                </c:pt>
                <c:pt idx="3">
                  <c:v>2.25</c:v>
                </c:pt>
                <c:pt idx="4">
                  <c:v>2.39</c:v>
                </c:pt>
                <c:pt idx="5">
                  <c:v>2.5299999999999998</c:v>
                </c:pt>
                <c:pt idx="6">
                  <c:v>2.65</c:v>
                </c:pt>
                <c:pt idx="7">
                  <c:v>2.76</c:v>
                </c:pt>
                <c:pt idx="8">
                  <c:v>2.87</c:v>
                </c:pt>
                <c:pt idx="9">
                  <c:v>2.96</c:v>
                </c:pt>
                <c:pt idx="10">
                  <c:v>3.04</c:v>
                </c:pt>
                <c:pt idx="11">
                  <c:v>3.12</c:v>
                </c:pt>
                <c:pt idx="12">
                  <c:v>3.19</c:v>
                </c:pt>
                <c:pt idx="13">
                  <c:v>3.25</c:v>
                </c:pt>
                <c:pt idx="14">
                  <c:v>3.31</c:v>
                </c:pt>
                <c:pt idx="15">
                  <c:v>3.37</c:v>
                </c:pt>
                <c:pt idx="16">
                  <c:v>3.42</c:v>
                </c:pt>
                <c:pt idx="17">
                  <c:v>3.46</c:v>
                </c:pt>
                <c:pt idx="18">
                  <c:v>3.51</c:v>
                </c:pt>
                <c:pt idx="19">
                  <c:v>3.55</c:v>
                </c:pt>
                <c:pt idx="20">
                  <c:v>3.59</c:v>
                </c:pt>
                <c:pt idx="21">
                  <c:v>3.62</c:v>
                </c:pt>
                <c:pt idx="22">
                  <c:v>3.66</c:v>
                </c:pt>
                <c:pt idx="23">
                  <c:v>3.69</c:v>
                </c:pt>
                <c:pt idx="24">
                  <c:v>3.72</c:v>
                </c:pt>
                <c:pt idx="25">
                  <c:v>3.74</c:v>
                </c:pt>
                <c:pt idx="26">
                  <c:v>3.77</c:v>
                </c:pt>
                <c:pt idx="27">
                  <c:v>3.79</c:v>
                </c:pt>
                <c:pt idx="28">
                  <c:v>3.82</c:v>
                </c:pt>
                <c:pt idx="29">
                  <c:v>3.84</c:v>
                </c:pt>
                <c:pt idx="30">
                  <c:v>3.86</c:v>
                </c:pt>
                <c:pt idx="31">
                  <c:v>3.88</c:v>
                </c:pt>
                <c:pt idx="32">
                  <c:v>3.9</c:v>
                </c:pt>
                <c:pt idx="33">
                  <c:v>3.91</c:v>
                </c:pt>
                <c:pt idx="34">
                  <c:v>3.93</c:v>
                </c:pt>
                <c:pt idx="35">
                  <c:v>3.94</c:v>
                </c:pt>
                <c:pt idx="36">
                  <c:v>3.95</c:v>
                </c:pt>
                <c:pt idx="37">
                  <c:v>3.97</c:v>
                </c:pt>
                <c:pt idx="38">
                  <c:v>3.98</c:v>
                </c:pt>
                <c:pt idx="39">
                  <c:v>3.99</c:v>
                </c:pt>
                <c:pt idx="40">
                  <c:v>4</c:v>
                </c:pt>
                <c:pt idx="41">
                  <c:v>4.01</c:v>
                </c:pt>
                <c:pt idx="42">
                  <c:v>4.01</c:v>
                </c:pt>
                <c:pt idx="43">
                  <c:v>4.0199999999999996</c:v>
                </c:pt>
                <c:pt idx="44">
                  <c:v>4.03</c:v>
                </c:pt>
                <c:pt idx="45">
                  <c:v>4.03</c:v>
                </c:pt>
                <c:pt idx="46">
                  <c:v>4.04</c:v>
                </c:pt>
                <c:pt idx="47">
                  <c:v>4.04</c:v>
                </c:pt>
                <c:pt idx="48">
                  <c:v>4.05</c:v>
                </c:pt>
                <c:pt idx="49">
                  <c:v>4.05</c:v>
                </c:pt>
                <c:pt idx="50">
                  <c:v>4.0599999999999996</c:v>
                </c:pt>
                <c:pt idx="51">
                  <c:v>4.0599999999999996</c:v>
                </c:pt>
                <c:pt idx="52">
                  <c:v>4.0599999999999996</c:v>
                </c:pt>
                <c:pt idx="53">
                  <c:v>4.0599999999999996</c:v>
                </c:pt>
                <c:pt idx="54">
                  <c:v>4.0599999999999996</c:v>
                </c:pt>
                <c:pt idx="55">
                  <c:v>4.0599999999999996</c:v>
                </c:pt>
                <c:pt idx="56">
                  <c:v>4.0599999999999996</c:v>
                </c:pt>
                <c:pt idx="57">
                  <c:v>4.0599999999999996</c:v>
                </c:pt>
                <c:pt idx="58">
                  <c:v>4.0599999999999996</c:v>
                </c:pt>
                <c:pt idx="59">
                  <c:v>4.0599999999999996</c:v>
                </c:pt>
                <c:pt idx="60">
                  <c:v>4.0599999999999996</c:v>
                </c:pt>
                <c:pt idx="61">
                  <c:v>4.0599999999999996</c:v>
                </c:pt>
                <c:pt idx="62">
                  <c:v>4.0599999999999996</c:v>
                </c:pt>
                <c:pt idx="63">
                  <c:v>4.0599999999999996</c:v>
                </c:pt>
                <c:pt idx="64">
                  <c:v>4.0599999999999996</c:v>
                </c:pt>
                <c:pt idx="65">
                  <c:v>4.0599999999999996</c:v>
                </c:pt>
                <c:pt idx="66">
                  <c:v>4.0599999999999996</c:v>
                </c:pt>
                <c:pt idx="67">
                  <c:v>4.0599999999999996</c:v>
                </c:pt>
                <c:pt idx="68">
                  <c:v>4.0599999999999996</c:v>
                </c:pt>
                <c:pt idx="69">
                  <c:v>4.05</c:v>
                </c:pt>
                <c:pt idx="70">
                  <c:v>4.05</c:v>
                </c:pt>
                <c:pt idx="71">
                  <c:v>4.05</c:v>
                </c:pt>
                <c:pt idx="72">
                  <c:v>4.05</c:v>
                </c:pt>
                <c:pt idx="73">
                  <c:v>4.05</c:v>
                </c:pt>
                <c:pt idx="74">
                  <c:v>4.05</c:v>
                </c:pt>
                <c:pt idx="75">
                  <c:v>4.05</c:v>
                </c:pt>
                <c:pt idx="76">
                  <c:v>4.04</c:v>
                </c:pt>
                <c:pt idx="77">
                  <c:v>4.04</c:v>
                </c:pt>
                <c:pt idx="78">
                  <c:v>4.04</c:v>
                </c:pt>
                <c:pt idx="79">
                  <c:v>4.04</c:v>
                </c:pt>
                <c:pt idx="80">
                  <c:v>4.04</c:v>
                </c:pt>
                <c:pt idx="81">
                  <c:v>4.04</c:v>
                </c:pt>
                <c:pt idx="82">
                  <c:v>4.04</c:v>
                </c:pt>
                <c:pt idx="83">
                  <c:v>4.04</c:v>
                </c:pt>
                <c:pt idx="84">
                  <c:v>4.03</c:v>
                </c:pt>
                <c:pt idx="85">
                  <c:v>4.03</c:v>
                </c:pt>
                <c:pt idx="86">
                  <c:v>4.03</c:v>
                </c:pt>
                <c:pt idx="87">
                  <c:v>4.03</c:v>
                </c:pt>
                <c:pt idx="88">
                  <c:v>4.03</c:v>
                </c:pt>
                <c:pt idx="89">
                  <c:v>4.03</c:v>
                </c:pt>
                <c:pt idx="90">
                  <c:v>4.03</c:v>
                </c:pt>
                <c:pt idx="91">
                  <c:v>4.03</c:v>
                </c:pt>
                <c:pt idx="92">
                  <c:v>4.03</c:v>
                </c:pt>
                <c:pt idx="93">
                  <c:v>4.03</c:v>
                </c:pt>
                <c:pt idx="94">
                  <c:v>4.03</c:v>
                </c:pt>
                <c:pt idx="95">
                  <c:v>4.03</c:v>
                </c:pt>
                <c:pt idx="96">
                  <c:v>4.03</c:v>
                </c:pt>
                <c:pt idx="97">
                  <c:v>4.03</c:v>
                </c:pt>
                <c:pt idx="98">
                  <c:v>4.03</c:v>
                </c:pt>
                <c:pt idx="99">
                  <c:v>4.03</c:v>
                </c:pt>
              </c:numCache>
            </c:numRef>
          </c:val>
          <c:smooth val="0"/>
        </c:ser>
        <c:dLbls>
          <c:showLegendKey val="0"/>
          <c:showVal val="0"/>
          <c:showCatName val="0"/>
          <c:showSerName val="0"/>
          <c:showPercent val="0"/>
          <c:showBubbleSize val="0"/>
        </c:dLbls>
        <c:smooth val="0"/>
        <c:axId val="157502152"/>
        <c:axId val="157506632"/>
      </c:lineChart>
      <c:catAx>
        <c:axId val="15750215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Period in Years</a:t>
                </a:r>
              </a:p>
            </c:rich>
          </c:tx>
          <c:layout>
            <c:manualLayout>
              <c:xMode val="edge"/>
              <c:yMode val="edge"/>
              <c:x val="0.41450694319952563"/>
              <c:y val="0.916185675090896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57506632"/>
        <c:crosses val="autoZero"/>
        <c:auto val="1"/>
        <c:lblAlgn val="ctr"/>
        <c:lblOffset val="10"/>
        <c:tickLblSkip val="10"/>
        <c:tickMarkSkip val="1"/>
        <c:noMultiLvlLbl val="0"/>
      </c:catAx>
      <c:valAx>
        <c:axId val="157506632"/>
        <c:scaling>
          <c:orientation val="minMax"/>
          <c:max val="5.7"/>
          <c:min val="1"/>
        </c:scaling>
        <c:delete val="0"/>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rPr lang="en-GB"/>
                  <a:t>%</a:t>
                </a:r>
              </a:p>
            </c:rich>
          </c:tx>
          <c:layout>
            <c:manualLayout>
              <c:xMode val="edge"/>
              <c:yMode val="edge"/>
              <c:x val="5.4312414100601697E-2"/>
              <c:y val="1.4164305949008499E-2"/>
            </c:manualLayout>
          </c:layout>
          <c:overlay val="0"/>
          <c:spPr>
            <a:noFill/>
            <a:ln w="25400">
              <a:noFill/>
            </a:ln>
          </c:spPr>
        </c:title>
        <c:numFmt formatCode="#,##0.00;\-#,##0.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57502152"/>
        <c:crosses val="autoZero"/>
        <c:crossBetween val="midCat"/>
        <c:majorUnit val="0.5"/>
        <c:minorUnit val="0.1"/>
      </c:valAx>
      <c:spPr>
        <a:solidFill>
          <a:srgbClr val="FFFFFF"/>
        </a:solidFill>
        <a:ln w="25400">
          <a:solidFill>
            <a:srgbClr val="000000"/>
          </a:solidFill>
          <a:prstDash val="solid"/>
        </a:ln>
      </c:spPr>
    </c:plotArea>
    <c:legend>
      <c:legendPos val="r"/>
      <c:legendEntry>
        <c:idx val="0"/>
        <c:txPr>
          <a:bodyPr/>
          <a:lstStyle/>
          <a:p>
            <a:pPr>
              <a:defRPr sz="800" b="0" i="0" u="none" strike="noStrike" baseline="0">
                <a:solidFill>
                  <a:srgbClr val="000000"/>
                </a:solidFill>
                <a:latin typeface="Arial"/>
                <a:ea typeface="Arial"/>
                <a:cs typeface="Arial"/>
              </a:defRPr>
            </a:pPr>
            <a:endParaRPr lang="en-US"/>
          </a:p>
        </c:txPr>
      </c:legendEntry>
      <c:legendEntry>
        <c:idx val="1"/>
        <c:txPr>
          <a:bodyPr/>
          <a:lstStyle/>
          <a:p>
            <a:pPr>
              <a:defRPr sz="800" b="0" i="0" u="none" strike="noStrike" baseline="0">
                <a:solidFill>
                  <a:srgbClr val="000000"/>
                </a:solidFill>
                <a:latin typeface="Arial"/>
                <a:ea typeface="Arial"/>
                <a:cs typeface="Arial"/>
              </a:defRPr>
            </a:pPr>
            <a:endParaRPr lang="en-US"/>
          </a:p>
        </c:txPr>
      </c:legendEntry>
      <c:layout>
        <c:manualLayout>
          <c:xMode val="edge"/>
          <c:yMode val="edge"/>
          <c:x val="0.702444576214313"/>
          <c:y val="0.56195430245440281"/>
          <c:w val="0.14638461785972023"/>
          <c:h val="0.16923408653238459"/>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DEBT PORTFOLIO 2014-15</a:t>
            </a:r>
          </a:p>
        </c:rich>
      </c:tx>
      <c:layout/>
      <c:overlay val="0"/>
      <c:spPr>
        <a:noFill/>
      </c:spPr>
    </c:title>
    <c:autoTitleDeleted val="0"/>
    <c:plotArea>
      <c:layout>
        <c:manualLayout>
          <c:layoutTarget val="inner"/>
          <c:xMode val="edge"/>
          <c:yMode val="edge"/>
          <c:x val="0.14160543925183441"/>
          <c:y val="0.13067725909261338"/>
          <c:w val="0.82623498427884223"/>
          <c:h val="0.61944764716914913"/>
        </c:manualLayout>
      </c:layout>
      <c:lineChart>
        <c:grouping val="standard"/>
        <c:varyColors val="0"/>
        <c:ser>
          <c:idx val="2"/>
          <c:order val="0"/>
          <c:tx>
            <c:v>Authorised Limit</c:v>
          </c:tx>
          <c:spPr>
            <a:ln>
              <a:solidFill>
                <a:srgbClr val="00B050"/>
              </a:solidFill>
            </a:ln>
          </c:spPr>
          <c:marker>
            <c:symbol val="none"/>
          </c:marker>
          <c:cat>
            <c:numRef>
              <c:f>Data!$A$1:$A$366</c:f>
              <c:numCache>
                <c:formatCode>dd/mm/yy;@</c:formatCode>
                <c:ptCount val="366"/>
                <c:pt idx="0">
                  <c:v>41365</c:v>
                </c:pt>
                <c:pt idx="1">
                  <c:v>41366</c:v>
                </c:pt>
                <c:pt idx="2">
                  <c:v>41367</c:v>
                </c:pt>
                <c:pt idx="3">
                  <c:v>41368</c:v>
                </c:pt>
                <c:pt idx="4">
                  <c:v>41369</c:v>
                </c:pt>
                <c:pt idx="5">
                  <c:v>41370</c:v>
                </c:pt>
                <c:pt idx="6">
                  <c:v>41371</c:v>
                </c:pt>
                <c:pt idx="7">
                  <c:v>41372</c:v>
                </c:pt>
                <c:pt idx="8">
                  <c:v>41373</c:v>
                </c:pt>
                <c:pt idx="9">
                  <c:v>41374</c:v>
                </c:pt>
                <c:pt idx="10">
                  <c:v>41375</c:v>
                </c:pt>
                <c:pt idx="11">
                  <c:v>41376</c:v>
                </c:pt>
                <c:pt idx="12">
                  <c:v>41377</c:v>
                </c:pt>
                <c:pt idx="13">
                  <c:v>41378</c:v>
                </c:pt>
                <c:pt idx="14">
                  <c:v>41379</c:v>
                </c:pt>
                <c:pt idx="15">
                  <c:v>41380</c:v>
                </c:pt>
                <c:pt idx="16">
                  <c:v>41381</c:v>
                </c:pt>
                <c:pt idx="17">
                  <c:v>41382</c:v>
                </c:pt>
                <c:pt idx="18">
                  <c:v>41383</c:v>
                </c:pt>
                <c:pt idx="19">
                  <c:v>41384</c:v>
                </c:pt>
                <c:pt idx="20">
                  <c:v>41385</c:v>
                </c:pt>
                <c:pt idx="21">
                  <c:v>41386</c:v>
                </c:pt>
                <c:pt idx="22">
                  <c:v>41387</c:v>
                </c:pt>
                <c:pt idx="23">
                  <c:v>41388</c:v>
                </c:pt>
                <c:pt idx="24">
                  <c:v>41389</c:v>
                </c:pt>
                <c:pt idx="25">
                  <c:v>41390</c:v>
                </c:pt>
                <c:pt idx="26">
                  <c:v>41391</c:v>
                </c:pt>
                <c:pt idx="27">
                  <c:v>41392</c:v>
                </c:pt>
                <c:pt idx="28">
                  <c:v>41393</c:v>
                </c:pt>
                <c:pt idx="29">
                  <c:v>41394</c:v>
                </c:pt>
                <c:pt idx="30">
                  <c:v>41395</c:v>
                </c:pt>
                <c:pt idx="31">
                  <c:v>41396</c:v>
                </c:pt>
                <c:pt idx="32">
                  <c:v>41397</c:v>
                </c:pt>
                <c:pt idx="33">
                  <c:v>41398</c:v>
                </c:pt>
                <c:pt idx="34">
                  <c:v>41399</c:v>
                </c:pt>
                <c:pt idx="35">
                  <c:v>41400</c:v>
                </c:pt>
                <c:pt idx="36">
                  <c:v>41401</c:v>
                </c:pt>
                <c:pt idx="37">
                  <c:v>41402</c:v>
                </c:pt>
                <c:pt idx="38">
                  <c:v>41403</c:v>
                </c:pt>
                <c:pt idx="39">
                  <c:v>41404</c:v>
                </c:pt>
                <c:pt idx="40">
                  <c:v>41405</c:v>
                </c:pt>
                <c:pt idx="41">
                  <c:v>41406</c:v>
                </c:pt>
                <c:pt idx="42">
                  <c:v>41407</c:v>
                </c:pt>
                <c:pt idx="43">
                  <c:v>41408</c:v>
                </c:pt>
                <c:pt idx="44">
                  <c:v>41409</c:v>
                </c:pt>
                <c:pt idx="45">
                  <c:v>41410</c:v>
                </c:pt>
                <c:pt idx="46">
                  <c:v>41411</c:v>
                </c:pt>
                <c:pt idx="47">
                  <c:v>41412</c:v>
                </c:pt>
                <c:pt idx="48">
                  <c:v>41413</c:v>
                </c:pt>
                <c:pt idx="49">
                  <c:v>41414</c:v>
                </c:pt>
                <c:pt idx="50">
                  <c:v>41415</c:v>
                </c:pt>
                <c:pt idx="51">
                  <c:v>41416</c:v>
                </c:pt>
                <c:pt idx="52">
                  <c:v>41417</c:v>
                </c:pt>
                <c:pt idx="53">
                  <c:v>41418</c:v>
                </c:pt>
                <c:pt idx="54">
                  <c:v>41419</c:v>
                </c:pt>
                <c:pt idx="55">
                  <c:v>41420</c:v>
                </c:pt>
                <c:pt idx="56">
                  <c:v>41421</c:v>
                </c:pt>
                <c:pt idx="57">
                  <c:v>41422</c:v>
                </c:pt>
                <c:pt idx="58">
                  <c:v>41423</c:v>
                </c:pt>
                <c:pt idx="59">
                  <c:v>41424</c:v>
                </c:pt>
                <c:pt idx="60">
                  <c:v>41425</c:v>
                </c:pt>
                <c:pt idx="61">
                  <c:v>41426</c:v>
                </c:pt>
                <c:pt idx="62">
                  <c:v>41427</c:v>
                </c:pt>
                <c:pt idx="63">
                  <c:v>41428</c:v>
                </c:pt>
                <c:pt idx="64">
                  <c:v>41429</c:v>
                </c:pt>
                <c:pt idx="65">
                  <c:v>41430</c:v>
                </c:pt>
                <c:pt idx="66">
                  <c:v>41431</c:v>
                </c:pt>
                <c:pt idx="67">
                  <c:v>41432</c:v>
                </c:pt>
                <c:pt idx="68">
                  <c:v>41433</c:v>
                </c:pt>
                <c:pt idx="69">
                  <c:v>41434</c:v>
                </c:pt>
                <c:pt idx="70">
                  <c:v>41435</c:v>
                </c:pt>
                <c:pt idx="71">
                  <c:v>41436</c:v>
                </c:pt>
                <c:pt idx="72">
                  <c:v>41437</c:v>
                </c:pt>
                <c:pt idx="73">
                  <c:v>41438</c:v>
                </c:pt>
                <c:pt idx="74">
                  <c:v>41439</c:v>
                </c:pt>
                <c:pt idx="75">
                  <c:v>41440</c:v>
                </c:pt>
                <c:pt idx="76">
                  <c:v>41441</c:v>
                </c:pt>
                <c:pt idx="77">
                  <c:v>41442</c:v>
                </c:pt>
                <c:pt idx="78">
                  <c:v>41443</c:v>
                </c:pt>
                <c:pt idx="79">
                  <c:v>41444</c:v>
                </c:pt>
                <c:pt idx="80">
                  <c:v>41445</c:v>
                </c:pt>
                <c:pt idx="81">
                  <c:v>41446</c:v>
                </c:pt>
                <c:pt idx="82">
                  <c:v>41447</c:v>
                </c:pt>
                <c:pt idx="83">
                  <c:v>41448</c:v>
                </c:pt>
                <c:pt idx="84">
                  <c:v>41449</c:v>
                </c:pt>
                <c:pt idx="85">
                  <c:v>41450</c:v>
                </c:pt>
                <c:pt idx="86">
                  <c:v>41451</c:v>
                </c:pt>
                <c:pt idx="87">
                  <c:v>41452</c:v>
                </c:pt>
                <c:pt idx="88">
                  <c:v>41453</c:v>
                </c:pt>
                <c:pt idx="89">
                  <c:v>41454</c:v>
                </c:pt>
                <c:pt idx="90">
                  <c:v>41455</c:v>
                </c:pt>
                <c:pt idx="91">
                  <c:v>41456</c:v>
                </c:pt>
                <c:pt idx="92">
                  <c:v>41457</c:v>
                </c:pt>
                <c:pt idx="93">
                  <c:v>41458</c:v>
                </c:pt>
                <c:pt idx="94">
                  <c:v>41459</c:v>
                </c:pt>
                <c:pt idx="95">
                  <c:v>41460</c:v>
                </c:pt>
                <c:pt idx="96">
                  <c:v>41461</c:v>
                </c:pt>
                <c:pt idx="97">
                  <c:v>41462</c:v>
                </c:pt>
                <c:pt idx="98">
                  <c:v>41463</c:v>
                </c:pt>
                <c:pt idx="99">
                  <c:v>41464</c:v>
                </c:pt>
                <c:pt idx="100">
                  <c:v>41465</c:v>
                </c:pt>
                <c:pt idx="101">
                  <c:v>41466</c:v>
                </c:pt>
                <c:pt idx="102">
                  <c:v>41467</c:v>
                </c:pt>
                <c:pt idx="103">
                  <c:v>41468</c:v>
                </c:pt>
                <c:pt idx="104">
                  <c:v>41469</c:v>
                </c:pt>
                <c:pt idx="105">
                  <c:v>41470</c:v>
                </c:pt>
                <c:pt idx="106">
                  <c:v>41471</c:v>
                </c:pt>
                <c:pt idx="107">
                  <c:v>41472</c:v>
                </c:pt>
                <c:pt idx="108">
                  <c:v>41473</c:v>
                </c:pt>
                <c:pt idx="109">
                  <c:v>41474</c:v>
                </c:pt>
                <c:pt idx="110">
                  <c:v>41475</c:v>
                </c:pt>
                <c:pt idx="111">
                  <c:v>41476</c:v>
                </c:pt>
                <c:pt idx="112">
                  <c:v>41477</c:v>
                </c:pt>
                <c:pt idx="113">
                  <c:v>41478</c:v>
                </c:pt>
                <c:pt idx="114">
                  <c:v>41479</c:v>
                </c:pt>
                <c:pt idx="115">
                  <c:v>41480</c:v>
                </c:pt>
                <c:pt idx="116">
                  <c:v>41481</c:v>
                </c:pt>
                <c:pt idx="117">
                  <c:v>41482</c:v>
                </c:pt>
                <c:pt idx="118">
                  <c:v>41483</c:v>
                </c:pt>
                <c:pt idx="119">
                  <c:v>41484</c:v>
                </c:pt>
                <c:pt idx="120">
                  <c:v>41485</c:v>
                </c:pt>
                <c:pt idx="121">
                  <c:v>41486</c:v>
                </c:pt>
                <c:pt idx="122">
                  <c:v>41487</c:v>
                </c:pt>
                <c:pt idx="123">
                  <c:v>41488</c:v>
                </c:pt>
                <c:pt idx="124">
                  <c:v>41489</c:v>
                </c:pt>
                <c:pt idx="125">
                  <c:v>41490</c:v>
                </c:pt>
                <c:pt idx="126">
                  <c:v>41491</c:v>
                </c:pt>
                <c:pt idx="127">
                  <c:v>41492</c:v>
                </c:pt>
                <c:pt idx="128">
                  <c:v>41493</c:v>
                </c:pt>
                <c:pt idx="129">
                  <c:v>41494</c:v>
                </c:pt>
                <c:pt idx="130">
                  <c:v>41495</c:v>
                </c:pt>
                <c:pt idx="131">
                  <c:v>41496</c:v>
                </c:pt>
                <c:pt idx="132">
                  <c:v>41497</c:v>
                </c:pt>
                <c:pt idx="133">
                  <c:v>41498</c:v>
                </c:pt>
                <c:pt idx="134">
                  <c:v>41499</c:v>
                </c:pt>
                <c:pt idx="135">
                  <c:v>41500</c:v>
                </c:pt>
                <c:pt idx="136">
                  <c:v>41501</c:v>
                </c:pt>
                <c:pt idx="137">
                  <c:v>41502</c:v>
                </c:pt>
                <c:pt idx="138">
                  <c:v>41503</c:v>
                </c:pt>
                <c:pt idx="139">
                  <c:v>41504</c:v>
                </c:pt>
                <c:pt idx="140">
                  <c:v>41505</c:v>
                </c:pt>
                <c:pt idx="141">
                  <c:v>41506</c:v>
                </c:pt>
                <c:pt idx="142">
                  <c:v>41507</c:v>
                </c:pt>
                <c:pt idx="143">
                  <c:v>41508</c:v>
                </c:pt>
                <c:pt idx="144">
                  <c:v>41509</c:v>
                </c:pt>
                <c:pt idx="145">
                  <c:v>41510</c:v>
                </c:pt>
                <c:pt idx="146">
                  <c:v>41511</c:v>
                </c:pt>
                <c:pt idx="147">
                  <c:v>41512</c:v>
                </c:pt>
                <c:pt idx="148">
                  <c:v>41513</c:v>
                </c:pt>
                <c:pt idx="149">
                  <c:v>41514</c:v>
                </c:pt>
                <c:pt idx="150">
                  <c:v>41515</c:v>
                </c:pt>
                <c:pt idx="151">
                  <c:v>41516</c:v>
                </c:pt>
                <c:pt idx="152">
                  <c:v>41517</c:v>
                </c:pt>
                <c:pt idx="153">
                  <c:v>41518</c:v>
                </c:pt>
                <c:pt idx="154">
                  <c:v>41519</c:v>
                </c:pt>
                <c:pt idx="155">
                  <c:v>41520</c:v>
                </c:pt>
                <c:pt idx="156">
                  <c:v>41521</c:v>
                </c:pt>
                <c:pt idx="157">
                  <c:v>41522</c:v>
                </c:pt>
                <c:pt idx="158">
                  <c:v>41523</c:v>
                </c:pt>
                <c:pt idx="159">
                  <c:v>41524</c:v>
                </c:pt>
                <c:pt idx="160">
                  <c:v>41525</c:v>
                </c:pt>
                <c:pt idx="161">
                  <c:v>41526</c:v>
                </c:pt>
                <c:pt idx="162">
                  <c:v>41527</c:v>
                </c:pt>
                <c:pt idx="163">
                  <c:v>41528</c:v>
                </c:pt>
                <c:pt idx="164">
                  <c:v>41529</c:v>
                </c:pt>
                <c:pt idx="165">
                  <c:v>41530</c:v>
                </c:pt>
                <c:pt idx="166">
                  <c:v>41531</c:v>
                </c:pt>
                <c:pt idx="167">
                  <c:v>41532</c:v>
                </c:pt>
                <c:pt idx="168">
                  <c:v>41533</c:v>
                </c:pt>
                <c:pt idx="169">
                  <c:v>41534</c:v>
                </c:pt>
                <c:pt idx="170">
                  <c:v>41535</c:v>
                </c:pt>
                <c:pt idx="171">
                  <c:v>41536</c:v>
                </c:pt>
                <c:pt idx="172">
                  <c:v>41537</c:v>
                </c:pt>
                <c:pt idx="173">
                  <c:v>41538</c:v>
                </c:pt>
                <c:pt idx="174">
                  <c:v>41539</c:v>
                </c:pt>
                <c:pt idx="175">
                  <c:v>41540</c:v>
                </c:pt>
                <c:pt idx="176">
                  <c:v>41541</c:v>
                </c:pt>
                <c:pt idx="177">
                  <c:v>41542</c:v>
                </c:pt>
                <c:pt idx="178">
                  <c:v>41543</c:v>
                </c:pt>
                <c:pt idx="179">
                  <c:v>41544</c:v>
                </c:pt>
                <c:pt idx="180">
                  <c:v>41545</c:v>
                </c:pt>
                <c:pt idx="181">
                  <c:v>41546</c:v>
                </c:pt>
                <c:pt idx="182">
                  <c:v>41547</c:v>
                </c:pt>
                <c:pt idx="183">
                  <c:v>41548</c:v>
                </c:pt>
                <c:pt idx="184">
                  <c:v>41549</c:v>
                </c:pt>
                <c:pt idx="185">
                  <c:v>41550</c:v>
                </c:pt>
                <c:pt idx="186">
                  <c:v>41551</c:v>
                </c:pt>
                <c:pt idx="187">
                  <c:v>41552</c:v>
                </c:pt>
                <c:pt idx="188">
                  <c:v>41553</c:v>
                </c:pt>
                <c:pt idx="189">
                  <c:v>41554</c:v>
                </c:pt>
                <c:pt idx="190">
                  <c:v>41555</c:v>
                </c:pt>
                <c:pt idx="191">
                  <c:v>41556</c:v>
                </c:pt>
                <c:pt idx="192">
                  <c:v>41557</c:v>
                </c:pt>
                <c:pt idx="193">
                  <c:v>41558</c:v>
                </c:pt>
                <c:pt idx="194">
                  <c:v>41559</c:v>
                </c:pt>
                <c:pt idx="195">
                  <c:v>41560</c:v>
                </c:pt>
                <c:pt idx="196">
                  <c:v>41561</c:v>
                </c:pt>
                <c:pt idx="197">
                  <c:v>41562</c:v>
                </c:pt>
                <c:pt idx="198">
                  <c:v>41563</c:v>
                </c:pt>
                <c:pt idx="199">
                  <c:v>41564</c:v>
                </c:pt>
                <c:pt idx="200">
                  <c:v>41565</c:v>
                </c:pt>
                <c:pt idx="201">
                  <c:v>41566</c:v>
                </c:pt>
                <c:pt idx="202">
                  <c:v>41567</c:v>
                </c:pt>
                <c:pt idx="203">
                  <c:v>41568</c:v>
                </c:pt>
                <c:pt idx="204">
                  <c:v>41569</c:v>
                </c:pt>
                <c:pt idx="205">
                  <c:v>41570</c:v>
                </c:pt>
                <c:pt idx="206">
                  <c:v>41571</c:v>
                </c:pt>
                <c:pt idx="207">
                  <c:v>41572</c:v>
                </c:pt>
                <c:pt idx="208">
                  <c:v>41573</c:v>
                </c:pt>
                <c:pt idx="209">
                  <c:v>41574</c:v>
                </c:pt>
                <c:pt idx="210">
                  <c:v>41575</c:v>
                </c:pt>
                <c:pt idx="211">
                  <c:v>41576</c:v>
                </c:pt>
                <c:pt idx="212">
                  <c:v>41577</c:v>
                </c:pt>
                <c:pt idx="213">
                  <c:v>41578</c:v>
                </c:pt>
                <c:pt idx="214">
                  <c:v>41579</c:v>
                </c:pt>
                <c:pt idx="215">
                  <c:v>41580</c:v>
                </c:pt>
                <c:pt idx="216">
                  <c:v>41581</c:v>
                </c:pt>
                <c:pt idx="217">
                  <c:v>41582</c:v>
                </c:pt>
                <c:pt idx="218">
                  <c:v>41583</c:v>
                </c:pt>
                <c:pt idx="219">
                  <c:v>41584</c:v>
                </c:pt>
                <c:pt idx="220">
                  <c:v>41585</c:v>
                </c:pt>
                <c:pt idx="221">
                  <c:v>41586</c:v>
                </c:pt>
                <c:pt idx="222">
                  <c:v>41587</c:v>
                </c:pt>
                <c:pt idx="223">
                  <c:v>41588</c:v>
                </c:pt>
                <c:pt idx="224">
                  <c:v>41589</c:v>
                </c:pt>
                <c:pt idx="225">
                  <c:v>41590</c:v>
                </c:pt>
                <c:pt idx="226">
                  <c:v>41591</c:v>
                </c:pt>
                <c:pt idx="227">
                  <c:v>41592</c:v>
                </c:pt>
                <c:pt idx="228">
                  <c:v>41593</c:v>
                </c:pt>
                <c:pt idx="229">
                  <c:v>41594</c:v>
                </c:pt>
                <c:pt idx="230">
                  <c:v>41595</c:v>
                </c:pt>
                <c:pt idx="231">
                  <c:v>41596</c:v>
                </c:pt>
                <c:pt idx="232">
                  <c:v>41597</c:v>
                </c:pt>
                <c:pt idx="233">
                  <c:v>41598</c:v>
                </c:pt>
                <c:pt idx="234">
                  <c:v>41599</c:v>
                </c:pt>
                <c:pt idx="235">
                  <c:v>41600</c:v>
                </c:pt>
                <c:pt idx="236">
                  <c:v>41601</c:v>
                </c:pt>
                <c:pt idx="237">
                  <c:v>41602</c:v>
                </c:pt>
                <c:pt idx="238">
                  <c:v>41603</c:v>
                </c:pt>
                <c:pt idx="239">
                  <c:v>41604</c:v>
                </c:pt>
                <c:pt idx="240">
                  <c:v>41605</c:v>
                </c:pt>
                <c:pt idx="241">
                  <c:v>41606</c:v>
                </c:pt>
                <c:pt idx="242">
                  <c:v>41607</c:v>
                </c:pt>
                <c:pt idx="243">
                  <c:v>41608</c:v>
                </c:pt>
                <c:pt idx="244">
                  <c:v>41609</c:v>
                </c:pt>
                <c:pt idx="245">
                  <c:v>41610</c:v>
                </c:pt>
                <c:pt idx="246">
                  <c:v>41611</c:v>
                </c:pt>
                <c:pt idx="247">
                  <c:v>41612</c:v>
                </c:pt>
                <c:pt idx="248">
                  <c:v>41613</c:v>
                </c:pt>
                <c:pt idx="249">
                  <c:v>41614</c:v>
                </c:pt>
                <c:pt idx="250">
                  <c:v>41615</c:v>
                </c:pt>
                <c:pt idx="251">
                  <c:v>41616</c:v>
                </c:pt>
                <c:pt idx="252">
                  <c:v>41617</c:v>
                </c:pt>
                <c:pt idx="253">
                  <c:v>41618</c:v>
                </c:pt>
                <c:pt idx="254">
                  <c:v>41619</c:v>
                </c:pt>
                <c:pt idx="255">
                  <c:v>41620</c:v>
                </c:pt>
                <c:pt idx="256">
                  <c:v>41621</c:v>
                </c:pt>
                <c:pt idx="257">
                  <c:v>41622</c:v>
                </c:pt>
                <c:pt idx="258">
                  <c:v>41623</c:v>
                </c:pt>
                <c:pt idx="259">
                  <c:v>41624</c:v>
                </c:pt>
                <c:pt idx="260">
                  <c:v>41625</c:v>
                </c:pt>
                <c:pt idx="261">
                  <c:v>41626</c:v>
                </c:pt>
                <c:pt idx="262">
                  <c:v>41627</c:v>
                </c:pt>
                <c:pt idx="263">
                  <c:v>41628</c:v>
                </c:pt>
                <c:pt idx="264">
                  <c:v>41629</c:v>
                </c:pt>
                <c:pt idx="265">
                  <c:v>41630</c:v>
                </c:pt>
                <c:pt idx="266">
                  <c:v>41631</c:v>
                </c:pt>
                <c:pt idx="267">
                  <c:v>41632</c:v>
                </c:pt>
                <c:pt idx="268">
                  <c:v>41633</c:v>
                </c:pt>
                <c:pt idx="269">
                  <c:v>41634</c:v>
                </c:pt>
                <c:pt idx="270">
                  <c:v>41635</c:v>
                </c:pt>
                <c:pt idx="271">
                  <c:v>41636</c:v>
                </c:pt>
                <c:pt idx="272">
                  <c:v>41637</c:v>
                </c:pt>
                <c:pt idx="273">
                  <c:v>41638</c:v>
                </c:pt>
                <c:pt idx="274">
                  <c:v>41639</c:v>
                </c:pt>
                <c:pt idx="275">
                  <c:v>41640</c:v>
                </c:pt>
                <c:pt idx="276">
                  <c:v>41641</c:v>
                </c:pt>
                <c:pt idx="277">
                  <c:v>41642</c:v>
                </c:pt>
                <c:pt idx="278">
                  <c:v>41643</c:v>
                </c:pt>
                <c:pt idx="279">
                  <c:v>41644</c:v>
                </c:pt>
                <c:pt idx="280">
                  <c:v>41645</c:v>
                </c:pt>
                <c:pt idx="281">
                  <c:v>41646</c:v>
                </c:pt>
                <c:pt idx="282">
                  <c:v>41647</c:v>
                </c:pt>
                <c:pt idx="283">
                  <c:v>41648</c:v>
                </c:pt>
                <c:pt idx="284">
                  <c:v>41649</c:v>
                </c:pt>
                <c:pt idx="285">
                  <c:v>41650</c:v>
                </c:pt>
                <c:pt idx="286">
                  <c:v>41651</c:v>
                </c:pt>
                <c:pt idx="287">
                  <c:v>41652</c:v>
                </c:pt>
                <c:pt idx="288">
                  <c:v>41653</c:v>
                </c:pt>
                <c:pt idx="289">
                  <c:v>41654</c:v>
                </c:pt>
                <c:pt idx="290">
                  <c:v>41655</c:v>
                </c:pt>
                <c:pt idx="291">
                  <c:v>41656</c:v>
                </c:pt>
                <c:pt idx="292">
                  <c:v>41657</c:v>
                </c:pt>
                <c:pt idx="293">
                  <c:v>41658</c:v>
                </c:pt>
                <c:pt idx="294">
                  <c:v>41659</c:v>
                </c:pt>
                <c:pt idx="295">
                  <c:v>41660</c:v>
                </c:pt>
                <c:pt idx="296">
                  <c:v>41661</c:v>
                </c:pt>
                <c:pt idx="297">
                  <c:v>41662</c:v>
                </c:pt>
                <c:pt idx="298">
                  <c:v>41663</c:v>
                </c:pt>
                <c:pt idx="299">
                  <c:v>41664</c:v>
                </c:pt>
                <c:pt idx="300">
                  <c:v>41665</c:v>
                </c:pt>
                <c:pt idx="301">
                  <c:v>41666</c:v>
                </c:pt>
                <c:pt idx="302">
                  <c:v>41667</c:v>
                </c:pt>
                <c:pt idx="303">
                  <c:v>41668</c:v>
                </c:pt>
                <c:pt idx="304">
                  <c:v>41669</c:v>
                </c:pt>
                <c:pt idx="305">
                  <c:v>41670</c:v>
                </c:pt>
                <c:pt idx="306">
                  <c:v>41671</c:v>
                </c:pt>
                <c:pt idx="307">
                  <c:v>41672</c:v>
                </c:pt>
                <c:pt idx="308">
                  <c:v>41673</c:v>
                </c:pt>
                <c:pt idx="309">
                  <c:v>41674</c:v>
                </c:pt>
                <c:pt idx="310">
                  <c:v>41675</c:v>
                </c:pt>
                <c:pt idx="311">
                  <c:v>41676</c:v>
                </c:pt>
                <c:pt idx="312">
                  <c:v>41677</c:v>
                </c:pt>
                <c:pt idx="313">
                  <c:v>41678</c:v>
                </c:pt>
                <c:pt idx="314">
                  <c:v>41679</c:v>
                </c:pt>
                <c:pt idx="315">
                  <c:v>41680</c:v>
                </c:pt>
                <c:pt idx="316">
                  <c:v>41681</c:v>
                </c:pt>
                <c:pt idx="317">
                  <c:v>41682</c:v>
                </c:pt>
                <c:pt idx="318">
                  <c:v>41683</c:v>
                </c:pt>
                <c:pt idx="319">
                  <c:v>41684</c:v>
                </c:pt>
                <c:pt idx="320">
                  <c:v>41685</c:v>
                </c:pt>
                <c:pt idx="321">
                  <c:v>41686</c:v>
                </c:pt>
                <c:pt idx="322">
                  <c:v>41687</c:v>
                </c:pt>
                <c:pt idx="323">
                  <c:v>41688</c:v>
                </c:pt>
                <c:pt idx="324">
                  <c:v>41689</c:v>
                </c:pt>
                <c:pt idx="325">
                  <c:v>41690</c:v>
                </c:pt>
                <c:pt idx="326">
                  <c:v>41691</c:v>
                </c:pt>
                <c:pt idx="327">
                  <c:v>41692</c:v>
                </c:pt>
                <c:pt idx="328">
                  <c:v>41693</c:v>
                </c:pt>
                <c:pt idx="329">
                  <c:v>41694</c:v>
                </c:pt>
                <c:pt idx="330">
                  <c:v>41695</c:v>
                </c:pt>
                <c:pt idx="331">
                  <c:v>41696</c:v>
                </c:pt>
                <c:pt idx="332">
                  <c:v>41697</c:v>
                </c:pt>
                <c:pt idx="333">
                  <c:v>41698</c:v>
                </c:pt>
                <c:pt idx="334">
                  <c:v>41699</c:v>
                </c:pt>
                <c:pt idx="335">
                  <c:v>41700</c:v>
                </c:pt>
                <c:pt idx="336">
                  <c:v>41701</c:v>
                </c:pt>
                <c:pt idx="337">
                  <c:v>41702</c:v>
                </c:pt>
                <c:pt idx="338">
                  <c:v>41703</c:v>
                </c:pt>
                <c:pt idx="339">
                  <c:v>41704</c:v>
                </c:pt>
                <c:pt idx="340">
                  <c:v>41705</c:v>
                </c:pt>
                <c:pt idx="341">
                  <c:v>41706</c:v>
                </c:pt>
                <c:pt idx="342">
                  <c:v>41707</c:v>
                </c:pt>
                <c:pt idx="343">
                  <c:v>41708</c:v>
                </c:pt>
                <c:pt idx="344">
                  <c:v>41709</c:v>
                </c:pt>
                <c:pt idx="345">
                  <c:v>41710</c:v>
                </c:pt>
                <c:pt idx="346">
                  <c:v>41711</c:v>
                </c:pt>
                <c:pt idx="347">
                  <c:v>41712</c:v>
                </c:pt>
                <c:pt idx="348">
                  <c:v>41713</c:v>
                </c:pt>
                <c:pt idx="349">
                  <c:v>41714</c:v>
                </c:pt>
                <c:pt idx="350">
                  <c:v>41715</c:v>
                </c:pt>
                <c:pt idx="351">
                  <c:v>41716</c:v>
                </c:pt>
                <c:pt idx="352">
                  <c:v>41717</c:v>
                </c:pt>
                <c:pt idx="353">
                  <c:v>41718</c:v>
                </c:pt>
                <c:pt idx="354">
                  <c:v>41719</c:v>
                </c:pt>
                <c:pt idx="355">
                  <c:v>41720</c:v>
                </c:pt>
                <c:pt idx="356">
                  <c:v>41721</c:v>
                </c:pt>
                <c:pt idx="357">
                  <c:v>41722</c:v>
                </c:pt>
                <c:pt idx="358">
                  <c:v>41723</c:v>
                </c:pt>
                <c:pt idx="359">
                  <c:v>41724</c:v>
                </c:pt>
                <c:pt idx="360">
                  <c:v>41725</c:v>
                </c:pt>
                <c:pt idx="361">
                  <c:v>41726</c:v>
                </c:pt>
                <c:pt idx="362">
                  <c:v>41727</c:v>
                </c:pt>
                <c:pt idx="363">
                  <c:v>41728</c:v>
                </c:pt>
                <c:pt idx="364">
                  <c:v>41729</c:v>
                </c:pt>
                <c:pt idx="365">
                  <c:v>41730</c:v>
                </c:pt>
              </c:numCache>
            </c:numRef>
          </c:cat>
          <c:val>
            <c:numRef>
              <c:f>Data!$C$1:$C$366</c:f>
              <c:numCache>
                <c:formatCode>_-* #,##0_-;\-* #,##0_-;_-* "-"??_-;_-@_-</c:formatCode>
                <c:ptCount val="366"/>
                <c:pt idx="0">
                  <c:v>1450000000</c:v>
                </c:pt>
                <c:pt idx="1">
                  <c:v>1450000000</c:v>
                </c:pt>
                <c:pt idx="2">
                  <c:v>1450000000</c:v>
                </c:pt>
                <c:pt idx="3">
                  <c:v>1450000000</c:v>
                </c:pt>
                <c:pt idx="4">
                  <c:v>1450000000</c:v>
                </c:pt>
                <c:pt idx="5">
                  <c:v>1450000000</c:v>
                </c:pt>
                <c:pt idx="6">
                  <c:v>1450000000</c:v>
                </c:pt>
                <c:pt idx="7">
                  <c:v>1450000000</c:v>
                </c:pt>
                <c:pt idx="8">
                  <c:v>1450000000</c:v>
                </c:pt>
                <c:pt idx="9">
                  <c:v>1450000000</c:v>
                </c:pt>
                <c:pt idx="10">
                  <c:v>1450000000</c:v>
                </c:pt>
                <c:pt idx="11">
                  <c:v>1450000000</c:v>
                </c:pt>
                <c:pt idx="12">
                  <c:v>1450000000</c:v>
                </c:pt>
                <c:pt idx="13">
                  <c:v>1450000000</c:v>
                </c:pt>
                <c:pt idx="14">
                  <c:v>1450000000</c:v>
                </c:pt>
                <c:pt idx="15">
                  <c:v>1450000000</c:v>
                </c:pt>
                <c:pt idx="16">
                  <c:v>1450000000</c:v>
                </c:pt>
                <c:pt idx="17">
                  <c:v>1450000000</c:v>
                </c:pt>
                <c:pt idx="18">
                  <c:v>1450000000</c:v>
                </c:pt>
                <c:pt idx="19">
                  <c:v>1450000000</c:v>
                </c:pt>
                <c:pt idx="20">
                  <c:v>1450000000</c:v>
                </c:pt>
                <c:pt idx="21">
                  <c:v>1450000000</c:v>
                </c:pt>
                <c:pt idx="22">
                  <c:v>1450000000</c:v>
                </c:pt>
                <c:pt idx="23">
                  <c:v>1450000000</c:v>
                </c:pt>
                <c:pt idx="24">
                  <c:v>1450000000</c:v>
                </c:pt>
                <c:pt idx="25">
                  <c:v>1450000000</c:v>
                </c:pt>
                <c:pt idx="26">
                  <c:v>1450000000</c:v>
                </c:pt>
                <c:pt idx="27">
                  <c:v>1450000000</c:v>
                </c:pt>
                <c:pt idx="28">
                  <c:v>1450000000</c:v>
                </c:pt>
                <c:pt idx="29">
                  <c:v>1450000000</c:v>
                </c:pt>
                <c:pt idx="30">
                  <c:v>1450000000</c:v>
                </c:pt>
                <c:pt idx="31">
                  <c:v>1450000000</c:v>
                </c:pt>
                <c:pt idx="32">
                  <c:v>1450000000</c:v>
                </c:pt>
                <c:pt idx="33">
                  <c:v>1450000000</c:v>
                </c:pt>
                <c:pt idx="34">
                  <c:v>1450000000</c:v>
                </c:pt>
                <c:pt idx="35">
                  <c:v>1450000000</c:v>
                </c:pt>
                <c:pt idx="36">
                  <c:v>1450000000</c:v>
                </c:pt>
                <c:pt idx="37">
                  <c:v>1450000000</c:v>
                </c:pt>
                <c:pt idx="38">
                  <c:v>1450000000</c:v>
                </c:pt>
                <c:pt idx="39">
                  <c:v>1450000000</c:v>
                </c:pt>
                <c:pt idx="40">
                  <c:v>1450000000</c:v>
                </c:pt>
                <c:pt idx="41">
                  <c:v>1450000000</c:v>
                </c:pt>
                <c:pt idx="42">
                  <c:v>1450000000</c:v>
                </c:pt>
                <c:pt idx="43">
                  <c:v>1450000000</c:v>
                </c:pt>
                <c:pt idx="44">
                  <c:v>1450000000</c:v>
                </c:pt>
                <c:pt idx="45">
                  <c:v>1450000000</c:v>
                </c:pt>
                <c:pt idx="46">
                  <c:v>1450000000</c:v>
                </c:pt>
                <c:pt idx="47">
                  <c:v>1450000000</c:v>
                </c:pt>
                <c:pt idx="48">
                  <c:v>1450000000</c:v>
                </c:pt>
                <c:pt idx="49">
                  <c:v>1450000000</c:v>
                </c:pt>
                <c:pt idx="50">
                  <c:v>1450000000</c:v>
                </c:pt>
                <c:pt idx="51">
                  <c:v>1450000000</c:v>
                </c:pt>
                <c:pt idx="52">
                  <c:v>1450000000</c:v>
                </c:pt>
                <c:pt idx="53">
                  <c:v>1450000000</c:v>
                </c:pt>
                <c:pt idx="54">
                  <c:v>1450000000</c:v>
                </c:pt>
                <c:pt idx="55">
                  <c:v>1450000000</c:v>
                </c:pt>
                <c:pt idx="56">
                  <c:v>1450000000</c:v>
                </c:pt>
                <c:pt idx="57">
                  <c:v>1450000000</c:v>
                </c:pt>
                <c:pt idx="58">
                  <c:v>1450000000</c:v>
                </c:pt>
                <c:pt idx="59">
                  <c:v>1450000000</c:v>
                </c:pt>
                <c:pt idx="60">
                  <c:v>1450000000</c:v>
                </c:pt>
                <c:pt idx="61">
                  <c:v>1450000000</c:v>
                </c:pt>
                <c:pt idx="62">
                  <c:v>1450000000</c:v>
                </c:pt>
                <c:pt idx="63">
                  <c:v>1450000000</c:v>
                </c:pt>
                <c:pt idx="64">
                  <c:v>1450000000</c:v>
                </c:pt>
                <c:pt idx="65">
                  <c:v>1450000000</c:v>
                </c:pt>
                <c:pt idx="66">
                  <c:v>1450000000</c:v>
                </c:pt>
                <c:pt idx="67">
                  <c:v>1450000000</c:v>
                </c:pt>
                <c:pt idx="68">
                  <c:v>1450000000</c:v>
                </c:pt>
                <c:pt idx="69">
                  <c:v>1450000000</c:v>
                </c:pt>
                <c:pt idx="70">
                  <c:v>1450000000</c:v>
                </c:pt>
                <c:pt idx="71">
                  <c:v>1450000000</c:v>
                </c:pt>
                <c:pt idx="72">
                  <c:v>1450000000</c:v>
                </c:pt>
                <c:pt idx="73">
                  <c:v>1450000000</c:v>
                </c:pt>
                <c:pt idx="74">
                  <c:v>1450000000</c:v>
                </c:pt>
                <c:pt idx="75">
                  <c:v>1450000000</c:v>
                </c:pt>
                <c:pt idx="76">
                  <c:v>1450000000</c:v>
                </c:pt>
                <c:pt idx="77">
                  <c:v>1450000000</c:v>
                </c:pt>
                <c:pt idx="78">
                  <c:v>1450000000</c:v>
                </c:pt>
                <c:pt idx="79">
                  <c:v>1450000000</c:v>
                </c:pt>
                <c:pt idx="80">
                  <c:v>1450000000</c:v>
                </c:pt>
                <c:pt idx="81">
                  <c:v>1450000000</c:v>
                </c:pt>
                <c:pt idx="82">
                  <c:v>1450000000</c:v>
                </c:pt>
                <c:pt idx="83">
                  <c:v>1750000000</c:v>
                </c:pt>
                <c:pt idx="84">
                  <c:v>1750000000</c:v>
                </c:pt>
                <c:pt idx="85">
                  <c:v>1750000000</c:v>
                </c:pt>
                <c:pt idx="86">
                  <c:v>1750000000</c:v>
                </c:pt>
                <c:pt idx="87">
                  <c:v>1750000000</c:v>
                </c:pt>
                <c:pt idx="88">
                  <c:v>1750000000</c:v>
                </c:pt>
                <c:pt idx="89">
                  <c:v>1750000000</c:v>
                </c:pt>
                <c:pt idx="90">
                  <c:v>1750000000</c:v>
                </c:pt>
                <c:pt idx="91">
                  <c:v>1750000000</c:v>
                </c:pt>
                <c:pt idx="92">
                  <c:v>1750000000</c:v>
                </c:pt>
                <c:pt idx="93">
                  <c:v>1750000000</c:v>
                </c:pt>
                <c:pt idx="94">
                  <c:v>1750000000</c:v>
                </c:pt>
                <c:pt idx="95">
                  <c:v>1750000000</c:v>
                </c:pt>
                <c:pt idx="96">
                  <c:v>1750000000</c:v>
                </c:pt>
                <c:pt idx="97">
                  <c:v>1750000000</c:v>
                </c:pt>
                <c:pt idx="98">
                  <c:v>1750000000</c:v>
                </c:pt>
                <c:pt idx="99">
                  <c:v>1750000000</c:v>
                </c:pt>
                <c:pt idx="100">
                  <c:v>1750000000</c:v>
                </c:pt>
                <c:pt idx="101">
                  <c:v>1750000000</c:v>
                </c:pt>
                <c:pt idx="102">
                  <c:v>1750000000</c:v>
                </c:pt>
                <c:pt idx="103">
                  <c:v>1750000000</c:v>
                </c:pt>
                <c:pt idx="104">
                  <c:v>1750000000</c:v>
                </c:pt>
                <c:pt idx="105">
                  <c:v>1750000000</c:v>
                </c:pt>
                <c:pt idx="106">
                  <c:v>1750000000</c:v>
                </c:pt>
                <c:pt idx="107">
                  <c:v>1750000000</c:v>
                </c:pt>
                <c:pt idx="108">
                  <c:v>1750000000</c:v>
                </c:pt>
                <c:pt idx="109">
                  <c:v>1750000000</c:v>
                </c:pt>
                <c:pt idx="110">
                  <c:v>1750000000</c:v>
                </c:pt>
                <c:pt idx="111">
                  <c:v>1750000000</c:v>
                </c:pt>
                <c:pt idx="112">
                  <c:v>1750000000</c:v>
                </c:pt>
                <c:pt idx="113">
                  <c:v>1750000000</c:v>
                </c:pt>
                <c:pt idx="114">
                  <c:v>1750000000</c:v>
                </c:pt>
                <c:pt idx="115">
                  <c:v>1750000000</c:v>
                </c:pt>
                <c:pt idx="116">
                  <c:v>1750000000</c:v>
                </c:pt>
                <c:pt idx="117">
                  <c:v>1750000000</c:v>
                </c:pt>
                <c:pt idx="118">
                  <c:v>1750000000</c:v>
                </c:pt>
                <c:pt idx="119">
                  <c:v>1750000000</c:v>
                </c:pt>
                <c:pt idx="120">
                  <c:v>1750000000</c:v>
                </c:pt>
                <c:pt idx="121">
                  <c:v>1750000000</c:v>
                </c:pt>
                <c:pt idx="122">
                  <c:v>1750000000</c:v>
                </c:pt>
                <c:pt idx="123">
                  <c:v>1750000000</c:v>
                </c:pt>
                <c:pt idx="124">
                  <c:v>1750000000</c:v>
                </c:pt>
                <c:pt idx="125">
                  <c:v>1750000000</c:v>
                </c:pt>
                <c:pt idx="126">
                  <c:v>1750000000</c:v>
                </c:pt>
                <c:pt idx="127">
                  <c:v>1750000000</c:v>
                </c:pt>
                <c:pt idx="128">
                  <c:v>1750000000</c:v>
                </c:pt>
                <c:pt idx="129">
                  <c:v>1750000000</c:v>
                </c:pt>
                <c:pt idx="130">
                  <c:v>1750000000</c:v>
                </c:pt>
                <c:pt idx="131">
                  <c:v>1750000000</c:v>
                </c:pt>
                <c:pt idx="132">
                  <c:v>1750000000</c:v>
                </c:pt>
                <c:pt idx="133">
                  <c:v>1750000000</c:v>
                </c:pt>
                <c:pt idx="134">
                  <c:v>1750000000</c:v>
                </c:pt>
                <c:pt idx="135">
                  <c:v>1750000000</c:v>
                </c:pt>
                <c:pt idx="136">
                  <c:v>1750000000</c:v>
                </c:pt>
                <c:pt idx="137">
                  <c:v>1750000000</c:v>
                </c:pt>
                <c:pt idx="138">
                  <c:v>1750000000</c:v>
                </c:pt>
                <c:pt idx="139">
                  <c:v>1750000000</c:v>
                </c:pt>
                <c:pt idx="140">
                  <c:v>1750000000</c:v>
                </c:pt>
                <c:pt idx="141">
                  <c:v>1750000000</c:v>
                </c:pt>
                <c:pt idx="142">
                  <c:v>1750000000</c:v>
                </c:pt>
                <c:pt idx="143">
                  <c:v>1750000000</c:v>
                </c:pt>
                <c:pt idx="144">
                  <c:v>1750000000</c:v>
                </c:pt>
                <c:pt idx="145">
                  <c:v>1750000000</c:v>
                </c:pt>
                <c:pt idx="146">
                  <c:v>1750000000</c:v>
                </c:pt>
                <c:pt idx="147">
                  <c:v>1750000000</c:v>
                </c:pt>
                <c:pt idx="148">
                  <c:v>1750000000</c:v>
                </c:pt>
                <c:pt idx="149">
                  <c:v>1750000000</c:v>
                </c:pt>
                <c:pt idx="150">
                  <c:v>1750000000</c:v>
                </c:pt>
                <c:pt idx="151">
                  <c:v>1750000000</c:v>
                </c:pt>
                <c:pt idx="152">
                  <c:v>1750000000</c:v>
                </c:pt>
                <c:pt idx="153">
                  <c:v>1750000000</c:v>
                </c:pt>
                <c:pt idx="154">
                  <c:v>1750000000</c:v>
                </c:pt>
                <c:pt idx="155">
                  <c:v>1750000000</c:v>
                </c:pt>
                <c:pt idx="156">
                  <c:v>1750000000</c:v>
                </c:pt>
                <c:pt idx="157">
                  <c:v>1750000000</c:v>
                </c:pt>
                <c:pt idx="158">
                  <c:v>1750000000</c:v>
                </c:pt>
                <c:pt idx="159">
                  <c:v>1750000000</c:v>
                </c:pt>
                <c:pt idx="160">
                  <c:v>1750000000</c:v>
                </c:pt>
                <c:pt idx="161">
                  <c:v>1750000000</c:v>
                </c:pt>
                <c:pt idx="162">
                  <c:v>1750000000</c:v>
                </c:pt>
                <c:pt idx="163">
                  <c:v>1750000000</c:v>
                </c:pt>
                <c:pt idx="164">
                  <c:v>1750000000</c:v>
                </c:pt>
                <c:pt idx="165">
                  <c:v>1750000000</c:v>
                </c:pt>
                <c:pt idx="166">
                  <c:v>1750000000</c:v>
                </c:pt>
                <c:pt idx="167">
                  <c:v>1750000000</c:v>
                </c:pt>
                <c:pt idx="168">
                  <c:v>1750000000</c:v>
                </c:pt>
                <c:pt idx="169">
                  <c:v>1750000000</c:v>
                </c:pt>
                <c:pt idx="170">
                  <c:v>1750000000</c:v>
                </c:pt>
                <c:pt idx="171">
                  <c:v>1750000000</c:v>
                </c:pt>
                <c:pt idx="172">
                  <c:v>1750000000</c:v>
                </c:pt>
                <c:pt idx="173">
                  <c:v>1750000000</c:v>
                </c:pt>
                <c:pt idx="174">
                  <c:v>1750000000</c:v>
                </c:pt>
                <c:pt idx="175">
                  <c:v>1750000000</c:v>
                </c:pt>
                <c:pt idx="176">
                  <c:v>1750000000</c:v>
                </c:pt>
                <c:pt idx="177">
                  <c:v>1750000000</c:v>
                </c:pt>
                <c:pt idx="178">
                  <c:v>1750000000</c:v>
                </c:pt>
                <c:pt idx="179">
                  <c:v>1750000000</c:v>
                </c:pt>
                <c:pt idx="180">
                  <c:v>1750000000</c:v>
                </c:pt>
                <c:pt idx="181">
                  <c:v>1750000000</c:v>
                </c:pt>
                <c:pt idx="182">
                  <c:v>1750000000</c:v>
                </c:pt>
                <c:pt idx="183">
                  <c:v>1750000000</c:v>
                </c:pt>
                <c:pt idx="184">
                  <c:v>1750000000</c:v>
                </c:pt>
                <c:pt idx="185">
                  <c:v>1750000000</c:v>
                </c:pt>
                <c:pt idx="186">
                  <c:v>1750000000</c:v>
                </c:pt>
                <c:pt idx="187">
                  <c:v>1750000000</c:v>
                </c:pt>
                <c:pt idx="188">
                  <c:v>1750000000</c:v>
                </c:pt>
                <c:pt idx="189">
                  <c:v>1750000000</c:v>
                </c:pt>
                <c:pt idx="190">
                  <c:v>1750000000</c:v>
                </c:pt>
                <c:pt idx="191">
                  <c:v>1750000000</c:v>
                </c:pt>
                <c:pt idx="192">
                  <c:v>1750000000</c:v>
                </c:pt>
                <c:pt idx="193">
                  <c:v>1750000000</c:v>
                </c:pt>
                <c:pt idx="194">
                  <c:v>1750000000</c:v>
                </c:pt>
                <c:pt idx="195">
                  <c:v>1750000000</c:v>
                </c:pt>
                <c:pt idx="196">
                  <c:v>1750000000</c:v>
                </c:pt>
                <c:pt idx="197">
                  <c:v>1750000000</c:v>
                </c:pt>
                <c:pt idx="198">
                  <c:v>1750000000</c:v>
                </c:pt>
                <c:pt idx="199">
                  <c:v>1750000000</c:v>
                </c:pt>
                <c:pt idx="200">
                  <c:v>1750000000</c:v>
                </c:pt>
                <c:pt idx="201">
                  <c:v>1750000000</c:v>
                </c:pt>
                <c:pt idx="202">
                  <c:v>1750000000</c:v>
                </c:pt>
                <c:pt idx="203">
                  <c:v>1750000000</c:v>
                </c:pt>
                <c:pt idx="204">
                  <c:v>1750000000</c:v>
                </c:pt>
                <c:pt idx="205">
                  <c:v>1750000000</c:v>
                </c:pt>
                <c:pt idx="206">
                  <c:v>1750000000</c:v>
                </c:pt>
                <c:pt idx="207">
                  <c:v>1750000000</c:v>
                </c:pt>
                <c:pt idx="208">
                  <c:v>1750000000</c:v>
                </c:pt>
                <c:pt idx="209">
                  <c:v>1750000000</c:v>
                </c:pt>
                <c:pt idx="210">
                  <c:v>1750000000</c:v>
                </c:pt>
                <c:pt idx="211">
                  <c:v>1750000000</c:v>
                </c:pt>
                <c:pt idx="212">
                  <c:v>1750000000</c:v>
                </c:pt>
                <c:pt idx="213">
                  <c:v>1750000000</c:v>
                </c:pt>
                <c:pt idx="214">
                  <c:v>1750000000</c:v>
                </c:pt>
                <c:pt idx="215">
                  <c:v>1750000000</c:v>
                </c:pt>
                <c:pt idx="216">
                  <c:v>1750000000</c:v>
                </c:pt>
                <c:pt idx="217">
                  <c:v>1750000000</c:v>
                </c:pt>
                <c:pt idx="218">
                  <c:v>1750000000</c:v>
                </c:pt>
                <c:pt idx="219">
                  <c:v>1750000000</c:v>
                </c:pt>
                <c:pt idx="220">
                  <c:v>1750000000</c:v>
                </c:pt>
                <c:pt idx="221">
                  <c:v>1750000000</c:v>
                </c:pt>
                <c:pt idx="222">
                  <c:v>1750000000</c:v>
                </c:pt>
                <c:pt idx="223">
                  <c:v>1750000000</c:v>
                </c:pt>
                <c:pt idx="224">
                  <c:v>1750000000</c:v>
                </c:pt>
                <c:pt idx="225">
                  <c:v>1750000000</c:v>
                </c:pt>
                <c:pt idx="226">
                  <c:v>1750000000</c:v>
                </c:pt>
                <c:pt idx="227">
                  <c:v>1750000000</c:v>
                </c:pt>
                <c:pt idx="228">
                  <c:v>1750000000</c:v>
                </c:pt>
                <c:pt idx="229">
                  <c:v>1750000000</c:v>
                </c:pt>
                <c:pt idx="230">
                  <c:v>1750000000</c:v>
                </c:pt>
                <c:pt idx="231">
                  <c:v>1750000000</c:v>
                </c:pt>
                <c:pt idx="232">
                  <c:v>1750000000</c:v>
                </c:pt>
                <c:pt idx="233">
                  <c:v>1750000000</c:v>
                </c:pt>
                <c:pt idx="234">
                  <c:v>1750000000</c:v>
                </c:pt>
                <c:pt idx="235">
                  <c:v>1750000000</c:v>
                </c:pt>
                <c:pt idx="236">
                  <c:v>1750000000</c:v>
                </c:pt>
                <c:pt idx="237">
                  <c:v>1750000000</c:v>
                </c:pt>
                <c:pt idx="238">
                  <c:v>1750000000</c:v>
                </c:pt>
                <c:pt idx="239">
                  <c:v>1750000000</c:v>
                </c:pt>
                <c:pt idx="240">
                  <c:v>1750000000</c:v>
                </c:pt>
                <c:pt idx="241">
                  <c:v>1750000000</c:v>
                </c:pt>
                <c:pt idx="242">
                  <c:v>1750000000</c:v>
                </c:pt>
                <c:pt idx="243">
                  <c:v>1750000000</c:v>
                </c:pt>
                <c:pt idx="244">
                  <c:v>1750000000</c:v>
                </c:pt>
                <c:pt idx="245">
                  <c:v>1750000000</c:v>
                </c:pt>
                <c:pt idx="246">
                  <c:v>1750000000</c:v>
                </c:pt>
                <c:pt idx="247">
                  <c:v>1750000000</c:v>
                </c:pt>
                <c:pt idx="248">
                  <c:v>1750000000</c:v>
                </c:pt>
                <c:pt idx="249">
                  <c:v>1750000000</c:v>
                </c:pt>
                <c:pt idx="250">
                  <c:v>1750000000</c:v>
                </c:pt>
                <c:pt idx="251">
                  <c:v>1750000000</c:v>
                </c:pt>
                <c:pt idx="252">
                  <c:v>1750000000</c:v>
                </c:pt>
                <c:pt idx="253">
                  <c:v>1750000000</c:v>
                </c:pt>
                <c:pt idx="254">
                  <c:v>1750000000</c:v>
                </c:pt>
                <c:pt idx="255">
                  <c:v>1750000000</c:v>
                </c:pt>
                <c:pt idx="256">
                  <c:v>1750000000</c:v>
                </c:pt>
                <c:pt idx="257">
                  <c:v>1750000000</c:v>
                </c:pt>
                <c:pt idx="258">
                  <c:v>1750000000</c:v>
                </c:pt>
                <c:pt idx="259">
                  <c:v>1750000000</c:v>
                </c:pt>
                <c:pt idx="260">
                  <c:v>1750000000</c:v>
                </c:pt>
                <c:pt idx="261">
                  <c:v>1750000000</c:v>
                </c:pt>
                <c:pt idx="262">
                  <c:v>1750000000</c:v>
                </c:pt>
                <c:pt idx="263">
                  <c:v>1750000000</c:v>
                </c:pt>
                <c:pt idx="264">
                  <c:v>1750000000</c:v>
                </c:pt>
                <c:pt idx="265">
                  <c:v>1750000000</c:v>
                </c:pt>
                <c:pt idx="266">
                  <c:v>1750000000</c:v>
                </c:pt>
                <c:pt idx="267">
                  <c:v>1750000000</c:v>
                </c:pt>
                <c:pt idx="268">
                  <c:v>1750000000</c:v>
                </c:pt>
                <c:pt idx="269">
                  <c:v>1750000000</c:v>
                </c:pt>
                <c:pt idx="270">
                  <c:v>1750000000</c:v>
                </c:pt>
                <c:pt idx="271">
                  <c:v>1750000000</c:v>
                </c:pt>
                <c:pt idx="272">
                  <c:v>1750000000</c:v>
                </c:pt>
                <c:pt idx="273">
                  <c:v>1750000000</c:v>
                </c:pt>
                <c:pt idx="274">
                  <c:v>1750000000</c:v>
                </c:pt>
                <c:pt idx="275">
                  <c:v>1750000000</c:v>
                </c:pt>
                <c:pt idx="276">
                  <c:v>1750000000</c:v>
                </c:pt>
                <c:pt idx="277">
                  <c:v>1750000000</c:v>
                </c:pt>
                <c:pt idx="278">
                  <c:v>1750000000</c:v>
                </c:pt>
                <c:pt idx="279">
                  <c:v>1750000000</c:v>
                </c:pt>
                <c:pt idx="280">
                  <c:v>1750000000</c:v>
                </c:pt>
                <c:pt idx="281">
                  <c:v>1750000000</c:v>
                </c:pt>
                <c:pt idx="282">
                  <c:v>1750000000</c:v>
                </c:pt>
                <c:pt idx="283">
                  <c:v>1750000000</c:v>
                </c:pt>
                <c:pt idx="284">
                  <c:v>1750000000</c:v>
                </c:pt>
                <c:pt idx="285">
                  <c:v>1750000000</c:v>
                </c:pt>
                <c:pt idx="286">
                  <c:v>1750000000</c:v>
                </c:pt>
                <c:pt idx="287">
                  <c:v>1750000000</c:v>
                </c:pt>
                <c:pt idx="288">
                  <c:v>1750000000</c:v>
                </c:pt>
                <c:pt idx="289">
                  <c:v>1750000000</c:v>
                </c:pt>
                <c:pt idx="290">
                  <c:v>1750000000</c:v>
                </c:pt>
                <c:pt idx="291">
                  <c:v>1750000000</c:v>
                </c:pt>
                <c:pt idx="292">
                  <c:v>1750000000</c:v>
                </c:pt>
                <c:pt idx="293">
                  <c:v>1750000000</c:v>
                </c:pt>
                <c:pt idx="294">
                  <c:v>1750000000</c:v>
                </c:pt>
                <c:pt idx="295">
                  <c:v>1750000000</c:v>
                </c:pt>
                <c:pt idx="296">
                  <c:v>1750000000</c:v>
                </c:pt>
                <c:pt idx="297">
                  <c:v>1750000000</c:v>
                </c:pt>
                <c:pt idx="298">
                  <c:v>1750000000</c:v>
                </c:pt>
                <c:pt idx="299">
                  <c:v>1750000000</c:v>
                </c:pt>
                <c:pt idx="300">
                  <c:v>1750000000</c:v>
                </c:pt>
                <c:pt idx="301">
                  <c:v>1750000000</c:v>
                </c:pt>
                <c:pt idx="302">
                  <c:v>1750000000</c:v>
                </c:pt>
                <c:pt idx="303">
                  <c:v>1750000000</c:v>
                </c:pt>
                <c:pt idx="304">
                  <c:v>1750000000</c:v>
                </c:pt>
                <c:pt idx="305">
                  <c:v>1750000000</c:v>
                </c:pt>
                <c:pt idx="306">
                  <c:v>1750000000</c:v>
                </c:pt>
                <c:pt idx="307">
                  <c:v>1750000000</c:v>
                </c:pt>
                <c:pt idx="308">
                  <c:v>1750000000</c:v>
                </c:pt>
                <c:pt idx="309">
                  <c:v>1750000000</c:v>
                </c:pt>
                <c:pt idx="310">
                  <c:v>1750000000</c:v>
                </c:pt>
                <c:pt idx="311">
                  <c:v>1750000000</c:v>
                </c:pt>
                <c:pt idx="312">
                  <c:v>1750000000</c:v>
                </c:pt>
                <c:pt idx="313">
                  <c:v>1750000000</c:v>
                </c:pt>
                <c:pt idx="314">
                  <c:v>1750000000</c:v>
                </c:pt>
                <c:pt idx="315">
                  <c:v>1750000000</c:v>
                </c:pt>
                <c:pt idx="316">
                  <c:v>1750000000</c:v>
                </c:pt>
                <c:pt idx="317">
                  <c:v>1750000000</c:v>
                </c:pt>
                <c:pt idx="318">
                  <c:v>1750000000</c:v>
                </c:pt>
                <c:pt idx="319">
                  <c:v>1750000000</c:v>
                </c:pt>
                <c:pt idx="320">
                  <c:v>1750000000</c:v>
                </c:pt>
                <c:pt idx="321">
                  <c:v>1750000000</c:v>
                </c:pt>
                <c:pt idx="322">
                  <c:v>1750000000</c:v>
                </c:pt>
                <c:pt idx="323">
                  <c:v>1750000000</c:v>
                </c:pt>
                <c:pt idx="324">
                  <c:v>1750000000</c:v>
                </c:pt>
                <c:pt idx="325">
                  <c:v>1750000000</c:v>
                </c:pt>
                <c:pt idx="326">
                  <c:v>1750000000</c:v>
                </c:pt>
                <c:pt idx="327">
                  <c:v>1750000000</c:v>
                </c:pt>
                <c:pt idx="328">
                  <c:v>1750000000</c:v>
                </c:pt>
                <c:pt idx="329">
                  <c:v>1750000000</c:v>
                </c:pt>
                <c:pt idx="330">
                  <c:v>1750000000</c:v>
                </c:pt>
                <c:pt idx="331">
                  <c:v>1750000000</c:v>
                </c:pt>
                <c:pt idx="332">
                  <c:v>1750000000</c:v>
                </c:pt>
                <c:pt idx="333">
                  <c:v>1750000000</c:v>
                </c:pt>
                <c:pt idx="334">
                  <c:v>1750000000</c:v>
                </c:pt>
                <c:pt idx="335">
                  <c:v>1750000000</c:v>
                </c:pt>
                <c:pt idx="336">
                  <c:v>1750000000</c:v>
                </c:pt>
                <c:pt idx="337">
                  <c:v>1750000000</c:v>
                </c:pt>
                <c:pt idx="338">
                  <c:v>1750000000</c:v>
                </c:pt>
                <c:pt idx="339">
                  <c:v>1750000000</c:v>
                </c:pt>
                <c:pt idx="340">
                  <c:v>1750000000</c:v>
                </c:pt>
                <c:pt idx="341">
                  <c:v>1750000000</c:v>
                </c:pt>
                <c:pt idx="342">
                  <c:v>1750000000</c:v>
                </c:pt>
                <c:pt idx="343">
                  <c:v>1750000000</c:v>
                </c:pt>
                <c:pt idx="344">
                  <c:v>1750000000</c:v>
                </c:pt>
                <c:pt idx="345">
                  <c:v>1750000000</c:v>
                </c:pt>
                <c:pt idx="346">
                  <c:v>1750000000</c:v>
                </c:pt>
                <c:pt idx="347">
                  <c:v>1750000000</c:v>
                </c:pt>
                <c:pt idx="348">
                  <c:v>1750000000</c:v>
                </c:pt>
                <c:pt idx="349">
                  <c:v>1750000000</c:v>
                </c:pt>
                <c:pt idx="350">
                  <c:v>1750000000</c:v>
                </c:pt>
                <c:pt idx="351">
                  <c:v>1750000000</c:v>
                </c:pt>
                <c:pt idx="352">
                  <c:v>1750000000</c:v>
                </c:pt>
                <c:pt idx="353">
                  <c:v>1750000000</c:v>
                </c:pt>
                <c:pt idx="354">
                  <c:v>1750000000</c:v>
                </c:pt>
                <c:pt idx="355">
                  <c:v>1750000000</c:v>
                </c:pt>
                <c:pt idx="356">
                  <c:v>1750000000</c:v>
                </c:pt>
                <c:pt idx="357">
                  <c:v>1750000000</c:v>
                </c:pt>
                <c:pt idx="358">
                  <c:v>1750000000</c:v>
                </c:pt>
                <c:pt idx="359">
                  <c:v>1750000000</c:v>
                </c:pt>
                <c:pt idx="360">
                  <c:v>1750000000</c:v>
                </c:pt>
                <c:pt idx="361">
                  <c:v>1750000000</c:v>
                </c:pt>
                <c:pt idx="362">
                  <c:v>1750000000</c:v>
                </c:pt>
                <c:pt idx="363">
                  <c:v>1750000000</c:v>
                </c:pt>
                <c:pt idx="364">
                  <c:v>1750000000</c:v>
                </c:pt>
                <c:pt idx="365">
                  <c:v>1750000000</c:v>
                </c:pt>
              </c:numCache>
            </c:numRef>
          </c:val>
          <c:smooth val="0"/>
        </c:ser>
        <c:ser>
          <c:idx val="1"/>
          <c:order val="1"/>
          <c:tx>
            <c:v>Operational Boundary</c:v>
          </c:tx>
          <c:spPr>
            <a:ln>
              <a:prstDash val="lgDashDot"/>
            </a:ln>
          </c:spPr>
          <c:marker>
            <c:symbol val="none"/>
          </c:marker>
          <c:cat>
            <c:numRef>
              <c:f>Data!$A$1:$A$366</c:f>
              <c:numCache>
                <c:formatCode>dd/mm/yy;@</c:formatCode>
                <c:ptCount val="366"/>
                <c:pt idx="0">
                  <c:v>41365</c:v>
                </c:pt>
                <c:pt idx="1">
                  <c:v>41366</c:v>
                </c:pt>
                <c:pt idx="2">
                  <c:v>41367</c:v>
                </c:pt>
                <c:pt idx="3">
                  <c:v>41368</c:v>
                </c:pt>
                <c:pt idx="4">
                  <c:v>41369</c:v>
                </c:pt>
                <c:pt idx="5">
                  <c:v>41370</c:v>
                </c:pt>
                <c:pt idx="6">
                  <c:v>41371</c:v>
                </c:pt>
                <c:pt idx="7">
                  <c:v>41372</c:v>
                </c:pt>
                <c:pt idx="8">
                  <c:v>41373</c:v>
                </c:pt>
                <c:pt idx="9">
                  <c:v>41374</c:v>
                </c:pt>
                <c:pt idx="10">
                  <c:v>41375</c:v>
                </c:pt>
                <c:pt idx="11">
                  <c:v>41376</c:v>
                </c:pt>
                <c:pt idx="12">
                  <c:v>41377</c:v>
                </c:pt>
                <c:pt idx="13">
                  <c:v>41378</c:v>
                </c:pt>
                <c:pt idx="14">
                  <c:v>41379</c:v>
                </c:pt>
                <c:pt idx="15">
                  <c:v>41380</c:v>
                </c:pt>
                <c:pt idx="16">
                  <c:v>41381</c:v>
                </c:pt>
                <c:pt idx="17">
                  <c:v>41382</c:v>
                </c:pt>
                <c:pt idx="18">
                  <c:v>41383</c:v>
                </c:pt>
                <c:pt idx="19">
                  <c:v>41384</c:v>
                </c:pt>
                <c:pt idx="20">
                  <c:v>41385</c:v>
                </c:pt>
                <c:pt idx="21">
                  <c:v>41386</c:v>
                </c:pt>
                <c:pt idx="22">
                  <c:v>41387</c:v>
                </c:pt>
                <c:pt idx="23">
                  <c:v>41388</c:v>
                </c:pt>
                <c:pt idx="24">
                  <c:v>41389</c:v>
                </c:pt>
                <c:pt idx="25">
                  <c:v>41390</c:v>
                </c:pt>
                <c:pt idx="26">
                  <c:v>41391</c:v>
                </c:pt>
                <c:pt idx="27">
                  <c:v>41392</c:v>
                </c:pt>
                <c:pt idx="28">
                  <c:v>41393</c:v>
                </c:pt>
                <c:pt idx="29">
                  <c:v>41394</c:v>
                </c:pt>
                <c:pt idx="30">
                  <c:v>41395</c:v>
                </c:pt>
                <c:pt idx="31">
                  <c:v>41396</c:v>
                </c:pt>
                <c:pt idx="32">
                  <c:v>41397</c:v>
                </c:pt>
                <c:pt idx="33">
                  <c:v>41398</c:v>
                </c:pt>
                <c:pt idx="34">
                  <c:v>41399</c:v>
                </c:pt>
                <c:pt idx="35">
                  <c:v>41400</c:v>
                </c:pt>
                <c:pt idx="36">
                  <c:v>41401</c:v>
                </c:pt>
                <c:pt idx="37">
                  <c:v>41402</c:v>
                </c:pt>
                <c:pt idx="38">
                  <c:v>41403</c:v>
                </c:pt>
                <c:pt idx="39">
                  <c:v>41404</c:v>
                </c:pt>
                <c:pt idx="40">
                  <c:v>41405</c:v>
                </c:pt>
                <c:pt idx="41">
                  <c:v>41406</c:v>
                </c:pt>
                <c:pt idx="42">
                  <c:v>41407</c:v>
                </c:pt>
                <c:pt idx="43">
                  <c:v>41408</c:v>
                </c:pt>
                <c:pt idx="44">
                  <c:v>41409</c:v>
                </c:pt>
                <c:pt idx="45">
                  <c:v>41410</c:v>
                </c:pt>
                <c:pt idx="46">
                  <c:v>41411</c:v>
                </c:pt>
                <c:pt idx="47">
                  <c:v>41412</c:v>
                </c:pt>
                <c:pt idx="48">
                  <c:v>41413</c:v>
                </c:pt>
                <c:pt idx="49">
                  <c:v>41414</c:v>
                </c:pt>
                <c:pt idx="50">
                  <c:v>41415</c:v>
                </c:pt>
                <c:pt idx="51">
                  <c:v>41416</c:v>
                </c:pt>
                <c:pt idx="52">
                  <c:v>41417</c:v>
                </c:pt>
                <c:pt idx="53">
                  <c:v>41418</c:v>
                </c:pt>
                <c:pt idx="54">
                  <c:v>41419</c:v>
                </c:pt>
                <c:pt idx="55">
                  <c:v>41420</c:v>
                </c:pt>
                <c:pt idx="56">
                  <c:v>41421</c:v>
                </c:pt>
                <c:pt idx="57">
                  <c:v>41422</c:v>
                </c:pt>
                <c:pt idx="58">
                  <c:v>41423</c:v>
                </c:pt>
                <c:pt idx="59">
                  <c:v>41424</c:v>
                </c:pt>
                <c:pt idx="60">
                  <c:v>41425</c:v>
                </c:pt>
                <c:pt idx="61">
                  <c:v>41426</c:v>
                </c:pt>
                <c:pt idx="62">
                  <c:v>41427</c:v>
                </c:pt>
                <c:pt idx="63">
                  <c:v>41428</c:v>
                </c:pt>
                <c:pt idx="64">
                  <c:v>41429</c:v>
                </c:pt>
                <c:pt idx="65">
                  <c:v>41430</c:v>
                </c:pt>
                <c:pt idx="66">
                  <c:v>41431</c:v>
                </c:pt>
                <c:pt idx="67">
                  <c:v>41432</c:v>
                </c:pt>
                <c:pt idx="68">
                  <c:v>41433</c:v>
                </c:pt>
                <c:pt idx="69">
                  <c:v>41434</c:v>
                </c:pt>
                <c:pt idx="70">
                  <c:v>41435</c:v>
                </c:pt>
                <c:pt idx="71">
                  <c:v>41436</c:v>
                </c:pt>
                <c:pt idx="72">
                  <c:v>41437</c:v>
                </c:pt>
                <c:pt idx="73">
                  <c:v>41438</c:v>
                </c:pt>
                <c:pt idx="74">
                  <c:v>41439</c:v>
                </c:pt>
                <c:pt idx="75">
                  <c:v>41440</c:v>
                </c:pt>
                <c:pt idx="76">
                  <c:v>41441</c:v>
                </c:pt>
                <c:pt idx="77">
                  <c:v>41442</c:v>
                </c:pt>
                <c:pt idx="78">
                  <c:v>41443</c:v>
                </c:pt>
                <c:pt idx="79">
                  <c:v>41444</c:v>
                </c:pt>
                <c:pt idx="80">
                  <c:v>41445</c:v>
                </c:pt>
                <c:pt idx="81">
                  <c:v>41446</c:v>
                </c:pt>
                <c:pt idx="82">
                  <c:v>41447</c:v>
                </c:pt>
                <c:pt idx="83">
                  <c:v>41448</c:v>
                </c:pt>
                <c:pt idx="84">
                  <c:v>41449</c:v>
                </c:pt>
                <c:pt idx="85">
                  <c:v>41450</c:v>
                </c:pt>
                <c:pt idx="86">
                  <c:v>41451</c:v>
                </c:pt>
                <c:pt idx="87">
                  <c:v>41452</c:v>
                </c:pt>
                <c:pt idx="88">
                  <c:v>41453</c:v>
                </c:pt>
                <c:pt idx="89">
                  <c:v>41454</c:v>
                </c:pt>
                <c:pt idx="90">
                  <c:v>41455</c:v>
                </c:pt>
                <c:pt idx="91">
                  <c:v>41456</c:v>
                </c:pt>
                <c:pt idx="92">
                  <c:v>41457</c:v>
                </c:pt>
                <c:pt idx="93">
                  <c:v>41458</c:v>
                </c:pt>
                <c:pt idx="94">
                  <c:v>41459</c:v>
                </c:pt>
                <c:pt idx="95">
                  <c:v>41460</c:v>
                </c:pt>
                <c:pt idx="96">
                  <c:v>41461</c:v>
                </c:pt>
                <c:pt idx="97">
                  <c:v>41462</c:v>
                </c:pt>
                <c:pt idx="98">
                  <c:v>41463</c:v>
                </c:pt>
                <c:pt idx="99">
                  <c:v>41464</c:v>
                </c:pt>
                <c:pt idx="100">
                  <c:v>41465</c:v>
                </c:pt>
                <c:pt idx="101">
                  <c:v>41466</c:v>
                </c:pt>
                <c:pt idx="102">
                  <c:v>41467</c:v>
                </c:pt>
                <c:pt idx="103">
                  <c:v>41468</c:v>
                </c:pt>
                <c:pt idx="104">
                  <c:v>41469</c:v>
                </c:pt>
                <c:pt idx="105">
                  <c:v>41470</c:v>
                </c:pt>
                <c:pt idx="106">
                  <c:v>41471</c:v>
                </c:pt>
                <c:pt idx="107">
                  <c:v>41472</c:v>
                </c:pt>
                <c:pt idx="108">
                  <c:v>41473</c:v>
                </c:pt>
                <c:pt idx="109">
                  <c:v>41474</c:v>
                </c:pt>
                <c:pt idx="110">
                  <c:v>41475</c:v>
                </c:pt>
                <c:pt idx="111">
                  <c:v>41476</c:v>
                </c:pt>
                <c:pt idx="112">
                  <c:v>41477</c:v>
                </c:pt>
                <c:pt idx="113">
                  <c:v>41478</c:v>
                </c:pt>
                <c:pt idx="114">
                  <c:v>41479</c:v>
                </c:pt>
                <c:pt idx="115">
                  <c:v>41480</c:v>
                </c:pt>
                <c:pt idx="116">
                  <c:v>41481</c:v>
                </c:pt>
                <c:pt idx="117">
                  <c:v>41482</c:v>
                </c:pt>
                <c:pt idx="118">
                  <c:v>41483</c:v>
                </c:pt>
                <c:pt idx="119">
                  <c:v>41484</c:v>
                </c:pt>
                <c:pt idx="120">
                  <c:v>41485</c:v>
                </c:pt>
                <c:pt idx="121">
                  <c:v>41486</c:v>
                </c:pt>
                <c:pt idx="122">
                  <c:v>41487</c:v>
                </c:pt>
                <c:pt idx="123">
                  <c:v>41488</c:v>
                </c:pt>
                <c:pt idx="124">
                  <c:v>41489</c:v>
                </c:pt>
                <c:pt idx="125">
                  <c:v>41490</c:v>
                </c:pt>
                <c:pt idx="126">
                  <c:v>41491</c:v>
                </c:pt>
                <c:pt idx="127">
                  <c:v>41492</c:v>
                </c:pt>
                <c:pt idx="128">
                  <c:v>41493</c:v>
                </c:pt>
                <c:pt idx="129">
                  <c:v>41494</c:v>
                </c:pt>
                <c:pt idx="130">
                  <c:v>41495</c:v>
                </c:pt>
                <c:pt idx="131">
                  <c:v>41496</c:v>
                </c:pt>
                <c:pt idx="132">
                  <c:v>41497</c:v>
                </c:pt>
                <c:pt idx="133">
                  <c:v>41498</c:v>
                </c:pt>
                <c:pt idx="134">
                  <c:v>41499</c:v>
                </c:pt>
                <c:pt idx="135">
                  <c:v>41500</c:v>
                </c:pt>
                <c:pt idx="136">
                  <c:v>41501</c:v>
                </c:pt>
                <c:pt idx="137">
                  <c:v>41502</c:v>
                </c:pt>
                <c:pt idx="138">
                  <c:v>41503</c:v>
                </c:pt>
                <c:pt idx="139">
                  <c:v>41504</c:v>
                </c:pt>
                <c:pt idx="140">
                  <c:v>41505</c:v>
                </c:pt>
                <c:pt idx="141">
                  <c:v>41506</c:v>
                </c:pt>
                <c:pt idx="142">
                  <c:v>41507</c:v>
                </c:pt>
                <c:pt idx="143">
                  <c:v>41508</c:v>
                </c:pt>
                <c:pt idx="144">
                  <c:v>41509</c:v>
                </c:pt>
                <c:pt idx="145">
                  <c:v>41510</c:v>
                </c:pt>
                <c:pt idx="146">
                  <c:v>41511</c:v>
                </c:pt>
                <c:pt idx="147">
                  <c:v>41512</c:v>
                </c:pt>
                <c:pt idx="148">
                  <c:v>41513</c:v>
                </c:pt>
                <c:pt idx="149">
                  <c:v>41514</c:v>
                </c:pt>
                <c:pt idx="150">
                  <c:v>41515</c:v>
                </c:pt>
                <c:pt idx="151">
                  <c:v>41516</c:v>
                </c:pt>
                <c:pt idx="152">
                  <c:v>41517</c:v>
                </c:pt>
                <c:pt idx="153">
                  <c:v>41518</c:v>
                </c:pt>
                <c:pt idx="154">
                  <c:v>41519</c:v>
                </c:pt>
                <c:pt idx="155">
                  <c:v>41520</c:v>
                </c:pt>
                <c:pt idx="156">
                  <c:v>41521</c:v>
                </c:pt>
                <c:pt idx="157">
                  <c:v>41522</c:v>
                </c:pt>
                <c:pt idx="158">
                  <c:v>41523</c:v>
                </c:pt>
                <c:pt idx="159">
                  <c:v>41524</c:v>
                </c:pt>
                <c:pt idx="160">
                  <c:v>41525</c:v>
                </c:pt>
                <c:pt idx="161">
                  <c:v>41526</c:v>
                </c:pt>
                <c:pt idx="162">
                  <c:v>41527</c:v>
                </c:pt>
                <c:pt idx="163">
                  <c:v>41528</c:v>
                </c:pt>
                <c:pt idx="164">
                  <c:v>41529</c:v>
                </c:pt>
                <c:pt idx="165">
                  <c:v>41530</c:v>
                </c:pt>
                <c:pt idx="166">
                  <c:v>41531</c:v>
                </c:pt>
                <c:pt idx="167">
                  <c:v>41532</c:v>
                </c:pt>
                <c:pt idx="168">
                  <c:v>41533</c:v>
                </c:pt>
                <c:pt idx="169">
                  <c:v>41534</c:v>
                </c:pt>
                <c:pt idx="170">
                  <c:v>41535</c:v>
                </c:pt>
                <c:pt idx="171">
                  <c:v>41536</c:v>
                </c:pt>
                <c:pt idx="172">
                  <c:v>41537</c:v>
                </c:pt>
                <c:pt idx="173">
                  <c:v>41538</c:v>
                </c:pt>
                <c:pt idx="174">
                  <c:v>41539</c:v>
                </c:pt>
                <c:pt idx="175">
                  <c:v>41540</c:v>
                </c:pt>
                <c:pt idx="176">
                  <c:v>41541</c:v>
                </c:pt>
                <c:pt idx="177">
                  <c:v>41542</c:v>
                </c:pt>
                <c:pt idx="178">
                  <c:v>41543</c:v>
                </c:pt>
                <c:pt idx="179">
                  <c:v>41544</c:v>
                </c:pt>
                <c:pt idx="180">
                  <c:v>41545</c:v>
                </c:pt>
                <c:pt idx="181">
                  <c:v>41546</c:v>
                </c:pt>
                <c:pt idx="182">
                  <c:v>41547</c:v>
                </c:pt>
                <c:pt idx="183">
                  <c:v>41548</c:v>
                </c:pt>
                <c:pt idx="184">
                  <c:v>41549</c:v>
                </c:pt>
                <c:pt idx="185">
                  <c:v>41550</c:v>
                </c:pt>
                <c:pt idx="186">
                  <c:v>41551</c:v>
                </c:pt>
                <c:pt idx="187">
                  <c:v>41552</c:v>
                </c:pt>
                <c:pt idx="188">
                  <c:v>41553</c:v>
                </c:pt>
                <c:pt idx="189">
                  <c:v>41554</c:v>
                </c:pt>
                <c:pt idx="190">
                  <c:v>41555</c:v>
                </c:pt>
                <c:pt idx="191">
                  <c:v>41556</c:v>
                </c:pt>
                <c:pt idx="192">
                  <c:v>41557</c:v>
                </c:pt>
                <c:pt idx="193">
                  <c:v>41558</c:v>
                </c:pt>
                <c:pt idx="194">
                  <c:v>41559</c:v>
                </c:pt>
                <c:pt idx="195">
                  <c:v>41560</c:v>
                </c:pt>
                <c:pt idx="196">
                  <c:v>41561</c:v>
                </c:pt>
                <c:pt idx="197">
                  <c:v>41562</c:v>
                </c:pt>
                <c:pt idx="198">
                  <c:v>41563</c:v>
                </c:pt>
                <c:pt idx="199">
                  <c:v>41564</c:v>
                </c:pt>
                <c:pt idx="200">
                  <c:v>41565</c:v>
                </c:pt>
                <c:pt idx="201">
                  <c:v>41566</c:v>
                </c:pt>
                <c:pt idx="202">
                  <c:v>41567</c:v>
                </c:pt>
                <c:pt idx="203">
                  <c:v>41568</c:v>
                </c:pt>
                <c:pt idx="204">
                  <c:v>41569</c:v>
                </c:pt>
                <c:pt idx="205">
                  <c:v>41570</c:v>
                </c:pt>
                <c:pt idx="206">
                  <c:v>41571</c:v>
                </c:pt>
                <c:pt idx="207">
                  <c:v>41572</c:v>
                </c:pt>
                <c:pt idx="208">
                  <c:v>41573</c:v>
                </c:pt>
                <c:pt idx="209">
                  <c:v>41574</c:v>
                </c:pt>
                <c:pt idx="210">
                  <c:v>41575</c:v>
                </c:pt>
                <c:pt idx="211">
                  <c:v>41576</c:v>
                </c:pt>
                <c:pt idx="212">
                  <c:v>41577</c:v>
                </c:pt>
                <c:pt idx="213">
                  <c:v>41578</c:v>
                </c:pt>
                <c:pt idx="214">
                  <c:v>41579</c:v>
                </c:pt>
                <c:pt idx="215">
                  <c:v>41580</c:v>
                </c:pt>
                <c:pt idx="216">
                  <c:v>41581</c:v>
                </c:pt>
                <c:pt idx="217">
                  <c:v>41582</c:v>
                </c:pt>
                <c:pt idx="218">
                  <c:v>41583</c:v>
                </c:pt>
                <c:pt idx="219">
                  <c:v>41584</c:v>
                </c:pt>
                <c:pt idx="220">
                  <c:v>41585</c:v>
                </c:pt>
                <c:pt idx="221">
                  <c:v>41586</c:v>
                </c:pt>
                <c:pt idx="222">
                  <c:v>41587</c:v>
                </c:pt>
                <c:pt idx="223">
                  <c:v>41588</c:v>
                </c:pt>
                <c:pt idx="224">
                  <c:v>41589</c:v>
                </c:pt>
                <c:pt idx="225">
                  <c:v>41590</c:v>
                </c:pt>
                <c:pt idx="226">
                  <c:v>41591</c:v>
                </c:pt>
                <c:pt idx="227">
                  <c:v>41592</c:v>
                </c:pt>
                <c:pt idx="228">
                  <c:v>41593</c:v>
                </c:pt>
                <c:pt idx="229">
                  <c:v>41594</c:v>
                </c:pt>
                <c:pt idx="230">
                  <c:v>41595</c:v>
                </c:pt>
                <c:pt idx="231">
                  <c:v>41596</c:v>
                </c:pt>
                <c:pt idx="232">
                  <c:v>41597</c:v>
                </c:pt>
                <c:pt idx="233">
                  <c:v>41598</c:v>
                </c:pt>
                <c:pt idx="234">
                  <c:v>41599</c:v>
                </c:pt>
                <c:pt idx="235">
                  <c:v>41600</c:v>
                </c:pt>
                <c:pt idx="236">
                  <c:v>41601</c:v>
                </c:pt>
                <c:pt idx="237">
                  <c:v>41602</c:v>
                </c:pt>
                <c:pt idx="238">
                  <c:v>41603</c:v>
                </c:pt>
                <c:pt idx="239">
                  <c:v>41604</c:v>
                </c:pt>
                <c:pt idx="240">
                  <c:v>41605</c:v>
                </c:pt>
                <c:pt idx="241">
                  <c:v>41606</c:v>
                </c:pt>
                <c:pt idx="242">
                  <c:v>41607</c:v>
                </c:pt>
                <c:pt idx="243">
                  <c:v>41608</c:v>
                </c:pt>
                <c:pt idx="244">
                  <c:v>41609</c:v>
                </c:pt>
                <c:pt idx="245">
                  <c:v>41610</c:v>
                </c:pt>
                <c:pt idx="246">
                  <c:v>41611</c:v>
                </c:pt>
                <c:pt idx="247">
                  <c:v>41612</c:v>
                </c:pt>
                <c:pt idx="248">
                  <c:v>41613</c:v>
                </c:pt>
                <c:pt idx="249">
                  <c:v>41614</c:v>
                </c:pt>
                <c:pt idx="250">
                  <c:v>41615</c:v>
                </c:pt>
                <c:pt idx="251">
                  <c:v>41616</c:v>
                </c:pt>
                <c:pt idx="252">
                  <c:v>41617</c:v>
                </c:pt>
                <c:pt idx="253">
                  <c:v>41618</c:v>
                </c:pt>
                <c:pt idx="254">
                  <c:v>41619</c:v>
                </c:pt>
                <c:pt idx="255">
                  <c:v>41620</c:v>
                </c:pt>
                <c:pt idx="256">
                  <c:v>41621</c:v>
                </c:pt>
                <c:pt idx="257">
                  <c:v>41622</c:v>
                </c:pt>
                <c:pt idx="258">
                  <c:v>41623</c:v>
                </c:pt>
                <c:pt idx="259">
                  <c:v>41624</c:v>
                </c:pt>
                <c:pt idx="260">
                  <c:v>41625</c:v>
                </c:pt>
                <c:pt idx="261">
                  <c:v>41626</c:v>
                </c:pt>
                <c:pt idx="262">
                  <c:v>41627</c:v>
                </c:pt>
                <c:pt idx="263">
                  <c:v>41628</c:v>
                </c:pt>
                <c:pt idx="264">
                  <c:v>41629</c:v>
                </c:pt>
                <c:pt idx="265">
                  <c:v>41630</c:v>
                </c:pt>
                <c:pt idx="266">
                  <c:v>41631</c:v>
                </c:pt>
                <c:pt idx="267">
                  <c:v>41632</c:v>
                </c:pt>
                <c:pt idx="268">
                  <c:v>41633</c:v>
                </c:pt>
                <c:pt idx="269">
                  <c:v>41634</c:v>
                </c:pt>
                <c:pt idx="270">
                  <c:v>41635</c:v>
                </c:pt>
                <c:pt idx="271">
                  <c:v>41636</c:v>
                </c:pt>
                <c:pt idx="272">
                  <c:v>41637</c:v>
                </c:pt>
                <c:pt idx="273">
                  <c:v>41638</c:v>
                </c:pt>
                <c:pt idx="274">
                  <c:v>41639</c:v>
                </c:pt>
                <c:pt idx="275">
                  <c:v>41640</c:v>
                </c:pt>
                <c:pt idx="276">
                  <c:v>41641</c:v>
                </c:pt>
                <c:pt idx="277">
                  <c:v>41642</c:v>
                </c:pt>
                <c:pt idx="278">
                  <c:v>41643</c:v>
                </c:pt>
                <c:pt idx="279">
                  <c:v>41644</c:v>
                </c:pt>
                <c:pt idx="280">
                  <c:v>41645</c:v>
                </c:pt>
                <c:pt idx="281">
                  <c:v>41646</c:v>
                </c:pt>
                <c:pt idx="282">
                  <c:v>41647</c:v>
                </c:pt>
                <c:pt idx="283">
                  <c:v>41648</c:v>
                </c:pt>
                <c:pt idx="284">
                  <c:v>41649</c:v>
                </c:pt>
                <c:pt idx="285">
                  <c:v>41650</c:v>
                </c:pt>
                <c:pt idx="286">
                  <c:v>41651</c:v>
                </c:pt>
                <c:pt idx="287">
                  <c:v>41652</c:v>
                </c:pt>
                <c:pt idx="288">
                  <c:v>41653</c:v>
                </c:pt>
                <c:pt idx="289">
                  <c:v>41654</c:v>
                </c:pt>
                <c:pt idx="290">
                  <c:v>41655</c:v>
                </c:pt>
                <c:pt idx="291">
                  <c:v>41656</c:v>
                </c:pt>
                <c:pt idx="292">
                  <c:v>41657</c:v>
                </c:pt>
                <c:pt idx="293">
                  <c:v>41658</c:v>
                </c:pt>
                <c:pt idx="294">
                  <c:v>41659</c:v>
                </c:pt>
                <c:pt idx="295">
                  <c:v>41660</c:v>
                </c:pt>
                <c:pt idx="296">
                  <c:v>41661</c:v>
                </c:pt>
                <c:pt idx="297">
                  <c:v>41662</c:v>
                </c:pt>
                <c:pt idx="298">
                  <c:v>41663</c:v>
                </c:pt>
                <c:pt idx="299">
                  <c:v>41664</c:v>
                </c:pt>
                <c:pt idx="300">
                  <c:v>41665</c:v>
                </c:pt>
                <c:pt idx="301">
                  <c:v>41666</c:v>
                </c:pt>
                <c:pt idx="302">
                  <c:v>41667</c:v>
                </c:pt>
                <c:pt idx="303">
                  <c:v>41668</c:v>
                </c:pt>
                <c:pt idx="304">
                  <c:v>41669</c:v>
                </c:pt>
                <c:pt idx="305">
                  <c:v>41670</c:v>
                </c:pt>
                <c:pt idx="306">
                  <c:v>41671</c:v>
                </c:pt>
                <c:pt idx="307">
                  <c:v>41672</c:v>
                </c:pt>
                <c:pt idx="308">
                  <c:v>41673</c:v>
                </c:pt>
                <c:pt idx="309">
                  <c:v>41674</c:v>
                </c:pt>
                <c:pt idx="310">
                  <c:v>41675</c:v>
                </c:pt>
                <c:pt idx="311">
                  <c:v>41676</c:v>
                </c:pt>
                <c:pt idx="312">
                  <c:v>41677</c:v>
                </c:pt>
                <c:pt idx="313">
                  <c:v>41678</c:v>
                </c:pt>
                <c:pt idx="314">
                  <c:v>41679</c:v>
                </c:pt>
                <c:pt idx="315">
                  <c:v>41680</c:v>
                </c:pt>
                <c:pt idx="316">
                  <c:v>41681</c:v>
                </c:pt>
                <c:pt idx="317">
                  <c:v>41682</c:v>
                </c:pt>
                <c:pt idx="318">
                  <c:v>41683</c:v>
                </c:pt>
                <c:pt idx="319">
                  <c:v>41684</c:v>
                </c:pt>
                <c:pt idx="320">
                  <c:v>41685</c:v>
                </c:pt>
                <c:pt idx="321">
                  <c:v>41686</c:v>
                </c:pt>
                <c:pt idx="322">
                  <c:v>41687</c:v>
                </c:pt>
                <c:pt idx="323">
                  <c:v>41688</c:v>
                </c:pt>
                <c:pt idx="324">
                  <c:v>41689</c:v>
                </c:pt>
                <c:pt idx="325">
                  <c:v>41690</c:v>
                </c:pt>
                <c:pt idx="326">
                  <c:v>41691</c:v>
                </c:pt>
                <c:pt idx="327">
                  <c:v>41692</c:v>
                </c:pt>
                <c:pt idx="328">
                  <c:v>41693</c:v>
                </c:pt>
                <c:pt idx="329">
                  <c:v>41694</c:v>
                </c:pt>
                <c:pt idx="330">
                  <c:v>41695</c:v>
                </c:pt>
                <c:pt idx="331">
                  <c:v>41696</c:v>
                </c:pt>
                <c:pt idx="332">
                  <c:v>41697</c:v>
                </c:pt>
                <c:pt idx="333">
                  <c:v>41698</c:v>
                </c:pt>
                <c:pt idx="334">
                  <c:v>41699</c:v>
                </c:pt>
                <c:pt idx="335">
                  <c:v>41700</c:v>
                </c:pt>
                <c:pt idx="336">
                  <c:v>41701</c:v>
                </c:pt>
                <c:pt idx="337">
                  <c:v>41702</c:v>
                </c:pt>
                <c:pt idx="338">
                  <c:v>41703</c:v>
                </c:pt>
                <c:pt idx="339">
                  <c:v>41704</c:v>
                </c:pt>
                <c:pt idx="340">
                  <c:v>41705</c:v>
                </c:pt>
                <c:pt idx="341">
                  <c:v>41706</c:v>
                </c:pt>
                <c:pt idx="342">
                  <c:v>41707</c:v>
                </c:pt>
                <c:pt idx="343">
                  <c:v>41708</c:v>
                </c:pt>
                <c:pt idx="344">
                  <c:v>41709</c:v>
                </c:pt>
                <c:pt idx="345">
                  <c:v>41710</c:v>
                </c:pt>
                <c:pt idx="346">
                  <c:v>41711</c:v>
                </c:pt>
                <c:pt idx="347">
                  <c:v>41712</c:v>
                </c:pt>
                <c:pt idx="348">
                  <c:v>41713</c:v>
                </c:pt>
                <c:pt idx="349">
                  <c:v>41714</c:v>
                </c:pt>
                <c:pt idx="350">
                  <c:v>41715</c:v>
                </c:pt>
                <c:pt idx="351">
                  <c:v>41716</c:v>
                </c:pt>
                <c:pt idx="352">
                  <c:v>41717</c:v>
                </c:pt>
                <c:pt idx="353">
                  <c:v>41718</c:v>
                </c:pt>
                <c:pt idx="354">
                  <c:v>41719</c:v>
                </c:pt>
                <c:pt idx="355">
                  <c:v>41720</c:v>
                </c:pt>
                <c:pt idx="356">
                  <c:v>41721</c:v>
                </c:pt>
                <c:pt idx="357">
                  <c:v>41722</c:v>
                </c:pt>
                <c:pt idx="358">
                  <c:v>41723</c:v>
                </c:pt>
                <c:pt idx="359">
                  <c:v>41724</c:v>
                </c:pt>
                <c:pt idx="360">
                  <c:v>41725</c:v>
                </c:pt>
                <c:pt idx="361">
                  <c:v>41726</c:v>
                </c:pt>
                <c:pt idx="362">
                  <c:v>41727</c:v>
                </c:pt>
                <c:pt idx="363">
                  <c:v>41728</c:v>
                </c:pt>
                <c:pt idx="364">
                  <c:v>41729</c:v>
                </c:pt>
                <c:pt idx="365">
                  <c:v>41730</c:v>
                </c:pt>
              </c:numCache>
            </c:numRef>
          </c:cat>
          <c:val>
            <c:numRef>
              <c:f>Data!$B$1:$B$366</c:f>
              <c:numCache>
                <c:formatCode>_-* #,##0_-;\-* #,##0_-;_-* "-"??_-;_-@_-</c:formatCode>
                <c:ptCount val="366"/>
                <c:pt idx="0">
                  <c:v>1350000000</c:v>
                </c:pt>
                <c:pt idx="1">
                  <c:v>1350000000</c:v>
                </c:pt>
                <c:pt idx="2">
                  <c:v>1350000000</c:v>
                </c:pt>
                <c:pt idx="3">
                  <c:v>1350000000</c:v>
                </c:pt>
                <c:pt idx="4">
                  <c:v>1350000000</c:v>
                </c:pt>
                <c:pt idx="5">
                  <c:v>1350000000</c:v>
                </c:pt>
                <c:pt idx="6">
                  <c:v>1350000000</c:v>
                </c:pt>
                <c:pt idx="7">
                  <c:v>1350000000</c:v>
                </c:pt>
                <c:pt idx="8">
                  <c:v>1350000000</c:v>
                </c:pt>
                <c:pt idx="9">
                  <c:v>1350000000</c:v>
                </c:pt>
                <c:pt idx="10">
                  <c:v>1350000000</c:v>
                </c:pt>
                <c:pt idx="11">
                  <c:v>1350000000</c:v>
                </c:pt>
                <c:pt idx="12">
                  <c:v>1350000000</c:v>
                </c:pt>
                <c:pt idx="13">
                  <c:v>1350000000</c:v>
                </c:pt>
                <c:pt idx="14">
                  <c:v>1350000000</c:v>
                </c:pt>
                <c:pt idx="15">
                  <c:v>1350000000</c:v>
                </c:pt>
                <c:pt idx="16">
                  <c:v>1350000000</c:v>
                </c:pt>
                <c:pt idx="17">
                  <c:v>1350000000</c:v>
                </c:pt>
                <c:pt idx="18">
                  <c:v>1350000000</c:v>
                </c:pt>
                <c:pt idx="19">
                  <c:v>1350000000</c:v>
                </c:pt>
                <c:pt idx="20">
                  <c:v>1350000000</c:v>
                </c:pt>
                <c:pt idx="21">
                  <c:v>1350000000</c:v>
                </c:pt>
                <c:pt idx="22">
                  <c:v>1350000000</c:v>
                </c:pt>
                <c:pt idx="23">
                  <c:v>1350000000</c:v>
                </c:pt>
                <c:pt idx="24">
                  <c:v>1350000000</c:v>
                </c:pt>
                <c:pt idx="25">
                  <c:v>1350000000</c:v>
                </c:pt>
                <c:pt idx="26">
                  <c:v>1350000000</c:v>
                </c:pt>
                <c:pt idx="27">
                  <c:v>1350000000</c:v>
                </c:pt>
                <c:pt idx="28">
                  <c:v>1350000000</c:v>
                </c:pt>
                <c:pt idx="29">
                  <c:v>1350000000</c:v>
                </c:pt>
                <c:pt idx="30">
                  <c:v>1350000000</c:v>
                </c:pt>
                <c:pt idx="31">
                  <c:v>1350000000</c:v>
                </c:pt>
                <c:pt idx="32">
                  <c:v>1350000000</c:v>
                </c:pt>
                <c:pt idx="33">
                  <c:v>1350000000</c:v>
                </c:pt>
                <c:pt idx="34">
                  <c:v>1350000000</c:v>
                </c:pt>
                <c:pt idx="35">
                  <c:v>1350000000</c:v>
                </c:pt>
                <c:pt idx="36">
                  <c:v>1350000000</c:v>
                </c:pt>
                <c:pt idx="37">
                  <c:v>1350000000</c:v>
                </c:pt>
                <c:pt idx="38">
                  <c:v>1350000000</c:v>
                </c:pt>
                <c:pt idx="39">
                  <c:v>1350000000</c:v>
                </c:pt>
                <c:pt idx="40">
                  <c:v>1350000000</c:v>
                </c:pt>
                <c:pt idx="41">
                  <c:v>1350000000</c:v>
                </c:pt>
                <c:pt idx="42">
                  <c:v>1350000000</c:v>
                </c:pt>
                <c:pt idx="43">
                  <c:v>1350000000</c:v>
                </c:pt>
                <c:pt idx="44">
                  <c:v>1350000000</c:v>
                </c:pt>
                <c:pt idx="45">
                  <c:v>1350000000</c:v>
                </c:pt>
                <c:pt idx="46">
                  <c:v>1350000000</c:v>
                </c:pt>
                <c:pt idx="47">
                  <c:v>1350000000</c:v>
                </c:pt>
                <c:pt idx="48">
                  <c:v>1350000000</c:v>
                </c:pt>
                <c:pt idx="49">
                  <c:v>1350000000</c:v>
                </c:pt>
                <c:pt idx="50">
                  <c:v>1350000000</c:v>
                </c:pt>
                <c:pt idx="51">
                  <c:v>1350000000</c:v>
                </c:pt>
                <c:pt idx="52">
                  <c:v>1350000000</c:v>
                </c:pt>
                <c:pt idx="53">
                  <c:v>1350000000</c:v>
                </c:pt>
                <c:pt idx="54">
                  <c:v>1350000000</c:v>
                </c:pt>
                <c:pt idx="55">
                  <c:v>1350000000</c:v>
                </c:pt>
                <c:pt idx="56">
                  <c:v>1350000000</c:v>
                </c:pt>
                <c:pt idx="57">
                  <c:v>1350000000</c:v>
                </c:pt>
                <c:pt idx="58">
                  <c:v>1350000000</c:v>
                </c:pt>
                <c:pt idx="59">
                  <c:v>1350000000</c:v>
                </c:pt>
                <c:pt idx="60">
                  <c:v>1350000000</c:v>
                </c:pt>
                <c:pt idx="61">
                  <c:v>1350000000</c:v>
                </c:pt>
                <c:pt idx="62">
                  <c:v>1350000000</c:v>
                </c:pt>
                <c:pt idx="63">
                  <c:v>1350000000</c:v>
                </c:pt>
                <c:pt idx="64">
                  <c:v>1350000000</c:v>
                </c:pt>
                <c:pt idx="65">
                  <c:v>1350000000</c:v>
                </c:pt>
                <c:pt idx="66">
                  <c:v>1350000000</c:v>
                </c:pt>
                <c:pt idx="67">
                  <c:v>1350000000</c:v>
                </c:pt>
                <c:pt idx="68">
                  <c:v>1350000000</c:v>
                </c:pt>
                <c:pt idx="69">
                  <c:v>1350000000</c:v>
                </c:pt>
                <c:pt idx="70">
                  <c:v>1350000000</c:v>
                </c:pt>
                <c:pt idx="71">
                  <c:v>1350000000</c:v>
                </c:pt>
                <c:pt idx="72">
                  <c:v>1350000000</c:v>
                </c:pt>
                <c:pt idx="73">
                  <c:v>1350000000</c:v>
                </c:pt>
                <c:pt idx="74">
                  <c:v>1350000000</c:v>
                </c:pt>
                <c:pt idx="75">
                  <c:v>1350000000</c:v>
                </c:pt>
                <c:pt idx="76">
                  <c:v>1350000000</c:v>
                </c:pt>
                <c:pt idx="77">
                  <c:v>1350000000</c:v>
                </c:pt>
                <c:pt idx="78">
                  <c:v>1350000000</c:v>
                </c:pt>
                <c:pt idx="79">
                  <c:v>1350000000</c:v>
                </c:pt>
                <c:pt idx="80">
                  <c:v>1350000000</c:v>
                </c:pt>
                <c:pt idx="81">
                  <c:v>1350000000</c:v>
                </c:pt>
                <c:pt idx="82">
                  <c:v>1350000000</c:v>
                </c:pt>
                <c:pt idx="83">
                  <c:v>1650000000</c:v>
                </c:pt>
                <c:pt idx="84">
                  <c:v>1650000000</c:v>
                </c:pt>
                <c:pt idx="85">
                  <c:v>1650000000</c:v>
                </c:pt>
                <c:pt idx="86">
                  <c:v>1650000000</c:v>
                </c:pt>
                <c:pt idx="87">
                  <c:v>1650000000</c:v>
                </c:pt>
                <c:pt idx="88">
                  <c:v>1650000000</c:v>
                </c:pt>
                <c:pt idx="89">
                  <c:v>1650000000</c:v>
                </c:pt>
                <c:pt idx="90">
                  <c:v>1650000000</c:v>
                </c:pt>
                <c:pt idx="91">
                  <c:v>1650000000</c:v>
                </c:pt>
                <c:pt idx="92">
                  <c:v>1650000000</c:v>
                </c:pt>
                <c:pt idx="93">
                  <c:v>1650000000</c:v>
                </c:pt>
                <c:pt idx="94">
                  <c:v>1650000000</c:v>
                </c:pt>
                <c:pt idx="95">
                  <c:v>1650000000</c:v>
                </c:pt>
                <c:pt idx="96">
                  <c:v>1650000000</c:v>
                </c:pt>
                <c:pt idx="97">
                  <c:v>1650000000</c:v>
                </c:pt>
                <c:pt idx="98">
                  <c:v>1650000000</c:v>
                </c:pt>
                <c:pt idx="99">
                  <c:v>1650000000</c:v>
                </c:pt>
                <c:pt idx="100">
                  <c:v>1650000000</c:v>
                </c:pt>
                <c:pt idx="101">
                  <c:v>1650000000</c:v>
                </c:pt>
                <c:pt idx="102">
                  <c:v>1650000000</c:v>
                </c:pt>
                <c:pt idx="103">
                  <c:v>1650000000</c:v>
                </c:pt>
                <c:pt idx="104">
                  <c:v>1650000000</c:v>
                </c:pt>
                <c:pt idx="105">
                  <c:v>1650000000</c:v>
                </c:pt>
                <c:pt idx="106">
                  <c:v>1650000000</c:v>
                </c:pt>
                <c:pt idx="107">
                  <c:v>1650000000</c:v>
                </c:pt>
                <c:pt idx="108">
                  <c:v>1650000000</c:v>
                </c:pt>
                <c:pt idx="109">
                  <c:v>1650000000</c:v>
                </c:pt>
                <c:pt idx="110">
                  <c:v>1650000000</c:v>
                </c:pt>
                <c:pt idx="111">
                  <c:v>1650000000</c:v>
                </c:pt>
                <c:pt idx="112">
                  <c:v>1650000000</c:v>
                </c:pt>
                <c:pt idx="113">
                  <c:v>1650000000</c:v>
                </c:pt>
                <c:pt idx="114">
                  <c:v>1650000000</c:v>
                </c:pt>
                <c:pt idx="115">
                  <c:v>1650000000</c:v>
                </c:pt>
                <c:pt idx="116">
                  <c:v>1650000000</c:v>
                </c:pt>
                <c:pt idx="117">
                  <c:v>1650000000</c:v>
                </c:pt>
                <c:pt idx="118">
                  <c:v>1650000000</c:v>
                </c:pt>
                <c:pt idx="119">
                  <c:v>1650000000</c:v>
                </c:pt>
                <c:pt idx="120">
                  <c:v>1650000000</c:v>
                </c:pt>
                <c:pt idx="121">
                  <c:v>1650000000</c:v>
                </c:pt>
                <c:pt idx="122">
                  <c:v>1650000000</c:v>
                </c:pt>
                <c:pt idx="123">
                  <c:v>1650000000</c:v>
                </c:pt>
                <c:pt idx="124">
                  <c:v>1650000000</c:v>
                </c:pt>
                <c:pt idx="125">
                  <c:v>1650000000</c:v>
                </c:pt>
                <c:pt idx="126">
                  <c:v>1650000000</c:v>
                </c:pt>
                <c:pt idx="127">
                  <c:v>1650000000</c:v>
                </c:pt>
                <c:pt idx="128">
                  <c:v>1650000000</c:v>
                </c:pt>
                <c:pt idx="129">
                  <c:v>1650000000</c:v>
                </c:pt>
                <c:pt idx="130">
                  <c:v>1650000000</c:v>
                </c:pt>
                <c:pt idx="131">
                  <c:v>1650000000</c:v>
                </c:pt>
                <c:pt idx="132">
                  <c:v>1650000000</c:v>
                </c:pt>
                <c:pt idx="133">
                  <c:v>1650000000</c:v>
                </c:pt>
                <c:pt idx="134">
                  <c:v>1650000000</c:v>
                </c:pt>
                <c:pt idx="135">
                  <c:v>1650000000</c:v>
                </c:pt>
                <c:pt idx="136">
                  <c:v>1650000000</c:v>
                </c:pt>
                <c:pt idx="137">
                  <c:v>1650000000</c:v>
                </c:pt>
                <c:pt idx="138">
                  <c:v>1650000000</c:v>
                </c:pt>
                <c:pt idx="139">
                  <c:v>1650000000</c:v>
                </c:pt>
                <c:pt idx="140">
                  <c:v>1650000000</c:v>
                </c:pt>
                <c:pt idx="141">
                  <c:v>1650000000</c:v>
                </c:pt>
                <c:pt idx="142">
                  <c:v>1650000000</c:v>
                </c:pt>
                <c:pt idx="143">
                  <c:v>1650000000</c:v>
                </c:pt>
                <c:pt idx="144">
                  <c:v>1650000000</c:v>
                </c:pt>
                <c:pt idx="145">
                  <c:v>1650000000</c:v>
                </c:pt>
                <c:pt idx="146">
                  <c:v>1650000000</c:v>
                </c:pt>
                <c:pt idx="147">
                  <c:v>1650000000</c:v>
                </c:pt>
                <c:pt idx="148">
                  <c:v>1650000000</c:v>
                </c:pt>
                <c:pt idx="149">
                  <c:v>1650000000</c:v>
                </c:pt>
                <c:pt idx="150">
                  <c:v>1650000000</c:v>
                </c:pt>
                <c:pt idx="151">
                  <c:v>1650000000</c:v>
                </c:pt>
                <c:pt idx="152">
                  <c:v>1650000000</c:v>
                </c:pt>
                <c:pt idx="153">
                  <c:v>1650000000</c:v>
                </c:pt>
                <c:pt idx="154">
                  <c:v>1650000000</c:v>
                </c:pt>
                <c:pt idx="155">
                  <c:v>1650000000</c:v>
                </c:pt>
                <c:pt idx="156">
                  <c:v>1650000000</c:v>
                </c:pt>
                <c:pt idx="157">
                  <c:v>1650000000</c:v>
                </c:pt>
                <c:pt idx="158">
                  <c:v>1650000000</c:v>
                </c:pt>
                <c:pt idx="159">
                  <c:v>1650000000</c:v>
                </c:pt>
                <c:pt idx="160">
                  <c:v>1650000000</c:v>
                </c:pt>
                <c:pt idx="161">
                  <c:v>1650000000</c:v>
                </c:pt>
                <c:pt idx="162">
                  <c:v>1650000000</c:v>
                </c:pt>
                <c:pt idx="163">
                  <c:v>1650000000</c:v>
                </c:pt>
                <c:pt idx="164">
                  <c:v>1650000000</c:v>
                </c:pt>
                <c:pt idx="165">
                  <c:v>1650000000</c:v>
                </c:pt>
                <c:pt idx="166">
                  <c:v>1650000000</c:v>
                </c:pt>
                <c:pt idx="167">
                  <c:v>1650000000</c:v>
                </c:pt>
                <c:pt idx="168">
                  <c:v>1650000000</c:v>
                </c:pt>
                <c:pt idx="169">
                  <c:v>1650000000</c:v>
                </c:pt>
                <c:pt idx="170">
                  <c:v>1650000000</c:v>
                </c:pt>
                <c:pt idx="171">
                  <c:v>1650000000</c:v>
                </c:pt>
                <c:pt idx="172">
                  <c:v>1650000000</c:v>
                </c:pt>
                <c:pt idx="173">
                  <c:v>1650000000</c:v>
                </c:pt>
                <c:pt idx="174">
                  <c:v>1650000000</c:v>
                </c:pt>
                <c:pt idx="175">
                  <c:v>1650000000</c:v>
                </c:pt>
                <c:pt idx="176">
                  <c:v>1650000000</c:v>
                </c:pt>
                <c:pt idx="177">
                  <c:v>1650000000</c:v>
                </c:pt>
                <c:pt idx="178">
                  <c:v>1650000000</c:v>
                </c:pt>
                <c:pt idx="179">
                  <c:v>1650000000</c:v>
                </c:pt>
                <c:pt idx="180">
                  <c:v>1650000000</c:v>
                </c:pt>
                <c:pt idx="181">
                  <c:v>1650000000</c:v>
                </c:pt>
                <c:pt idx="182">
                  <c:v>1650000000</c:v>
                </c:pt>
                <c:pt idx="183">
                  <c:v>1650000000</c:v>
                </c:pt>
                <c:pt idx="184">
                  <c:v>1650000000</c:v>
                </c:pt>
                <c:pt idx="185">
                  <c:v>1650000000</c:v>
                </c:pt>
                <c:pt idx="186">
                  <c:v>1650000000</c:v>
                </c:pt>
                <c:pt idx="187">
                  <c:v>1650000000</c:v>
                </c:pt>
                <c:pt idx="188">
                  <c:v>1650000000</c:v>
                </c:pt>
                <c:pt idx="189">
                  <c:v>1650000000</c:v>
                </c:pt>
                <c:pt idx="190">
                  <c:v>1650000000</c:v>
                </c:pt>
                <c:pt idx="191">
                  <c:v>1650000000</c:v>
                </c:pt>
                <c:pt idx="192">
                  <c:v>1650000000</c:v>
                </c:pt>
                <c:pt idx="193">
                  <c:v>1650000000</c:v>
                </c:pt>
                <c:pt idx="194">
                  <c:v>1650000000</c:v>
                </c:pt>
                <c:pt idx="195">
                  <c:v>1650000000</c:v>
                </c:pt>
                <c:pt idx="196">
                  <c:v>1650000000</c:v>
                </c:pt>
                <c:pt idx="197">
                  <c:v>1650000000</c:v>
                </c:pt>
                <c:pt idx="198">
                  <c:v>1650000000</c:v>
                </c:pt>
                <c:pt idx="199">
                  <c:v>1650000000</c:v>
                </c:pt>
                <c:pt idx="200">
                  <c:v>1650000000</c:v>
                </c:pt>
                <c:pt idx="201">
                  <c:v>1650000000</c:v>
                </c:pt>
                <c:pt idx="202">
                  <c:v>1650000000</c:v>
                </c:pt>
                <c:pt idx="203">
                  <c:v>1650000000</c:v>
                </c:pt>
                <c:pt idx="204">
                  <c:v>1650000000</c:v>
                </c:pt>
                <c:pt idx="205">
                  <c:v>1650000000</c:v>
                </c:pt>
                <c:pt idx="206">
                  <c:v>1650000000</c:v>
                </c:pt>
                <c:pt idx="207">
                  <c:v>1650000000</c:v>
                </c:pt>
                <c:pt idx="208">
                  <c:v>1650000000</c:v>
                </c:pt>
                <c:pt idx="209">
                  <c:v>1650000000</c:v>
                </c:pt>
                <c:pt idx="210">
                  <c:v>1650000000</c:v>
                </c:pt>
                <c:pt idx="211">
                  <c:v>1650000000</c:v>
                </c:pt>
                <c:pt idx="212">
                  <c:v>1650000000</c:v>
                </c:pt>
                <c:pt idx="213">
                  <c:v>1650000000</c:v>
                </c:pt>
                <c:pt idx="214">
                  <c:v>1650000000</c:v>
                </c:pt>
                <c:pt idx="215">
                  <c:v>1650000000</c:v>
                </c:pt>
                <c:pt idx="216">
                  <c:v>1650000000</c:v>
                </c:pt>
                <c:pt idx="217">
                  <c:v>1650000000</c:v>
                </c:pt>
                <c:pt idx="218">
                  <c:v>1650000000</c:v>
                </c:pt>
                <c:pt idx="219">
                  <c:v>1650000000</c:v>
                </c:pt>
                <c:pt idx="220">
                  <c:v>1650000000</c:v>
                </c:pt>
                <c:pt idx="221">
                  <c:v>1650000000</c:v>
                </c:pt>
                <c:pt idx="222">
                  <c:v>1650000000</c:v>
                </c:pt>
                <c:pt idx="223">
                  <c:v>1650000000</c:v>
                </c:pt>
                <c:pt idx="224">
                  <c:v>1650000000</c:v>
                </c:pt>
                <c:pt idx="225">
                  <c:v>1650000000</c:v>
                </c:pt>
                <c:pt idx="226">
                  <c:v>1650000000</c:v>
                </c:pt>
                <c:pt idx="227">
                  <c:v>1650000000</c:v>
                </c:pt>
                <c:pt idx="228">
                  <c:v>1650000000</c:v>
                </c:pt>
                <c:pt idx="229">
                  <c:v>1650000000</c:v>
                </c:pt>
                <c:pt idx="230">
                  <c:v>1650000000</c:v>
                </c:pt>
                <c:pt idx="231">
                  <c:v>1650000000</c:v>
                </c:pt>
                <c:pt idx="232">
                  <c:v>1650000000</c:v>
                </c:pt>
                <c:pt idx="233">
                  <c:v>1650000000</c:v>
                </c:pt>
                <c:pt idx="234">
                  <c:v>1650000000</c:v>
                </c:pt>
                <c:pt idx="235">
                  <c:v>1650000000</c:v>
                </c:pt>
                <c:pt idx="236">
                  <c:v>1650000000</c:v>
                </c:pt>
                <c:pt idx="237">
                  <c:v>1650000000</c:v>
                </c:pt>
                <c:pt idx="238">
                  <c:v>1650000000</c:v>
                </c:pt>
                <c:pt idx="239">
                  <c:v>1650000000</c:v>
                </c:pt>
                <c:pt idx="240">
                  <c:v>1650000000</c:v>
                </c:pt>
                <c:pt idx="241">
                  <c:v>1650000000</c:v>
                </c:pt>
                <c:pt idx="242">
                  <c:v>1650000000</c:v>
                </c:pt>
                <c:pt idx="243">
                  <c:v>1650000000</c:v>
                </c:pt>
                <c:pt idx="244">
                  <c:v>1650000000</c:v>
                </c:pt>
                <c:pt idx="245">
                  <c:v>1650000000</c:v>
                </c:pt>
                <c:pt idx="246">
                  <c:v>1650000000</c:v>
                </c:pt>
                <c:pt idx="247">
                  <c:v>1650000000</c:v>
                </c:pt>
                <c:pt idx="248">
                  <c:v>1650000000</c:v>
                </c:pt>
                <c:pt idx="249">
                  <c:v>1650000000</c:v>
                </c:pt>
                <c:pt idx="250">
                  <c:v>1650000000</c:v>
                </c:pt>
                <c:pt idx="251">
                  <c:v>1650000000</c:v>
                </c:pt>
                <c:pt idx="252">
                  <c:v>1650000000</c:v>
                </c:pt>
                <c:pt idx="253">
                  <c:v>1650000000</c:v>
                </c:pt>
                <c:pt idx="254">
                  <c:v>1650000000</c:v>
                </c:pt>
                <c:pt idx="255">
                  <c:v>1650000000</c:v>
                </c:pt>
                <c:pt idx="256">
                  <c:v>1650000000</c:v>
                </c:pt>
                <c:pt idx="257">
                  <c:v>1650000000</c:v>
                </c:pt>
                <c:pt idx="258">
                  <c:v>1650000000</c:v>
                </c:pt>
                <c:pt idx="259">
                  <c:v>1650000000</c:v>
                </c:pt>
                <c:pt idx="260">
                  <c:v>1650000000</c:v>
                </c:pt>
                <c:pt idx="261">
                  <c:v>1650000000</c:v>
                </c:pt>
                <c:pt idx="262">
                  <c:v>1650000000</c:v>
                </c:pt>
                <c:pt idx="263">
                  <c:v>1650000000</c:v>
                </c:pt>
                <c:pt idx="264">
                  <c:v>1650000000</c:v>
                </c:pt>
                <c:pt idx="265">
                  <c:v>1650000000</c:v>
                </c:pt>
                <c:pt idx="266">
                  <c:v>1650000000</c:v>
                </c:pt>
                <c:pt idx="267">
                  <c:v>1650000000</c:v>
                </c:pt>
                <c:pt idx="268">
                  <c:v>1650000000</c:v>
                </c:pt>
                <c:pt idx="269">
                  <c:v>1650000000</c:v>
                </c:pt>
                <c:pt idx="270">
                  <c:v>1650000000</c:v>
                </c:pt>
                <c:pt idx="271">
                  <c:v>1650000000</c:v>
                </c:pt>
                <c:pt idx="272">
                  <c:v>1650000000</c:v>
                </c:pt>
                <c:pt idx="273">
                  <c:v>1650000000</c:v>
                </c:pt>
                <c:pt idx="274">
                  <c:v>1650000000</c:v>
                </c:pt>
                <c:pt idx="275">
                  <c:v>1650000000</c:v>
                </c:pt>
                <c:pt idx="276">
                  <c:v>1650000000</c:v>
                </c:pt>
                <c:pt idx="277">
                  <c:v>1650000000</c:v>
                </c:pt>
                <c:pt idx="278">
                  <c:v>1650000000</c:v>
                </c:pt>
                <c:pt idx="279">
                  <c:v>1650000000</c:v>
                </c:pt>
                <c:pt idx="280">
                  <c:v>1650000000</c:v>
                </c:pt>
                <c:pt idx="281">
                  <c:v>1650000000</c:v>
                </c:pt>
                <c:pt idx="282">
                  <c:v>1650000000</c:v>
                </c:pt>
                <c:pt idx="283">
                  <c:v>1650000000</c:v>
                </c:pt>
                <c:pt idx="284">
                  <c:v>1650000000</c:v>
                </c:pt>
                <c:pt idx="285">
                  <c:v>1650000000</c:v>
                </c:pt>
                <c:pt idx="286">
                  <c:v>1650000000</c:v>
                </c:pt>
                <c:pt idx="287">
                  <c:v>1650000000</c:v>
                </c:pt>
                <c:pt idx="288">
                  <c:v>1650000000</c:v>
                </c:pt>
                <c:pt idx="289">
                  <c:v>1650000000</c:v>
                </c:pt>
                <c:pt idx="290">
                  <c:v>1650000000</c:v>
                </c:pt>
                <c:pt idx="291">
                  <c:v>1650000000</c:v>
                </c:pt>
                <c:pt idx="292">
                  <c:v>1650000000</c:v>
                </c:pt>
                <c:pt idx="293">
                  <c:v>1650000000</c:v>
                </c:pt>
                <c:pt idx="294">
                  <c:v>1650000000</c:v>
                </c:pt>
                <c:pt idx="295">
                  <c:v>1650000000</c:v>
                </c:pt>
                <c:pt idx="296">
                  <c:v>1650000000</c:v>
                </c:pt>
                <c:pt idx="297">
                  <c:v>1650000000</c:v>
                </c:pt>
                <c:pt idx="298">
                  <c:v>1650000000</c:v>
                </c:pt>
                <c:pt idx="299">
                  <c:v>1650000000</c:v>
                </c:pt>
                <c:pt idx="300">
                  <c:v>1650000000</c:v>
                </c:pt>
                <c:pt idx="301">
                  <c:v>1650000000</c:v>
                </c:pt>
                <c:pt idx="302">
                  <c:v>1650000000</c:v>
                </c:pt>
                <c:pt idx="303">
                  <c:v>1650000000</c:v>
                </c:pt>
                <c:pt idx="304">
                  <c:v>1650000000</c:v>
                </c:pt>
                <c:pt idx="305">
                  <c:v>1650000000</c:v>
                </c:pt>
                <c:pt idx="306">
                  <c:v>1650000000</c:v>
                </c:pt>
                <c:pt idx="307">
                  <c:v>1650000000</c:v>
                </c:pt>
                <c:pt idx="308">
                  <c:v>1650000000</c:v>
                </c:pt>
                <c:pt idx="309">
                  <c:v>1650000000</c:v>
                </c:pt>
                <c:pt idx="310">
                  <c:v>1650000000</c:v>
                </c:pt>
                <c:pt idx="311">
                  <c:v>1650000000</c:v>
                </c:pt>
                <c:pt idx="312">
                  <c:v>1650000000</c:v>
                </c:pt>
                <c:pt idx="313">
                  <c:v>1650000000</c:v>
                </c:pt>
                <c:pt idx="314">
                  <c:v>1650000000</c:v>
                </c:pt>
                <c:pt idx="315">
                  <c:v>1650000000</c:v>
                </c:pt>
                <c:pt idx="316">
                  <c:v>1650000000</c:v>
                </c:pt>
                <c:pt idx="317">
                  <c:v>1650000000</c:v>
                </c:pt>
                <c:pt idx="318">
                  <c:v>1650000000</c:v>
                </c:pt>
                <c:pt idx="319">
                  <c:v>1650000000</c:v>
                </c:pt>
                <c:pt idx="320">
                  <c:v>1650000000</c:v>
                </c:pt>
                <c:pt idx="321">
                  <c:v>1650000000</c:v>
                </c:pt>
                <c:pt idx="322">
                  <c:v>1650000000</c:v>
                </c:pt>
                <c:pt idx="323">
                  <c:v>1650000000</c:v>
                </c:pt>
                <c:pt idx="324">
                  <c:v>1650000000</c:v>
                </c:pt>
                <c:pt idx="325">
                  <c:v>1650000000</c:v>
                </c:pt>
                <c:pt idx="326">
                  <c:v>1650000000</c:v>
                </c:pt>
                <c:pt idx="327">
                  <c:v>1650000000</c:v>
                </c:pt>
                <c:pt idx="328">
                  <c:v>1650000000</c:v>
                </c:pt>
                <c:pt idx="329">
                  <c:v>1650000000</c:v>
                </c:pt>
                <c:pt idx="330">
                  <c:v>1650000000</c:v>
                </c:pt>
                <c:pt idx="331">
                  <c:v>1650000000</c:v>
                </c:pt>
                <c:pt idx="332">
                  <c:v>1650000000</c:v>
                </c:pt>
                <c:pt idx="333">
                  <c:v>1650000000</c:v>
                </c:pt>
                <c:pt idx="334">
                  <c:v>1650000000</c:v>
                </c:pt>
                <c:pt idx="335">
                  <c:v>1650000000</c:v>
                </c:pt>
                <c:pt idx="336">
                  <c:v>1650000000</c:v>
                </c:pt>
                <c:pt idx="337">
                  <c:v>1650000000</c:v>
                </c:pt>
                <c:pt idx="338">
                  <c:v>1650000000</c:v>
                </c:pt>
                <c:pt idx="339">
                  <c:v>1650000000</c:v>
                </c:pt>
                <c:pt idx="340">
                  <c:v>1650000000</c:v>
                </c:pt>
                <c:pt idx="341">
                  <c:v>1650000000</c:v>
                </c:pt>
                <c:pt idx="342">
                  <c:v>1650000000</c:v>
                </c:pt>
                <c:pt idx="343">
                  <c:v>1650000000</c:v>
                </c:pt>
                <c:pt idx="344">
                  <c:v>1650000000</c:v>
                </c:pt>
                <c:pt idx="345">
                  <c:v>1650000000</c:v>
                </c:pt>
                <c:pt idx="346">
                  <c:v>1650000000</c:v>
                </c:pt>
                <c:pt idx="347">
                  <c:v>1650000000</c:v>
                </c:pt>
                <c:pt idx="348">
                  <c:v>1650000000</c:v>
                </c:pt>
                <c:pt idx="349">
                  <c:v>1650000000</c:v>
                </c:pt>
                <c:pt idx="350">
                  <c:v>1650000000</c:v>
                </c:pt>
                <c:pt idx="351">
                  <c:v>1650000000</c:v>
                </c:pt>
                <c:pt idx="352">
                  <c:v>1650000000</c:v>
                </c:pt>
                <c:pt idx="353">
                  <c:v>1650000000</c:v>
                </c:pt>
                <c:pt idx="354">
                  <c:v>1650000000</c:v>
                </c:pt>
                <c:pt idx="355">
                  <c:v>1650000000</c:v>
                </c:pt>
                <c:pt idx="356">
                  <c:v>1650000000</c:v>
                </c:pt>
                <c:pt idx="357">
                  <c:v>1650000000</c:v>
                </c:pt>
                <c:pt idx="358">
                  <c:v>1650000000</c:v>
                </c:pt>
                <c:pt idx="359">
                  <c:v>1650000000</c:v>
                </c:pt>
                <c:pt idx="360">
                  <c:v>1650000000</c:v>
                </c:pt>
                <c:pt idx="361">
                  <c:v>1650000000</c:v>
                </c:pt>
                <c:pt idx="362">
                  <c:v>1650000000</c:v>
                </c:pt>
                <c:pt idx="363">
                  <c:v>1650000000</c:v>
                </c:pt>
                <c:pt idx="364">
                  <c:v>1650000000</c:v>
                </c:pt>
                <c:pt idx="365">
                  <c:v>1650000000</c:v>
                </c:pt>
              </c:numCache>
            </c:numRef>
          </c:val>
          <c:smooth val="0"/>
        </c:ser>
        <c:ser>
          <c:idx val="3"/>
          <c:order val="2"/>
          <c:tx>
            <c:v>Total Debt (inc PFI)</c:v>
          </c:tx>
          <c:spPr>
            <a:ln>
              <a:prstDash val="sysDash"/>
            </a:ln>
          </c:spPr>
          <c:marker>
            <c:symbol val="none"/>
          </c:marker>
          <c:cat>
            <c:numRef>
              <c:f>Data!$A$1:$A$366</c:f>
              <c:numCache>
                <c:formatCode>dd/mm/yy;@</c:formatCode>
                <c:ptCount val="366"/>
                <c:pt idx="0">
                  <c:v>41365</c:v>
                </c:pt>
                <c:pt idx="1">
                  <c:v>41366</c:v>
                </c:pt>
                <c:pt idx="2">
                  <c:v>41367</c:v>
                </c:pt>
                <c:pt idx="3">
                  <c:v>41368</c:v>
                </c:pt>
                <c:pt idx="4">
                  <c:v>41369</c:v>
                </c:pt>
                <c:pt idx="5">
                  <c:v>41370</c:v>
                </c:pt>
                <c:pt idx="6">
                  <c:v>41371</c:v>
                </c:pt>
                <c:pt idx="7">
                  <c:v>41372</c:v>
                </c:pt>
                <c:pt idx="8">
                  <c:v>41373</c:v>
                </c:pt>
                <c:pt idx="9">
                  <c:v>41374</c:v>
                </c:pt>
                <c:pt idx="10">
                  <c:v>41375</c:v>
                </c:pt>
                <c:pt idx="11">
                  <c:v>41376</c:v>
                </c:pt>
                <c:pt idx="12">
                  <c:v>41377</c:v>
                </c:pt>
                <c:pt idx="13">
                  <c:v>41378</c:v>
                </c:pt>
                <c:pt idx="14">
                  <c:v>41379</c:v>
                </c:pt>
                <c:pt idx="15">
                  <c:v>41380</c:v>
                </c:pt>
                <c:pt idx="16">
                  <c:v>41381</c:v>
                </c:pt>
                <c:pt idx="17">
                  <c:v>41382</c:v>
                </c:pt>
                <c:pt idx="18">
                  <c:v>41383</c:v>
                </c:pt>
                <c:pt idx="19">
                  <c:v>41384</c:v>
                </c:pt>
                <c:pt idx="20">
                  <c:v>41385</c:v>
                </c:pt>
                <c:pt idx="21">
                  <c:v>41386</c:v>
                </c:pt>
                <c:pt idx="22">
                  <c:v>41387</c:v>
                </c:pt>
                <c:pt idx="23">
                  <c:v>41388</c:v>
                </c:pt>
                <c:pt idx="24">
                  <c:v>41389</c:v>
                </c:pt>
                <c:pt idx="25">
                  <c:v>41390</c:v>
                </c:pt>
                <c:pt idx="26">
                  <c:v>41391</c:v>
                </c:pt>
                <c:pt idx="27">
                  <c:v>41392</c:v>
                </c:pt>
                <c:pt idx="28">
                  <c:v>41393</c:v>
                </c:pt>
                <c:pt idx="29">
                  <c:v>41394</c:v>
                </c:pt>
                <c:pt idx="30">
                  <c:v>41395</c:v>
                </c:pt>
                <c:pt idx="31">
                  <c:v>41396</c:v>
                </c:pt>
                <c:pt idx="32">
                  <c:v>41397</c:v>
                </c:pt>
                <c:pt idx="33">
                  <c:v>41398</c:v>
                </c:pt>
                <c:pt idx="34">
                  <c:v>41399</c:v>
                </c:pt>
                <c:pt idx="35">
                  <c:v>41400</c:v>
                </c:pt>
                <c:pt idx="36">
                  <c:v>41401</c:v>
                </c:pt>
                <c:pt idx="37">
                  <c:v>41402</c:v>
                </c:pt>
                <c:pt idx="38">
                  <c:v>41403</c:v>
                </c:pt>
                <c:pt idx="39">
                  <c:v>41404</c:v>
                </c:pt>
                <c:pt idx="40">
                  <c:v>41405</c:v>
                </c:pt>
                <c:pt idx="41">
                  <c:v>41406</c:v>
                </c:pt>
                <c:pt idx="42">
                  <c:v>41407</c:v>
                </c:pt>
                <c:pt idx="43">
                  <c:v>41408</c:v>
                </c:pt>
                <c:pt idx="44">
                  <c:v>41409</c:v>
                </c:pt>
                <c:pt idx="45">
                  <c:v>41410</c:v>
                </c:pt>
                <c:pt idx="46">
                  <c:v>41411</c:v>
                </c:pt>
                <c:pt idx="47">
                  <c:v>41412</c:v>
                </c:pt>
                <c:pt idx="48">
                  <c:v>41413</c:v>
                </c:pt>
                <c:pt idx="49">
                  <c:v>41414</c:v>
                </c:pt>
                <c:pt idx="50">
                  <c:v>41415</c:v>
                </c:pt>
                <c:pt idx="51">
                  <c:v>41416</c:v>
                </c:pt>
                <c:pt idx="52">
                  <c:v>41417</c:v>
                </c:pt>
                <c:pt idx="53">
                  <c:v>41418</c:v>
                </c:pt>
                <c:pt idx="54">
                  <c:v>41419</c:v>
                </c:pt>
                <c:pt idx="55">
                  <c:v>41420</c:v>
                </c:pt>
                <c:pt idx="56">
                  <c:v>41421</c:v>
                </c:pt>
                <c:pt idx="57">
                  <c:v>41422</c:v>
                </c:pt>
                <c:pt idx="58">
                  <c:v>41423</c:v>
                </c:pt>
                <c:pt idx="59">
                  <c:v>41424</c:v>
                </c:pt>
                <c:pt idx="60">
                  <c:v>41425</c:v>
                </c:pt>
                <c:pt idx="61">
                  <c:v>41426</c:v>
                </c:pt>
                <c:pt idx="62">
                  <c:v>41427</c:v>
                </c:pt>
                <c:pt idx="63">
                  <c:v>41428</c:v>
                </c:pt>
                <c:pt idx="64">
                  <c:v>41429</c:v>
                </c:pt>
                <c:pt idx="65">
                  <c:v>41430</c:v>
                </c:pt>
                <c:pt idx="66">
                  <c:v>41431</c:v>
                </c:pt>
                <c:pt idx="67">
                  <c:v>41432</c:v>
                </c:pt>
                <c:pt idx="68">
                  <c:v>41433</c:v>
                </c:pt>
                <c:pt idx="69">
                  <c:v>41434</c:v>
                </c:pt>
                <c:pt idx="70">
                  <c:v>41435</c:v>
                </c:pt>
                <c:pt idx="71">
                  <c:v>41436</c:v>
                </c:pt>
                <c:pt idx="72">
                  <c:v>41437</c:v>
                </c:pt>
                <c:pt idx="73">
                  <c:v>41438</c:v>
                </c:pt>
                <c:pt idx="74">
                  <c:v>41439</c:v>
                </c:pt>
                <c:pt idx="75">
                  <c:v>41440</c:v>
                </c:pt>
                <c:pt idx="76">
                  <c:v>41441</c:v>
                </c:pt>
                <c:pt idx="77">
                  <c:v>41442</c:v>
                </c:pt>
                <c:pt idx="78">
                  <c:v>41443</c:v>
                </c:pt>
                <c:pt idx="79">
                  <c:v>41444</c:v>
                </c:pt>
                <c:pt idx="80">
                  <c:v>41445</c:v>
                </c:pt>
                <c:pt idx="81">
                  <c:v>41446</c:v>
                </c:pt>
                <c:pt idx="82">
                  <c:v>41447</c:v>
                </c:pt>
                <c:pt idx="83">
                  <c:v>41448</c:v>
                </c:pt>
                <c:pt idx="84">
                  <c:v>41449</c:v>
                </c:pt>
                <c:pt idx="85">
                  <c:v>41450</c:v>
                </c:pt>
                <c:pt idx="86">
                  <c:v>41451</c:v>
                </c:pt>
                <c:pt idx="87">
                  <c:v>41452</c:v>
                </c:pt>
                <c:pt idx="88">
                  <c:v>41453</c:v>
                </c:pt>
                <c:pt idx="89">
                  <c:v>41454</c:v>
                </c:pt>
                <c:pt idx="90">
                  <c:v>41455</c:v>
                </c:pt>
                <c:pt idx="91">
                  <c:v>41456</c:v>
                </c:pt>
                <c:pt idx="92">
                  <c:v>41457</c:v>
                </c:pt>
                <c:pt idx="93">
                  <c:v>41458</c:v>
                </c:pt>
                <c:pt idx="94">
                  <c:v>41459</c:v>
                </c:pt>
                <c:pt idx="95">
                  <c:v>41460</c:v>
                </c:pt>
                <c:pt idx="96">
                  <c:v>41461</c:v>
                </c:pt>
                <c:pt idx="97">
                  <c:v>41462</c:v>
                </c:pt>
                <c:pt idx="98">
                  <c:v>41463</c:v>
                </c:pt>
                <c:pt idx="99">
                  <c:v>41464</c:v>
                </c:pt>
                <c:pt idx="100">
                  <c:v>41465</c:v>
                </c:pt>
                <c:pt idx="101">
                  <c:v>41466</c:v>
                </c:pt>
                <c:pt idx="102">
                  <c:v>41467</c:v>
                </c:pt>
                <c:pt idx="103">
                  <c:v>41468</c:v>
                </c:pt>
                <c:pt idx="104">
                  <c:v>41469</c:v>
                </c:pt>
                <c:pt idx="105">
                  <c:v>41470</c:v>
                </c:pt>
                <c:pt idx="106">
                  <c:v>41471</c:v>
                </c:pt>
                <c:pt idx="107">
                  <c:v>41472</c:v>
                </c:pt>
                <c:pt idx="108">
                  <c:v>41473</c:v>
                </c:pt>
                <c:pt idx="109">
                  <c:v>41474</c:v>
                </c:pt>
                <c:pt idx="110">
                  <c:v>41475</c:v>
                </c:pt>
                <c:pt idx="111">
                  <c:v>41476</c:v>
                </c:pt>
                <c:pt idx="112">
                  <c:v>41477</c:v>
                </c:pt>
                <c:pt idx="113">
                  <c:v>41478</c:v>
                </c:pt>
                <c:pt idx="114">
                  <c:v>41479</c:v>
                </c:pt>
                <c:pt idx="115">
                  <c:v>41480</c:v>
                </c:pt>
                <c:pt idx="116">
                  <c:v>41481</c:v>
                </c:pt>
                <c:pt idx="117">
                  <c:v>41482</c:v>
                </c:pt>
                <c:pt idx="118">
                  <c:v>41483</c:v>
                </c:pt>
                <c:pt idx="119">
                  <c:v>41484</c:v>
                </c:pt>
                <c:pt idx="120">
                  <c:v>41485</c:v>
                </c:pt>
                <c:pt idx="121">
                  <c:v>41486</c:v>
                </c:pt>
                <c:pt idx="122">
                  <c:v>41487</c:v>
                </c:pt>
                <c:pt idx="123">
                  <c:v>41488</c:v>
                </c:pt>
                <c:pt idx="124">
                  <c:v>41489</c:v>
                </c:pt>
                <c:pt idx="125">
                  <c:v>41490</c:v>
                </c:pt>
                <c:pt idx="126">
                  <c:v>41491</c:v>
                </c:pt>
                <c:pt idx="127">
                  <c:v>41492</c:v>
                </c:pt>
                <c:pt idx="128">
                  <c:v>41493</c:v>
                </c:pt>
                <c:pt idx="129">
                  <c:v>41494</c:v>
                </c:pt>
                <c:pt idx="130">
                  <c:v>41495</c:v>
                </c:pt>
                <c:pt idx="131">
                  <c:v>41496</c:v>
                </c:pt>
                <c:pt idx="132">
                  <c:v>41497</c:v>
                </c:pt>
                <c:pt idx="133">
                  <c:v>41498</c:v>
                </c:pt>
                <c:pt idx="134">
                  <c:v>41499</c:v>
                </c:pt>
                <c:pt idx="135">
                  <c:v>41500</c:v>
                </c:pt>
                <c:pt idx="136">
                  <c:v>41501</c:v>
                </c:pt>
                <c:pt idx="137">
                  <c:v>41502</c:v>
                </c:pt>
                <c:pt idx="138">
                  <c:v>41503</c:v>
                </c:pt>
                <c:pt idx="139">
                  <c:v>41504</c:v>
                </c:pt>
                <c:pt idx="140">
                  <c:v>41505</c:v>
                </c:pt>
                <c:pt idx="141">
                  <c:v>41506</c:v>
                </c:pt>
                <c:pt idx="142">
                  <c:v>41507</c:v>
                </c:pt>
                <c:pt idx="143">
                  <c:v>41508</c:v>
                </c:pt>
                <c:pt idx="144">
                  <c:v>41509</c:v>
                </c:pt>
                <c:pt idx="145">
                  <c:v>41510</c:v>
                </c:pt>
                <c:pt idx="146">
                  <c:v>41511</c:v>
                </c:pt>
                <c:pt idx="147">
                  <c:v>41512</c:v>
                </c:pt>
                <c:pt idx="148">
                  <c:v>41513</c:v>
                </c:pt>
                <c:pt idx="149">
                  <c:v>41514</c:v>
                </c:pt>
                <c:pt idx="150">
                  <c:v>41515</c:v>
                </c:pt>
                <c:pt idx="151">
                  <c:v>41516</c:v>
                </c:pt>
                <c:pt idx="152">
                  <c:v>41517</c:v>
                </c:pt>
                <c:pt idx="153">
                  <c:v>41518</c:v>
                </c:pt>
                <c:pt idx="154">
                  <c:v>41519</c:v>
                </c:pt>
                <c:pt idx="155">
                  <c:v>41520</c:v>
                </c:pt>
                <c:pt idx="156">
                  <c:v>41521</c:v>
                </c:pt>
                <c:pt idx="157">
                  <c:v>41522</c:v>
                </c:pt>
                <c:pt idx="158">
                  <c:v>41523</c:v>
                </c:pt>
                <c:pt idx="159">
                  <c:v>41524</c:v>
                </c:pt>
                <c:pt idx="160">
                  <c:v>41525</c:v>
                </c:pt>
                <c:pt idx="161">
                  <c:v>41526</c:v>
                </c:pt>
                <c:pt idx="162">
                  <c:v>41527</c:v>
                </c:pt>
                <c:pt idx="163">
                  <c:v>41528</c:v>
                </c:pt>
                <c:pt idx="164">
                  <c:v>41529</c:v>
                </c:pt>
                <c:pt idx="165">
                  <c:v>41530</c:v>
                </c:pt>
                <c:pt idx="166">
                  <c:v>41531</c:v>
                </c:pt>
                <c:pt idx="167">
                  <c:v>41532</c:v>
                </c:pt>
                <c:pt idx="168">
                  <c:v>41533</c:v>
                </c:pt>
                <c:pt idx="169">
                  <c:v>41534</c:v>
                </c:pt>
                <c:pt idx="170">
                  <c:v>41535</c:v>
                </c:pt>
                <c:pt idx="171">
                  <c:v>41536</c:v>
                </c:pt>
                <c:pt idx="172">
                  <c:v>41537</c:v>
                </c:pt>
                <c:pt idx="173">
                  <c:v>41538</c:v>
                </c:pt>
                <c:pt idx="174">
                  <c:v>41539</c:v>
                </c:pt>
                <c:pt idx="175">
                  <c:v>41540</c:v>
                </c:pt>
                <c:pt idx="176">
                  <c:v>41541</c:v>
                </c:pt>
                <c:pt idx="177">
                  <c:v>41542</c:v>
                </c:pt>
                <c:pt idx="178">
                  <c:v>41543</c:v>
                </c:pt>
                <c:pt idx="179">
                  <c:v>41544</c:v>
                </c:pt>
                <c:pt idx="180">
                  <c:v>41545</c:v>
                </c:pt>
                <c:pt idx="181">
                  <c:v>41546</c:v>
                </c:pt>
                <c:pt idx="182">
                  <c:v>41547</c:v>
                </c:pt>
                <c:pt idx="183">
                  <c:v>41548</c:v>
                </c:pt>
                <c:pt idx="184">
                  <c:v>41549</c:v>
                </c:pt>
                <c:pt idx="185">
                  <c:v>41550</c:v>
                </c:pt>
                <c:pt idx="186">
                  <c:v>41551</c:v>
                </c:pt>
                <c:pt idx="187">
                  <c:v>41552</c:v>
                </c:pt>
                <c:pt idx="188">
                  <c:v>41553</c:v>
                </c:pt>
                <c:pt idx="189">
                  <c:v>41554</c:v>
                </c:pt>
                <c:pt idx="190">
                  <c:v>41555</c:v>
                </c:pt>
                <c:pt idx="191">
                  <c:v>41556</c:v>
                </c:pt>
                <c:pt idx="192">
                  <c:v>41557</c:v>
                </c:pt>
                <c:pt idx="193">
                  <c:v>41558</c:v>
                </c:pt>
                <c:pt idx="194">
                  <c:v>41559</c:v>
                </c:pt>
                <c:pt idx="195">
                  <c:v>41560</c:v>
                </c:pt>
                <c:pt idx="196">
                  <c:v>41561</c:v>
                </c:pt>
                <c:pt idx="197">
                  <c:v>41562</c:v>
                </c:pt>
                <c:pt idx="198">
                  <c:v>41563</c:v>
                </c:pt>
                <c:pt idx="199">
                  <c:v>41564</c:v>
                </c:pt>
                <c:pt idx="200">
                  <c:v>41565</c:v>
                </c:pt>
                <c:pt idx="201">
                  <c:v>41566</c:v>
                </c:pt>
                <c:pt idx="202">
                  <c:v>41567</c:v>
                </c:pt>
                <c:pt idx="203">
                  <c:v>41568</c:v>
                </c:pt>
                <c:pt idx="204">
                  <c:v>41569</c:v>
                </c:pt>
                <c:pt idx="205">
                  <c:v>41570</c:v>
                </c:pt>
                <c:pt idx="206">
                  <c:v>41571</c:v>
                </c:pt>
                <c:pt idx="207">
                  <c:v>41572</c:v>
                </c:pt>
                <c:pt idx="208">
                  <c:v>41573</c:v>
                </c:pt>
                <c:pt idx="209">
                  <c:v>41574</c:v>
                </c:pt>
                <c:pt idx="210">
                  <c:v>41575</c:v>
                </c:pt>
                <c:pt idx="211">
                  <c:v>41576</c:v>
                </c:pt>
                <c:pt idx="212">
                  <c:v>41577</c:v>
                </c:pt>
                <c:pt idx="213">
                  <c:v>41578</c:v>
                </c:pt>
                <c:pt idx="214">
                  <c:v>41579</c:v>
                </c:pt>
                <c:pt idx="215">
                  <c:v>41580</c:v>
                </c:pt>
                <c:pt idx="216">
                  <c:v>41581</c:v>
                </c:pt>
                <c:pt idx="217">
                  <c:v>41582</c:v>
                </c:pt>
                <c:pt idx="218">
                  <c:v>41583</c:v>
                </c:pt>
                <c:pt idx="219">
                  <c:v>41584</c:v>
                </c:pt>
                <c:pt idx="220">
                  <c:v>41585</c:v>
                </c:pt>
                <c:pt idx="221">
                  <c:v>41586</c:v>
                </c:pt>
                <c:pt idx="222">
                  <c:v>41587</c:v>
                </c:pt>
                <c:pt idx="223">
                  <c:v>41588</c:v>
                </c:pt>
                <c:pt idx="224">
                  <c:v>41589</c:v>
                </c:pt>
                <c:pt idx="225">
                  <c:v>41590</c:v>
                </c:pt>
                <c:pt idx="226">
                  <c:v>41591</c:v>
                </c:pt>
                <c:pt idx="227">
                  <c:v>41592</c:v>
                </c:pt>
                <c:pt idx="228">
                  <c:v>41593</c:v>
                </c:pt>
                <c:pt idx="229">
                  <c:v>41594</c:v>
                </c:pt>
                <c:pt idx="230">
                  <c:v>41595</c:v>
                </c:pt>
                <c:pt idx="231">
                  <c:v>41596</c:v>
                </c:pt>
                <c:pt idx="232">
                  <c:v>41597</c:v>
                </c:pt>
                <c:pt idx="233">
                  <c:v>41598</c:v>
                </c:pt>
                <c:pt idx="234">
                  <c:v>41599</c:v>
                </c:pt>
                <c:pt idx="235">
                  <c:v>41600</c:v>
                </c:pt>
                <c:pt idx="236">
                  <c:v>41601</c:v>
                </c:pt>
                <c:pt idx="237">
                  <c:v>41602</c:v>
                </c:pt>
                <c:pt idx="238">
                  <c:v>41603</c:v>
                </c:pt>
                <c:pt idx="239">
                  <c:v>41604</c:v>
                </c:pt>
                <c:pt idx="240">
                  <c:v>41605</c:v>
                </c:pt>
                <c:pt idx="241">
                  <c:v>41606</c:v>
                </c:pt>
                <c:pt idx="242">
                  <c:v>41607</c:v>
                </c:pt>
                <c:pt idx="243">
                  <c:v>41608</c:v>
                </c:pt>
                <c:pt idx="244">
                  <c:v>41609</c:v>
                </c:pt>
                <c:pt idx="245">
                  <c:v>41610</c:v>
                </c:pt>
                <c:pt idx="246">
                  <c:v>41611</c:v>
                </c:pt>
                <c:pt idx="247">
                  <c:v>41612</c:v>
                </c:pt>
                <c:pt idx="248">
                  <c:v>41613</c:v>
                </c:pt>
                <c:pt idx="249">
                  <c:v>41614</c:v>
                </c:pt>
                <c:pt idx="250">
                  <c:v>41615</c:v>
                </c:pt>
                <c:pt idx="251">
                  <c:v>41616</c:v>
                </c:pt>
                <c:pt idx="252">
                  <c:v>41617</c:v>
                </c:pt>
                <c:pt idx="253">
                  <c:v>41618</c:v>
                </c:pt>
                <c:pt idx="254">
                  <c:v>41619</c:v>
                </c:pt>
                <c:pt idx="255">
                  <c:v>41620</c:v>
                </c:pt>
                <c:pt idx="256">
                  <c:v>41621</c:v>
                </c:pt>
                <c:pt idx="257">
                  <c:v>41622</c:v>
                </c:pt>
                <c:pt idx="258">
                  <c:v>41623</c:v>
                </c:pt>
                <c:pt idx="259">
                  <c:v>41624</c:v>
                </c:pt>
                <c:pt idx="260">
                  <c:v>41625</c:v>
                </c:pt>
                <c:pt idx="261">
                  <c:v>41626</c:v>
                </c:pt>
                <c:pt idx="262">
                  <c:v>41627</c:v>
                </c:pt>
                <c:pt idx="263">
                  <c:v>41628</c:v>
                </c:pt>
                <c:pt idx="264">
                  <c:v>41629</c:v>
                </c:pt>
                <c:pt idx="265">
                  <c:v>41630</c:v>
                </c:pt>
                <c:pt idx="266">
                  <c:v>41631</c:v>
                </c:pt>
                <c:pt idx="267">
                  <c:v>41632</c:v>
                </c:pt>
                <c:pt idx="268">
                  <c:v>41633</c:v>
                </c:pt>
                <c:pt idx="269">
                  <c:v>41634</c:v>
                </c:pt>
                <c:pt idx="270">
                  <c:v>41635</c:v>
                </c:pt>
                <c:pt idx="271">
                  <c:v>41636</c:v>
                </c:pt>
                <c:pt idx="272">
                  <c:v>41637</c:v>
                </c:pt>
                <c:pt idx="273">
                  <c:v>41638</c:v>
                </c:pt>
                <c:pt idx="274">
                  <c:v>41639</c:v>
                </c:pt>
                <c:pt idx="275">
                  <c:v>41640</c:v>
                </c:pt>
                <c:pt idx="276">
                  <c:v>41641</c:v>
                </c:pt>
                <c:pt idx="277">
                  <c:v>41642</c:v>
                </c:pt>
                <c:pt idx="278">
                  <c:v>41643</c:v>
                </c:pt>
                <c:pt idx="279">
                  <c:v>41644</c:v>
                </c:pt>
                <c:pt idx="280">
                  <c:v>41645</c:v>
                </c:pt>
                <c:pt idx="281">
                  <c:v>41646</c:v>
                </c:pt>
                <c:pt idx="282">
                  <c:v>41647</c:v>
                </c:pt>
                <c:pt idx="283">
                  <c:v>41648</c:v>
                </c:pt>
                <c:pt idx="284">
                  <c:v>41649</c:v>
                </c:pt>
                <c:pt idx="285">
                  <c:v>41650</c:v>
                </c:pt>
                <c:pt idx="286">
                  <c:v>41651</c:v>
                </c:pt>
                <c:pt idx="287">
                  <c:v>41652</c:v>
                </c:pt>
                <c:pt idx="288">
                  <c:v>41653</c:v>
                </c:pt>
                <c:pt idx="289">
                  <c:v>41654</c:v>
                </c:pt>
                <c:pt idx="290">
                  <c:v>41655</c:v>
                </c:pt>
                <c:pt idx="291">
                  <c:v>41656</c:v>
                </c:pt>
                <c:pt idx="292">
                  <c:v>41657</c:v>
                </c:pt>
                <c:pt idx="293">
                  <c:v>41658</c:v>
                </c:pt>
                <c:pt idx="294">
                  <c:v>41659</c:v>
                </c:pt>
                <c:pt idx="295">
                  <c:v>41660</c:v>
                </c:pt>
                <c:pt idx="296">
                  <c:v>41661</c:v>
                </c:pt>
                <c:pt idx="297">
                  <c:v>41662</c:v>
                </c:pt>
                <c:pt idx="298">
                  <c:v>41663</c:v>
                </c:pt>
                <c:pt idx="299">
                  <c:v>41664</c:v>
                </c:pt>
                <c:pt idx="300">
                  <c:v>41665</c:v>
                </c:pt>
                <c:pt idx="301">
                  <c:v>41666</c:v>
                </c:pt>
                <c:pt idx="302">
                  <c:v>41667</c:v>
                </c:pt>
                <c:pt idx="303">
                  <c:v>41668</c:v>
                </c:pt>
                <c:pt idx="304">
                  <c:v>41669</c:v>
                </c:pt>
                <c:pt idx="305">
                  <c:v>41670</c:v>
                </c:pt>
                <c:pt idx="306">
                  <c:v>41671</c:v>
                </c:pt>
                <c:pt idx="307">
                  <c:v>41672</c:v>
                </c:pt>
                <c:pt idx="308">
                  <c:v>41673</c:v>
                </c:pt>
                <c:pt idx="309">
                  <c:v>41674</c:v>
                </c:pt>
                <c:pt idx="310">
                  <c:v>41675</c:v>
                </c:pt>
                <c:pt idx="311">
                  <c:v>41676</c:v>
                </c:pt>
                <c:pt idx="312">
                  <c:v>41677</c:v>
                </c:pt>
                <c:pt idx="313">
                  <c:v>41678</c:v>
                </c:pt>
                <c:pt idx="314">
                  <c:v>41679</c:v>
                </c:pt>
                <c:pt idx="315">
                  <c:v>41680</c:v>
                </c:pt>
                <c:pt idx="316">
                  <c:v>41681</c:v>
                </c:pt>
                <c:pt idx="317">
                  <c:v>41682</c:v>
                </c:pt>
                <c:pt idx="318">
                  <c:v>41683</c:v>
                </c:pt>
                <c:pt idx="319">
                  <c:v>41684</c:v>
                </c:pt>
                <c:pt idx="320">
                  <c:v>41685</c:v>
                </c:pt>
                <c:pt idx="321">
                  <c:v>41686</c:v>
                </c:pt>
                <c:pt idx="322">
                  <c:v>41687</c:v>
                </c:pt>
                <c:pt idx="323">
                  <c:v>41688</c:v>
                </c:pt>
                <c:pt idx="324">
                  <c:v>41689</c:v>
                </c:pt>
                <c:pt idx="325">
                  <c:v>41690</c:v>
                </c:pt>
                <c:pt idx="326">
                  <c:v>41691</c:v>
                </c:pt>
                <c:pt idx="327">
                  <c:v>41692</c:v>
                </c:pt>
                <c:pt idx="328">
                  <c:v>41693</c:v>
                </c:pt>
                <c:pt idx="329">
                  <c:v>41694</c:v>
                </c:pt>
                <c:pt idx="330">
                  <c:v>41695</c:v>
                </c:pt>
                <c:pt idx="331">
                  <c:v>41696</c:v>
                </c:pt>
                <c:pt idx="332">
                  <c:v>41697</c:v>
                </c:pt>
                <c:pt idx="333">
                  <c:v>41698</c:v>
                </c:pt>
                <c:pt idx="334">
                  <c:v>41699</c:v>
                </c:pt>
                <c:pt idx="335">
                  <c:v>41700</c:v>
                </c:pt>
                <c:pt idx="336">
                  <c:v>41701</c:v>
                </c:pt>
                <c:pt idx="337">
                  <c:v>41702</c:v>
                </c:pt>
                <c:pt idx="338">
                  <c:v>41703</c:v>
                </c:pt>
                <c:pt idx="339">
                  <c:v>41704</c:v>
                </c:pt>
                <c:pt idx="340">
                  <c:v>41705</c:v>
                </c:pt>
                <c:pt idx="341">
                  <c:v>41706</c:v>
                </c:pt>
                <c:pt idx="342">
                  <c:v>41707</c:v>
                </c:pt>
                <c:pt idx="343">
                  <c:v>41708</c:v>
                </c:pt>
                <c:pt idx="344">
                  <c:v>41709</c:v>
                </c:pt>
                <c:pt idx="345">
                  <c:v>41710</c:v>
                </c:pt>
                <c:pt idx="346">
                  <c:v>41711</c:v>
                </c:pt>
                <c:pt idx="347">
                  <c:v>41712</c:v>
                </c:pt>
                <c:pt idx="348">
                  <c:v>41713</c:v>
                </c:pt>
                <c:pt idx="349">
                  <c:v>41714</c:v>
                </c:pt>
                <c:pt idx="350">
                  <c:v>41715</c:v>
                </c:pt>
                <c:pt idx="351">
                  <c:v>41716</c:v>
                </c:pt>
                <c:pt idx="352">
                  <c:v>41717</c:v>
                </c:pt>
                <c:pt idx="353">
                  <c:v>41718</c:v>
                </c:pt>
                <c:pt idx="354">
                  <c:v>41719</c:v>
                </c:pt>
                <c:pt idx="355">
                  <c:v>41720</c:v>
                </c:pt>
                <c:pt idx="356">
                  <c:v>41721</c:v>
                </c:pt>
                <c:pt idx="357">
                  <c:v>41722</c:v>
                </c:pt>
                <c:pt idx="358">
                  <c:v>41723</c:v>
                </c:pt>
                <c:pt idx="359">
                  <c:v>41724</c:v>
                </c:pt>
                <c:pt idx="360">
                  <c:v>41725</c:v>
                </c:pt>
                <c:pt idx="361">
                  <c:v>41726</c:v>
                </c:pt>
                <c:pt idx="362">
                  <c:v>41727</c:v>
                </c:pt>
                <c:pt idx="363">
                  <c:v>41728</c:v>
                </c:pt>
                <c:pt idx="364">
                  <c:v>41729</c:v>
                </c:pt>
                <c:pt idx="365">
                  <c:v>41730</c:v>
                </c:pt>
              </c:numCache>
            </c:numRef>
          </c:cat>
          <c:val>
            <c:numRef>
              <c:f>('Total Debt 14-15'!$U$5:$U$188,'Total Debt 14-15'!$AS$5:$AS$188)</c:f>
              <c:numCache>
                <c:formatCode>_-* #,##0_-;\-* #,##0_-;_-* "-"??_-;_-@_-</c:formatCode>
                <c:ptCount val="368"/>
                <c:pt idx="0">
                  <c:v>1217862884.7261562</c:v>
                </c:pt>
                <c:pt idx="1">
                  <c:v>1216686884.7261562</c:v>
                </c:pt>
                <c:pt idx="2">
                  <c:v>1217176884.7261562</c:v>
                </c:pt>
                <c:pt idx="3">
                  <c:v>1217076884.7261562</c:v>
                </c:pt>
                <c:pt idx="4">
                  <c:v>1216570884.7261562</c:v>
                </c:pt>
                <c:pt idx="5">
                  <c:v>1216570884.7261562</c:v>
                </c:pt>
                <c:pt idx="6">
                  <c:v>1216570884.7261562</c:v>
                </c:pt>
                <c:pt idx="7">
                  <c:v>1216238884.7261562</c:v>
                </c:pt>
                <c:pt idx="8">
                  <c:v>1233228884.7261562</c:v>
                </c:pt>
                <c:pt idx="9">
                  <c:v>1232889884.7261562</c:v>
                </c:pt>
                <c:pt idx="10">
                  <c:v>1236121884.7261562</c:v>
                </c:pt>
                <c:pt idx="11">
                  <c:v>1235541884.7261562</c:v>
                </c:pt>
                <c:pt idx="12">
                  <c:v>1235541884.7261562</c:v>
                </c:pt>
                <c:pt idx="13">
                  <c:v>1235541884.7261562</c:v>
                </c:pt>
                <c:pt idx="14">
                  <c:v>1234356884.7261562</c:v>
                </c:pt>
                <c:pt idx="15">
                  <c:v>1236411884.7261562</c:v>
                </c:pt>
                <c:pt idx="16">
                  <c:v>1230526884.7261562</c:v>
                </c:pt>
                <c:pt idx="17">
                  <c:v>1227047884.7261562</c:v>
                </c:pt>
                <c:pt idx="18">
                  <c:v>1227047884.7261562</c:v>
                </c:pt>
                <c:pt idx="19">
                  <c:v>1227047884.7261562</c:v>
                </c:pt>
                <c:pt idx="20">
                  <c:v>1227047884.7261562</c:v>
                </c:pt>
                <c:pt idx="21">
                  <c:v>1227047884.7261562</c:v>
                </c:pt>
                <c:pt idx="22">
                  <c:v>1218612884.7261562</c:v>
                </c:pt>
                <c:pt idx="23">
                  <c:v>1212098884.7261562</c:v>
                </c:pt>
                <c:pt idx="24">
                  <c:v>1210528884.7261562</c:v>
                </c:pt>
                <c:pt idx="25">
                  <c:v>1208343884.7261562</c:v>
                </c:pt>
                <c:pt idx="26">
                  <c:v>1208343884.7261562</c:v>
                </c:pt>
                <c:pt idx="27">
                  <c:v>1208343884.7261562</c:v>
                </c:pt>
                <c:pt idx="28">
                  <c:v>1197213884.7261562</c:v>
                </c:pt>
                <c:pt idx="29">
                  <c:v>1191348884.7261562</c:v>
                </c:pt>
                <c:pt idx="30">
                  <c:v>1188744884.7261562</c:v>
                </c:pt>
                <c:pt idx="31">
                  <c:v>1185046884.7261562</c:v>
                </c:pt>
                <c:pt idx="32">
                  <c:v>1190225884.7261562</c:v>
                </c:pt>
                <c:pt idx="33">
                  <c:v>1190225884.7261562</c:v>
                </c:pt>
                <c:pt idx="34">
                  <c:v>1190225884.7261562</c:v>
                </c:pt>
                <c:pt idx="35">
                  <c:v>1190225884.7261562</c:v>
                </c:pt>
                <c:pt idx="36">
                  <c:v>1198976884.7261562</c:v>
                </c:pt>
                <c:pt idx="37">
                  <c:v>1199051884.7261562</c:v>
                </c:pt>
                <c:pt idx="38">
                  <c:v>1216985884.7261562</c:v>
                </c:pt>
                <c:pt idx="39">
                  <c:v>1217348884.7261562</c:v>
                </c:pt>
                <c:pt idx="40">
                  <c:v>1217348884.7261562</c:v>
                </c:pt>
                <c:pt idx="41">
                  <c:v>1217348884.7261562</c:v>
                </c:pt>
                <c:pt idx="42">
                  <c:v>1217212884.7261562</c:v>
                </c:pt>
                <c:pt idx="43">
                  <c:v>1214262884.7261562</c:v>
                </c:pt>
                <c:pt idx="44">
                  <c:v>1213778884.7261562</c:v>
                </c:pt>
                <c:pt idx="45">
                  <c:v>1231240884.7261562</c:v>
                </c:pt>
                <c:pt idx="46">
                  <c:v>1230956884.7261562</c:v>
                </c:pt>
                <c:pt idx="47">
                  <c:v>1230956884.7261562</c:v>
                </c:pt>
                <c:pt idx="48">
                  <c:v>1230956884.7261562</c:v>
                </c:pt>
                <c:pt idx="49">
                  <c:v>1219866884.7261562</c:v>
                </c:pt>
                <c:pt idx="50">
                  <c:v>1219963884.7261562</c:v>
                </c:pt>
                <c:pt idx="51">
                  <c:v>1220922884.7261562</c:v>
                </c:pt>
                <c:pt idx="52">
                  <c:v>1217361884.7261562</c:v>
                </c:pt>
                <c:pt idx="53">
                  <c:v>1215307884.7261562</c:v>
                </c:pt>
                <c:pt idx="54">
                  <c:v>1215307884.7261562</c:v>
                </c:pt>
                <c:pt idx="55">
                  <c:v>1215307884.7261562</c:v>
                </c:pt>
                <c:pt idx="56">
                  <c:v>1215307884.7261562</c:v>
                </c:pt>
                <c:pt idx="57">
                  <c:v>1214529884.7261562</c:v>
                </c:pt>
                <c:pt idx="58">
                  <c:v>1204688884.7261562</c:v>
                </c:pt>
                <c:pt idx="59">
                  <c:v>1205511884.7261562</c:v>
                </c:pt>
                <c:pt idx="60">
                  <c:v>1213711884.7261562</c:v>
                </c:pt>
                <c:pt idx="61">
                  <c:v>1213711884.7261562</c:v>
                </c:pt>
                <c:pt idx="62">
                  <c:v>1213711884.7261562</c:v>
                </c:pt>
                <c:pt idx="63">
                  <c:v>1211945884.7261562</c:v>
                </c:pt>
                <c:pt idx="64">
                  <c:v>1210671884.7261562</c:v>
                </c:pt>
                <c:pt idx="65">
                  <c:v>1201313884.7261562</c:v>
                </c:pt>
                <c:pt idx="66">
                  <c:v>1201368884.7261562</c:v>
                </c:pt>
                <c:pt idx="67">
                  <c:v>1218215884.7261562</c:v>
                </c:pt>
                <c:pt idx="68">
                  <c:v>1218215884.7261562</c:v>
                </c:pt>
                <c:pt idx="69">
                  <c:v>1218215884.7261562</c:v>
                </c:pt>
                <c:pt idx="70">
                  <c:v>1218341884.7261562</c:v>
                </c:pt>
                <c:pt idx="71">
                  <c:v>1223413884.7261562</c:v>
                </c:pt>
                <c:pt idx="72">
                  <c:v>1223393884.7261562</c:v>
                </c:pt>
                <c:pt idx="73">
                  <c:v>1223704884.7261562</c:v>
                </c:pt>
                <c:pt idx="74">
                  <c:v>1222323884.7261562</c:v>
                </c:pt>
                <c:pt idx="75">
                  <c:v>1222323884.7261562</c:v>
                </c:pt>
                <c:pt idx="76">
                  <c:v>1222323884.7261562</c:v>
                </c:pt>
                <c:pt idx="77">
                  <c:v>1223898884.7261562</c:v>
                </c:pt>
                <c:pt idx="78">
                  <c:v>1222793884.7261562</c:v>
                </c:pt>
                <c:pt idx="79">
                  <c:v>1222532884.7261562</c:v>
                </c:pt>
                <c:pt idx="80">
                  <c:v>1215481884.7261562</c:v>
                </c:pt>
                <c:pt idx="81">
                  <c:v>1209094884.7261562</c:v>
                </c:pt>
                <c:pt idx="82">
                  <c:v>1209094884.7261562</c:v>
                </c:pt>
                <c:pt idx="83">
                  <c:v>1209094884.7261562</c:v>
                </c:pt>
                <c:pt idx="84">
                  <c:v>1205012884.7261562</c:v>
                </c:pt>
                <c:pt idx="85">
                  <c:v>1204764884.7261562</c:v>
                </c:pt>
                <c:pt idx="86">
                  <c:v>1204532884.7261562</c:v>
                </c:pt>
                <c:pt idx="87">
                  <c:v>1202657884.7261562</c:v>
                </c:pt>
                <c:pt idx="88">
                  <c:v>1202484884.7261562</c:v>
                </c:pt>
                <c:pt idx="89">
                  <c:v>1202484884.7261562</c:v>
                </c:pt>
                <c:pt idx="90">
                  <c:v>1202484884.7261562</c:v>
                </c:pt>
                <c:pt idx="91">
                  <c:v>1202135884.7261562</c:v>
                </c:pt>
                <c:pt idx="92">
                  <c:v>1205116884.7261562</c:v>
                </c:pt>
                <c:pt idx="93">
                  <c:v>1206502884.7261562</c:v>
                </c:pt>
                <c:pt idx="94">
                  <c:v>1248157884.7261562</c:v>
                </c:pt>
                <c:pt idx="95">
                  <c:v>1248264884.7261562</c:v>
                </c:pt>
                <c:pt idx="96">
                  <c:v>1248264884.7261562</c:v>
                </c:pt>
                <c:pt idx="97">
                  <c:v>1248264884.7261562</c:v>
                </c:pt>
                <c:pt idx="98">
                  <c:v>1265478884.7261562</c:v>
                </c:pt>
                <c:pt idx="99">
                  <c:v>1263219884.7261562</c:v>
                </c:pt>
                <c:pt idx="100">
                  <c:v>1264646884.7261562</c:v>
                </c:pt>
                <c:pt idx="101">
                  <c:v>1264729884.7261562</c:v>
                </c:pt>
                <c:pt idx="102">
                  <c:v>1264621884.7261562</c:v>
                </c:pt>
                <c:pt idx="103">
                  <c:v>1264621884.7261562</c:v>
                </c:pt>
                <c:pt idx="104">
                  <c:v>1264621884.7261562</c:v>
                </c:pt>
                <c:pt idx="105">
                  <c:v>1263720884.7261562</c:v>
                </c:pt>
                <c:pt idx="106">
                  <c:v>1281441884.7261562</c:v>
                </c:pt>
                <c:pt idx="107">
                  <c:v>1281928884.7261562</c:v>
                </c:pt>
                <c:pt idx="108">
                  <c:v>1284878884.7261562</c:v>
                </c:pt>
                <c:pt idx="109">
                  <c:v>1295440884.7261562</c:v>
                </c:pt>
                <c:pt idx="110">
                  <c:v>1295440884.7261562</c:v>
                </c:pt>
                <c:pt idx="111">
                  <c:v>1295440884.7261562</c:v>
                </c:pt>
                <c:pt idx="112">
                  <c:v>1295638884.7261562</c:v>
                </c:pt>
                <c:pt idx="113">
                  <c:v>1141950884.7261562</c:v>
                </c:pt>
                <c:pt idx="114">
                  <c:v>1140709884.7261562</c:v>
                </c:pt>
                <c:pt idx="115">
                  <c:v>1140871884.7261562</c:v>
                </c:pt>
                <c:pt idx="116">
                  <c:v>1129827884.7261562</c:v>
                </c:pt>
                <c:pt idx="117">
                  <c:v>1129827884.7261562</c:v>
                </c:pt>
                <c:pt idx="118">
                  <c:v>1129827884.7261562</c:v>
                </c:pt>
                <c:pt idx="119">
                  <c:v>1120055884.7261562</c:v>
                </c:pt>
                <c:pt idx="120">
                  <c:v>1119371884.7261562</c:v>
                </c:pt>
                <c:pt idx="121">
                  <c:v>1120274884.7261562</c:v>
                </c:pt>
                <c:pt idx="122">
                  <c:v>1159084884.7261562</c:v>
                </c:pt>
                <c:pt idx="123">
                  <c:v>1162887884.7261562</c:v>
                </c:pt>
                <c:pt idx="124">
                  <c:v>1162887884.7261562</c:v>
                </c:pt>
                <c:pt idx="125">
                  <c:v>1162887884.7261562</c:v>
                </c:pt>
                <c:pt idx="126">
                  <c:v>1165745884.7261562</c:v>
                </c:pt>
                <c:pt idx="127">
                  <c:v>1183643884.7261562</c:v>
                </c:pt>
                <c:pt idx="128">
                  <c:v>1183779884.7261562</c:v>
                </c:pt>
                <c:pt idx="129">
                  <c:v>1186569884.7261562</c:v>
                </c:pt>
                <c:pt idx="130">
                  <c:v>1198837884.7261562</c:v>
                </c:pt>
                <c:pt idx="131">
                  <c:v>1198837884.7261562</c:v>
                </c:pt>
                <c:pt idx="132">
                  <c:v>1198837884.7261562</c:v>
                </c:pt>
                <c:pt idx="133">
                  <c:v>1199237884.7261562</c:v>
                </c:pt>
                <c:pt idx="134">
                  <c:v>1198387884.7261562</c:v>
                </c:pt>
                <c:pt idx="135">
                  <c:v>1198388884.7261562</c:v>
                </c:pt>
                <c:pt idx="136">
                  <c:v>1198580884.7261562</c:v>
                </c:pt>
                <c:pt idx="137">
                  <c:v>1199932884.7261562</c:v>
                </c:pt>
                <c:pt idx="138">
                  <c:v>1199932884.7261562</c:v>
                </c:pt>
                <c:pt idx="139">
                  <c:v>1199932884.7261562</c:v>
                </c:pt>
                <c:pt idx="140">
                  <c:v>1199185884.7261562</c:v>
                </c:pt>
                <c:pt idx="141">
                  <c:v>1191915884.7261562</c:v>
                </c:pt>
                <c:pt idx="142">
                  <c:v>1192277884.7261562</c:v>
                </c:pt>
                <c:pt idx="143">
                  <c:v>1192356884.7261562</c:v>
                </c:pt>
                <c:pt idx="144">
                  <c:v>1186470884.7261562</c:v>
                </c:pt>
                <c:pt idx="145">
                  <c:v>1186470884.7261562</c:v>
                </c:pt>
                <c:pt idx="146">
                  <c:v>1186470884.7261562</c:v>
                </c:pt>
                <c:pt idx="147">
                  <c:v>1186470884.7261562</c:v>
                </c:pt>
                <c:pt idx="148">
                  <c:v>1182112884.7261562</c:v>
                </c:pt>
                <c:pt idx="149">
                  <c:v>1182018884.7261562</c:v>
                </c:pt>
                <c:pt idx="150">
                  <c:v>1170852884.7261562</c:v>
                </c:pt>
                <c:pt idx="151">
                  <c:v>1181051884.7261562</c:v>
                </c:pt>
                <c:pt idx="152">
                  <c:v>1181051884.7261562</c:v>
                </c:pt>
                <c:pt idx="153">
                  <c:v>1181051884.7261562</c:v>
                </c:pt>
                <c:pt idx="154">
                  <c:v>1184254884.7261562</c:v>
                </c:pt>
                <c:pt idx="155">
                  <c:v>1186970884.7261562</c:v>
                </c:pt>
                <c:pt idx="156">
                  <c:v>1186516884.7261562</c:v>
                </c:pt>
                <c:pt idx="157">
                  <c:v>1187119884.7261562</c:v>
                </c:pt>
                <c:pt idx="158">
                  <c:v>1204769884.7261562</c:v>
                </c:pt>
                <c:pt idx="159">
                  <c:v>1204769884.7261562</c:v>
                </c:pt>
                <c:pt idx="160">
                  <c:v>1204769884.7261562</c:v>
                </c:pt>
                <c:pt idx="161">
                  <c:v>1203261884.7261562</c:v>
                </c:pt>
                <c:pt idx="162">
                  <c:v>1202269884.7261562</c:v>
                </c:pt>
                <c:pt idx="163">
                  <c:v>1202269884.7261562</c:v>
                </c:pt>
                <c:pt idx="164">
                  <c:v>1202269884.7261562</c:v>
                </c:pt>
                <c:pt idx="165">
                  <c:v>1202269884.7261562</c:v>
                </c:pt>
                <c:pt idx="166">
                  <c:v>1202269884.7261562</c:v>
                </c:pt>
                <c:pt idx="167">
                  <c:v>1202269884.7261562</c:v>
                </c:pt>
                <c:pt idx="168">
                  <c:v>1202269884.7261562</c:v>
                </c:pt>
                <c:pt idx="169">
                  <c:v>1200269884.7261562</c:v>
                </c:pt>
                <c:pt idx="170">
                  <c:v>1200269884.7261562</c:v>
                </c:pt>
                <c:pt idx="171">
                  <c:v>1200269884.7261562</c:v>
                </c:pt>
                <c:pt idx="172">
                  <c:v>1200269884.7261562</c:v>
                </c:pt>
                <c:pt idx="173">
                  <c:v>1200269884.7261562</c:v>
                </c:pt>
                <c:pt idx="174">
                  <c:v>1200269884.7261562</c:v>
                </c:pt>
                <c:pt idx="175">
                  <c:v>1195269884.7261562</c:v>
                </c:pt>
                <c:pt idx="176">
                  <c:v>1190269884.7261562</c:v>
                </c:pt>
                <c:pt idx="177">
                  <c:v>1183269884.7261562</c:v>
                </c:pt>
                <c:pt idx="178">
                  <c:v>1178269884.7261562</c:v>
                </c:pt>
                <c:pt idx="179">
                  <c:v>1178269884.7261562</c:v>
                </c:pt>
                <c:pt idx="180">
                  <c:v>1178269884.7261562</c:v>
                </c:pt>
                <c:pt idx="181">
                  <c:v>1178269884.7261562</c:v>
                </c:pt>
                <c:pt idx="182">
                  <c:v>1178269884.7261562</c:v>
                </c:pt>
                <c:pt idx="183">
                  <c:v>1179769884.7261562</c:v>
                </c:pt>
                <c:pt idx="184">
                  <c:v>1179769884.7261562</c:v>
                </c:pt>
                <c:pt idx="185">
                  <c:v>1179769884.7261562</c:v>
                </c:pt>
                <c:pt idx="186">
                  <c:v>1179769884.7261562</c:v>
                </c:pt>
                <c:pt idx="187">
                  <c:v>1179769884.7261562</c:v>
                </c:pt>
                <c:pt idx="188">
                  <c:v>1179769884.7261562</c:v>
                </c:pt>
                <c:pt idx="189">
                  <c:v>1179769884.7261562</c:v>
                </c:pt>
                <c:pt idx="190">
                  <c:v>1179769884.7261562</c:v>
                </c:pt>
                <c:pt idx="191">
                  <c:v>1176769884.7261562</c:v>
                </c:pt>
                <c:pt idx="192">
                  <c:v>1176769884.7261562</c:v>
                </c:pt>
                <c:pt idx="193">
                  <c:v>1176769884.7261562</c:v>
                </c:pt>
                <c:pt idx="194">
                  <c:v>1176769884.7261562</c:v>
                </c:pt>
                <c:pt idx="195">
                  <c:v>1176769884.7261562</c:v>
                </c:pt>
                <c:pt idx="196">
                  <c:v>1176769884.7261562</c:v>
                </c:pt>
                <c:pt idx="197">
                  <c:v>1176769884.7261562</c:v>
                </c:pt>
                <c:pt idx="198">
                  <c:v>1176769884.7261562</c:v>
                </c:pt>
                <c:pt idx="199">
                  <c:v>1176769884.7261562</c:v>
                </c:pt>
                <c:pt idx="200">
                  <c:v>1176769884.7261562</c:v>
                </c:pt>
                <c:pt idx="201">
                  <c:v>1171519884.7261562</c:v>
                </c:pt>
                <c:pt idx="202">
                  <c:v>1171519884.7261562</c:v>
                </c:pt>
                <c:pt idx="203">
                  <c:v>1171519884.7261562</c:v>
                </c:pt>
                <c:pt idx="204">
                  <c:v>1171519884.7261562</c:v>
                </c:pt>
                <c:pt idx="205">
                  <c:v>1171519884.7261562</c:v>
                </c:pt>
                <c:pt idx="206">
                  <c:v>1159519884.7261562</c:v>
                </c:pt>
                <c:pt idx="207">
                  <c:v>1155519884.7261562</c:v>
                </c:pt>
                <c:pt idx="208">
                  <c:v>1153519884.7261562</c:v>
                </c:pt>
                <c:pt idx="209">
                  <c:v>1153519884.7261562</c:v>
                </c:pt>
                <c:pt idx="210">
                  <c:v>1153519884.7261562</c:v>
                </c:pt>
                <c:pt idx="211">
                  <c:v>1148519884.7261562</c:v>
                </c:pt>
                <c:pt idx="212">
                  <c:v>1148519884.7261562</c:v>
                </c:pt>
                <c:pt idx="213">
                  <c:v>1146519884.7261562</c:v>
                </c:pt>
                <c:pt idx="214">
                  <c:v>1102519884.7261562</c:v>
                </c:pt>
                <c:pt idx="215">
                  <c:v>1090519884.7261562</c:v>
                </c:pt>
                <c:pt idx="216">
                  <c:v>1090519884.7261562</c:v>
                </c:pt>
                <c:pt idx="217">
                  <c:v>1090519884.7261562</c:v>
                </c:pt>
                <c:pt idx="218">
                  <c:v>1090519884.7261562</c:v>
                </c:pt>
                <c:pt idx="219">
                  <c:v>1087519884.7261562</c:v>
                </c:pt>
                <c:pt idx="220">
                  <c:v>1081519884.7261562</c:v>
                </c:pt>
                <c:pt idx="221">
                  <c:v>1081519884.7261562</c:v>
                </c:pt>
                <c:pt idx="222">
                  <c:v>1081519884.7261562</c:v>
                </c:pt>
                <c:pt idx="223">
                  <c:v>1081519884.7261562</c:v>
                </c:pt>
                <c:pt idx="224">
                  <c:v>1081519884.7261562</c:v>
                </c:pt>
                <c:pt idx="225">
                  <c:v>1081519884.7261562</c:v>
                </c:pt>
                <c:pt idx="226">
                  <c:v>1081519884.7261562</c:v>
                </c:pt>
                <c:pt idx="227">
                  <c:v>1081519884.7261562</c:v>
                </c:pt>
                <c:pt idx="228">
                  <c:v>1081519884.7261562</c:v>
                </c:pt>
                <c:pt idx="229">
                  <c:v>1081519884.7261562</c:v>
                </c:pt>
                <c:pt idx="230">
                  <c:v>1081519884.7261562</c:v>
                </c:pt>
                <c:pt idx="231">
                  <c:v>1081519884.7261562</c:v>
                </c:pt>
                <c:pt idx="232">
                  <c:v>1081519884.7261562</c:v>
                </c:pt>
                <c:pt idx="233">
                  <c:v>1081519884.7261562</c:v>
                </c:pt>
                <c:pt idx="234">
                  <c:v>1081519884.7261562</c:v>
                </c:pt>
                <c:pt idx="235">
                  <c:v>1081519884.7261562</c:v>
                </c:pt>
                <c:pt idx="236">
                  <c:v>1081519884.7261562</c:v>
                </c:pt>
                <c:pt idx="237">
                  <c:v>1081519884.7261562</c:v>
                </c:pt>
                <c:pt idx="238">
                  <c:v>1081519884.7261562</c:v>
                </c:pt>
                <c:pt idx="239">
                  <c:v>1076519884.7261562</c:v>
                </c:pt>
                <c:pt idx="240">
                  <c:v>1066519884.7261562</c:v>
                </c:pt>
                <c:pt idx="241">
                  <c:v>1066519884.7261562</c:v>
                </c:pt>
                <c:pt idx="242">
                  <c:v>1056519884.7261562</c:v>
                </c:pt>
                <c:pt idx="243">
                  <c:v>1046519884.7261562</c:v>
                </c:pt>
                <c:pt idx="244">
                  <c:v>1046519884.7261562</c:v>
                </c:pt>
                <c:pt idx="245">
                  <c:v>1046519884.7261562</c:v>
                </c:pt>
                <c:pt idx="246">
                  <c:v>1046519884.7261562</c:v>
                </c:pt>
                <c:pt idx="247">
                  <c:v>1046519884.7261562</c:v>
                </c:pt>
                <c:pt idx="248">
                  <c:v>1046519884.7261562</c:v>
                </c:pt>
                <c:pt idx="249">
                  <c:v>1046519884.7261562</c:v>
                </c:pt>
                <c:pt idx="250">
                  <c:v>1044519884.7261562</c:v>
                </c:pt>
                <c:pt idx="251">
                  <c:v>1044519884.7261562</c:v>
                </c:pt>
                <c:pt idx="252">
                  <c:v>1044519884.7261562</c:v>
                </c:pt>
                <c:pt idx="253">
                  <c:v>1044519884.7261562</c:v>
                </c:pt>
                <c:pt idx="254">
                  <c:v>1044519884.7261562</c:v>
                </c:pt>
                <c:pt idx="255">
                  <c:v>1044519884.7261562</c:v>
                </c:pt>
                <c:pt idx="256">
                  <c:v>1044519884.7261562</c:v>
                </c:pt>
                <c:pt idx="257">
                  <c:v>1044519884.7261562</c:v>
                </c:pt>
                <c:pt idx="258">
                  <c:v>1044519884.7261562</c:v>
                </c:pt>
                <c:pt idx="259">
                  <c:v>1044519884.7261562</c:v>
                </c:pt>
                <c:pt idx="260">
                  <c:v>1041519884.7261562</c:v>
                </c:pt>
                <c:pt idx="261">
                  <c:v>1041519884.7261562</c:v>
                </c:pt>
                <c:pt idx="262">
                  <c:v>1041519884.7261562</c:v>
                </c:pt>
                <c:pt idx="263">
                  <c:v>1041519884.7261562</c:v>
                </c:pt>
                <c:pt idx="264">
                  <c:v>1036519884.7261562</c:v>
                </c:pt>
                <c:pt idx="265">
                  <c:v>1036519884.7261562</c:v>
                </c:pt>
                <c:pt idx="266">
                  <c:v>1036519884.7261562</c:v>
                </c:pt>
                <c:pt idx="267">
                  <c:v>1036519884.7261562</c:v>
                </c:pt>
                <c:pt idx="268">
                  <c:v>1036519884.7261562</c:v>
                </c:pt>
                <c:pt idx="269">
                  <c:v>1036519884.7261562</c:v>
                </c:pt>
                <c:pt idx="270">
                  <c:v>1036519884.7261562</c:v>
                </c:pt>
                <c:pt idx="271">
                  <c:v>1036519884.7261562</c:v>
                </c:pt>
                <c:pt idx="272">
                  <c:v>1036519884.7261562</c:v>
                </c:pt>
                <c:pt idx="273">
                  <c:v>1036519884.7261562</c:v>
                </c:pt>
                <c:pt idx="274">
                  <c:v>1036519884.7261562</c:v>
                </c:pt>
                <c:pt idx="275">
                  <c:v>1036519884.7261562</c:v>
                </c:pt>
                <c:pt idx="276">
                  <c:v>1036519884.7261562</c:v>
                </c:pt>
                <c:pt idx="277">
                  <c:v>1036519884.7261562</c:v>
                </c:pt>
                <c:pt idx="278">
                  <c:v>1036519884.7261562</c:v>
                </c:pt>
                <c:pt idx="279">
                  <c:v>1036519884.7261562</c:v>
                </c:pt>
                <c:pt idx="280">
                  <c:v>1036519884.7261562</c:v>
                </c:pt>
                <c:pt idx="281">
                  <c:v>1036519884.7261562</c:v>
                </c:pt>
                <c:pt idx="282">
                  <c:v>1036519884.7261562</c:v>
                </c:pt>
                <c:pt idx="283">
                  <c:v>1036519884.7261562</c:v>
                </c:pt>
                <c:pt idx="284">
                  <c:v>1031519884.7261562</c:v>
                </c:pt>
                <c:pt idx="285">
                  <c:v>1031519884.7261562</c:v>
                </c:pt>
                <c:pt idx="286">
                  <c:v>1031519884.7261562</c:v>
                </c:pt>
                <c:pt idx="287">
                  <c:v>1031519884.7261562</c:v>
                </c:pt>
                <c:pt idx="288">
                  <c:v>1031519884.7261562</c:v>
                </c:pt>
                <c:pt idx="289">
                  <c:v>1028519884.7261562</c:v>
                </c:pt>
                <c:pt idx="290">
                  <c:v>1028519884.7261562</c:v>
                </c:pt>
                <c:pt idx="291">
                  <c:v>1028519884.7261562</c:v>
                </c:pt>
                <c:pt idx="292">
                  <c:v>1025519884.7261562</c:v>
                </c:pt>
                <c:pt idx="293">
                  <c:v>1025519884.7261562</c:v>
                </c:pt>
                <c:pt idx="294">
                  <c:v>1025519884.7261562</c:v>
                </c:pt>
                <c:pt idx="295">
                  <c:v>1012519884.7261562</c:v>
                </c:pt>
                <c:pt idx="296">
                  <c:v>1012519884.7261562</c:v>
                </c:pt>
                <c:pt idx="297">
                  <c:v>1009519884.7261562</c:v>
                </c:pt>
                <c:pt idx="298">
                  <c:v>984019884.72615623</c:v>
                </c:pt>
                <c:pt idx="299">
                  <c:v>979019884.72615623</c:v>
                </c:pt>
                <c:pt idx="300">
                  <c:v>979019884.72615623</c:v>
                </c:pt>
                <c:pt idx="301">
                  <c:v>979019884.72615623</c:v>
                </c:pt>
                <c:pt idx="302">
                  <c:v>977519884.72615623</c:v>
                </c:pt>
                <c:pt idx="303">
                  <c:v>977519884.72615623</c:v>
                </c:pt>
                <c:pt idx="304">
                  <c:v>977519884.72615623</c:v>
                </c:pt>
                <c:pt idx="305">
                  <c:v>977519884.72615623</c:v>
                </c:pt>
                <c:pt idx="306">
                  <c:v>944719884.72615623</c:v>
                </c:pt>
                <c:pt idx="307">
                  <c:v>944719884.72615623</c:v>
                </c:pt>
                <c:pt idx="308">
                  <c:v>944719884.72615623</c:v>
                </c:pt>
                <c:pt idx="309">
                  <c:v>944719884.72615623</c:v>
                </c:pt>
                <c:pt idx="310">
                  <c:v>944719884.72615623</c:v>
                </c:pt>
                <c:pt idx="311">
                  <c:v>942719884.72615623</c:v>
                </c:pt>
                <c:pt idx="312">
                  <c:v>942719884.72615623</c:v>
                </c:pt>
                <c:pt idx="313">
                  <c:v>934719884.72615623</c:v>
                </c:pt>
                <c:pt idx="314">
                  <c:v>934719884.72615623</c:v>
                </c:pt>
                <c:pt idx="315">
                  <c:v>934719884.72615623</c:v>
                </c:pt>
                <c:pt idx="316">
                  <c:v>934719884.72615623</c:v>
                </c:pt>
                <c:pt idx="317">
                  <c:v>934719884.72615623</c:v>
                </c:pt>
                <c:pt idx="318">
                  <c:v>934719884.72615623</c:v>
                </c:pt>
                <c:pt idx="319">
                  <c:v>934719884.72615623</c:v>
                </c:pt>
                <c:pt idx="320">
                  <c:v>934719884.72615623</c:v>
                </c:pt>
                <c:pt idx="321">
                  <c:v>934719884.72615623</c:v>
                </c:pt>
                <c:pt idx="322">
                  <c:v>934719884.72615623</c:v>
                </c:pt>
                <c:pt idx="323">
                  <c:v>934719884.72615623</c:v>
                </c:pt>
                <c:pt idx="324">
                  <c:v>934719884.72615623</c:v>
                </c:pt>
                <c:pt idx="325">
                  <c:v>919719884.72615623</c:v>
                </c:pt>
                <c:pt idx="326">
                  <c:v>919719884.72615623</c:v>
                </c:pt>
                <c:pt idx="327">
                  <c:v>919719884.72615623</c:v>
                </c:pt>
                <c:pt idx="328">
                  <c:v>919719884.72615623</c:v>
                </c:pt>
                <c:pt idx="329">
                  <c:v>919719884.72615623</c:v>
                </c:pt>
                <c:pt idx="330">
                  <c:v>919719884.72615623</c:v>
                </c:pt>
                <c:pt idx="331">
                  <c:v>917719884.72615623</c:v>
                </c:pt>
                <c:pt idx="332">
                  <c:v>917719884.72615623</c:v>
                </c:pt>
                <c:pt idx="333">
                  <c:v>917719884.72615623</c:v>
                </c:pt>
                <c:pt idx="334">
                  <c:v>914519884.72615623</c:v>
                </c:pt>
                <c:pt idx="335">
                  <c:v>914519884.72615623</c:v>
                </c:pt>
                <c:pt idx="336">
                  <c:v>914519884.72615623</c:v>
                </c:pt>
                <c:pt idx="337">
                  <c:v>914519884.72615623</c:v>
                </c:pt>
                <c:pt idx="338">
                  <c:v>914519884.72615623</c:v>
                </c:pt>
                <c:pt idx="339">
                  <c:v>914519884.72615623</c:v>
                </c:pt>
                <c:pt idx="340">
                  <c:v>914519884.72615623</c:v>
                </c:pt>
                <c:pt idx="341">
                  <c:v>914519884.72615623</c:v>
                </c:pt>
                <c:pt idx="342">
                  <c:v>914519884.72615623</c:v>
                </c:pt>
                <c:pt idx="343">
                  <c:v>914519884.72615623</c:v>
                </c:pt>
                <c:pt idx="344">
                  <c:v>914519884.72615623</c:v>
                </c:pt>
                <c:pt idx="345">
                  <c:v>914519884.72615623</c:v>
                </c:pt>
                <c:pt idx="346">
                  <c:v>914519884.72615623</c:v>
                </c:pt>
                <c:pt idx="347">
                  <c:v>914519884.72615623</c:v>
                </c:pt>
                <c:pt idx="348">
                  <c:v>914519884.72615623</c:v>
                </c:pt>
                <c:pt idx="349">
                  <c:v>914519884.72615623</c:v>
                </c:pt>
                <c:pt idx="350">
                  <c:v>914519884.72615623</c:v>
                </c:pt>
                <c:pt idx="351">
                  <c:v>914519884.72615623</c:v>
                </c:pt>
                <c:pt idx="352">
                  <c:v>914519884.72615623</c:v>
                </c:pt>
                <c:pt idx="353">
                  <c:v>914519884.72615623</c:v>
                </c:pt>
                <c:pt idx="354">
                  <c:v>914519884.72615623</c:v>
                </c:pt>
                <c:pt idx="355">
                  <c:v>914519884.72615623</c:v>
                </c:pt>
                <c:pt idx="356">
                  <c:v>914519884.72615623</c:v>
                </c:pt>
                <c:pt idx="357">
                  <c:v>914519884.72615623</c:v>
                </c:pt>
                <c:pt idx="358">
                  <c:v>914519884.72615623</c:v>
                </c:pt>
                <c:pt idx="359">
                  <c:v>904519884.72615623</c:v>
                </c:pt>
                <c:pt idx="360">
                  <c:v>899519884.72615623</c:v>
                </c:pt>
                <c:pt idx="361">
                  <c:v>894519884.72615623</c:v>
                </c:pt>
                <c:pt idx="362">
                  <c:v>892519884.72615623</c:v>
                </c:pt>
                <c:pt idx="363">
                  <c:v>892519884.72615623</c:v>
                </c:pt>
                <c:pt idx="364">
                  <c:v>892519884.72615623</c:v>
                </c:pt>
                <c:pt idx="365">
                  <c:v>892519884.72615623</c:v>
                </c:pt>
                <c:pt idx="366">
                  <c:v>891519884.72615623</c:v>
                </c:pt>
                <c:pt idx="367">
                  <c:v>891519884.72615623</c:v>
                </c:pt>
              </c:numCache>
            </c:numRef>
          </c:val>
          <c:smooth val="0"/>
        </c:ser>
        <c:dLbls>
          <c:showLegendKey val="0"/>
          <c:showVal val="0"/>
          <c:showCatName val="0"/>
          <c:showSerName val="0"/>
          <c:showPercent val="0"/>
          <c:showBubbleSize val="0"/>
        </c:dLbls>
        <c:smooth val="0"/>
        <c:axId val="156307776"/>
        <c:axId val="156964080"/>
      </c:lineChart>
      <c:dateAx>
        <c:axId val="156307776"/>
        <c:scaling>
          <c:orientation val="minMax"/>
        </c:scaling>
        <c:delete val="0"/>
        <c:axPos val="b"/>
        <c:numFmt formatCode="dd/mm/yy;@" sourceLinked="0"/>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56964080"/>
        <c:crosses val="autoZero"/>
        <c:auto val="1"/>
        <c:lblOffset val="100"/>
        <c:baseTimeUnit val="days"/>
      </c:dateAx>
      <c:valAx>
        <c:axId val="156964080"/>
        <c:scaling>
          <c:orientation val="minMax"/>
          <c:min val="850000000"/>
        </c:scaling>
        <c:delete val="0"/>
        <c:axPos val="l"/>
        <c:majorGridlines/>
        <c:numFmt formatCode="_-* #,##0_-;\-* #,##0_-;_-* &quot;-&quot;??_-;_-@_-" sourceLinked="1"/>
        <c:majorTickMark val="out"/>
        <c:minorTickMark val="out"/>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6307776"/>
        <c:crosses val="autoZero"/>
        <c:crossBetween val="between"/>
        <c:dispUnits>
          <c:builtInUnit val="millions"/>
          <c:dispUnitsLbl>
            <c:layout>
              <c:manualLayout>
                <c:xMode val="edge"/>
                <c:yMode val="edge"/>
                <c:x val="3.0402380213001352E-2"/>
                <c:y val="7.7105892736859222E-2"/>
              </c:manualLayout>
            </c:layout>
            <c:tx>
              <c:rich>
                <a:bodyPr rot="-5400000" vert="horz"/>
                <a:lstStyle/>
                <a:p>
                  <a:pPr algn="ctr">
                    <a:defRPr sz="1400" b="0" i="0" u="none" strike="noStrike" baseline="0">
                      <a:solidFill>
                        <a:srgbClr val="000000"/>
                      </a:solidFill>
                      <a:latin typeface="Arial"/>
                      <a:ea typeface="Arial"/>
                      <a:cs typeface="Arial"/>
                    </a:defRPr>
                  </a:pPr>
                  <a:r>
                    <a:rPr lang="en-GB"/>
                    <a:t>Millions (£)</a:t>
                  </a:r>
                </a:p>
              </c:rich>
            </c:tx>
          </c:dispUnitsLbl>
        </c:dispUnits>
      </c:valAx>
    </c:plotArea>
    <c:legend>
      <c:legendPos val="b"/>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347D-BDDF-4648-A9AE-9789A334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2991</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Lancashire Council</dc:creator>
  <cp:keywords>Council meetings;Government, politics and public administration; Local government; Decision making; Council meetings;</cp:keywords>
  <cp:lastModifiedBy>Rawcliffe, Cath</cp:lastModifiedBy>
  <cp:revision>3</cp:revision>
  <cp:lastPrinted>2014-09-17T13:42:00Z</cp:lastPrinted>
  <dcterms:created xsi:type="dcterms:W3CDTF">2014-09-19T09:46:00Z</dcterms:created>
  <dcterms:modified xsi:type="dcterms:W3CDTF">2014-09-19T10:48:00Z</dcterms:modified>
</cp:coreProperties>
</file>