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F9" w:rsidRDefault="003B2EC5" w:rsidP="00A940F9">
      <w:pPr>
        <w:rPr>
          <w:b/>
        </w:rPr>
      </w:pPr>
      <w:r>
        <w:rPr>
          <w:b/>
        </w:rPr>
        <w:t>Cabinet Committee on Climate Change and the Environment</w:t>
      </w:r>
    </w:p>
    <w:p w:rsidR="00A940F9" w:rsidRDefault="00A940F9" w:rsidP="00A940F9">
      <w:r>
        <w:t xml:space="preserve">Meeting to be held on </w:t>
      </w:r>
      <w:r w:rsidR="003B2EC5">
        <w:t>11</w:t>
      </w:r>
      <w:r w:rsidR="00324C63">
        <w:rPr>
          <w:vertAlign w:val="superscript"/>
        </w:rPr>
        <w:t xml:space="preserve"> </w:t>
      </w:r>
      <w:r w:rsidR="003B2EC5">
        <w:t>October, 2011</w:t>
      </w:r>
    </w:p>
    <w:p w:rsidR="00E75840" w:rsidRDefault="00E7584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E75840">
        <w:tblPrEx>
          <w:tblCellMar>
            <w:top w:w="0" w:type="dxa"/>
            <w:bottom w:w="0" w:type="dxa"/>
          </w:tblCellMar>
        </w:tblPrEx>
        <w:tc>
          <w:tcPr>
            <w:tcW w:w="3260" w:type="dxa"/>
          </w:tcPr>
          <w:p w:rsidR="00E75840" w:rsidRDefault="00E75840">
            <w:pPr>
              <w:pStyle w:val="BodyText"/>
            </w:pPr>
            <w:r>
              <w:t>Electoral Division affected:</w:t>
            </w:r>
          </w:p>
          <w:p w:rsidR="00E75840" w:rsidRDefault="00324C63">
            <w:pPr>
              <w:rPr>
                <w:u w:val="single"/>
              </w:rPr>
            </w:pPr>
            <w:r>
              <w:t>All</w:t>
            </w:r>
          </w:p>
        </w:tc>
      </w:tr>
    </w:tbl>
    <w:p w:rsidR="00E75840" w:rsidRDefault="00E75840">
      <w:pPr>
        <w:ind w:left="709" w:hanging="709"/>
        <w:rPr>
          <w:b/>
        </w:rPr>
      </w:pPr>
    </w:p>
    <w:p w:rsidR="00E75840" w:rsidRDefault="00286888">
      <w:pPr>
        <w:rPr>
          <w:b/>
        </w:rPr>
      </w:pPr>
      <w:r>
        <w:rPr>
          <w:b/>
        </w:rPr>
        <w:t xml:space="preserve">Sharing Information on Greenhouse Gas Emissions from </w:t>
      </w:r>
      <w:r w:rsidR="00874FFE">
        <w:rPr>
          <w:b/>
        </w:rPr>
        <w:t>Council's Own Estate and Operations</w:t>
      </w:r>
    </w:p>
    <w:p w:rsidR="00E75840" w:rsidRDefault="00324C63" w:rsidP="00874FFE">
      <w:pPr>
        <w:ind w:left="709" w:hanging="709"/>
      </w:pPr>
      <w:r>
        <w:t>(</w:t>
      </w:r>
      <w:r w:rsidR="00874FFE">
        <w:t xml:space="preserve">Appendices </w:t>
      </w:r>
      <w:r>
        <w:t>'</w:t>
      </w:r>
      <w:r w:rsidR="00874FFE">
        <w:t>A</w:t>
      </w:r>
      <w:r>
        <w:t>'</w:t>
      </w:r>
      <w:r w:rsidR="00874FFE">
        <w:t xml:space="preserve"> and </w:t>
      </w:r>
      <w:r>
        <w:t>'</w:t>
      </w:r>
      <w:r w:rsidR="00874FFE">
        <w:t>B</w:t>
      </w:r>
      <w:r>
        <w:t>'</w:t>
      </w:r>
      <w:r w:rsidR="00874FFE">
        <w:t xml:space="preserve"> refer</w:t>
      </w:r>
      <w:r>
        <w:t>)</w:t>
      </w:r>
    </w:p>
    <w:p w:rsidR="00E75840" w:rsidRDefault="00E75840"/>
    <w:p w:rsidR="00E75840" w:rsidRDefault="00E75840">
      <w:r>
        <w:t>Contact for further information:</w:t>
      </w:r>
    </w:p>
    <w:p w:rsidR="00E75840" w:rsidRDefault="003B2EC5">
      <w:r>
        <w:t>Fiona Cruchley</w:t>
      </w:r>
      <w:r w:rsidR="00E75840">
        <w:t xml:space="preserve">, </w:t>
      </w:r>
      <w:r>
        <w:t>01772 533906</w:t>
      </w:r>
      <w:r w:rsidR="00E75840">
        <w:t xml:space="preserve">, </w:t>
      </w:r>
      <w:r>
        <w:t>Environment Directorate</w:t>
      </w:r>
      <w:r w:rsidR="00E75840">
        <w:t xml:space="preserve">, </w:t>
      </w:r>
    </w:p>
    <w:p w:rsidR="00E75840" w:rsidRDefault="003B2EC5">
      <w:hyperlink r:id="rId7" w:history="1">
        <w:r w:rsidRPr="00B56CAF">
          <w:rPr>
            <w:rStyle w:val="Hyperlink"/>
          </w:rPr>
          <w:t>Fiona.cruchley@lancashire.gov.uk</w:t>
        </w:r>
      </w:hyperlink>
      <w:r>
        <w:t xml:space="preserve"> </w:t>
      </w:r>
    </w:p>
    <w:p w:rsidR="00E75840" w:rsidRDefault="00E75840">
      <w:pPr>
        <w:ind w:left="709"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75840">
        <w:tblPrEx>
          <w:tblCellMar>
            <w:top w:w="0" w:type="dxa"/>
            <w:bottom w:w="0" w:type="dxa"/>
          </w:tblCellMar>
        </w:tblPrEx>
        <w:tc>
          <w:tcPr>
            <w:tcW w:w="9180" w:type="dxa"/>
          </w:tcPr>
          <w:p w:rsidR="00E75840" w:rsidRDefault="00E75840">
            <w:pPr>
              <w:pStyle w:val="Heading6"/>
              <w:rPr>
                <w:rFonts w:ascii="Arial" w:hAnsi="Arial"/>
              </w:rPr>
            </w:pPr>
          </w:p>
          <w:p w:rsidR="00E75840" w:rsidRDefault="00E75840">
            <w:pPr>
              <w:pStyle w:val="Heading6"/>
              <w:rPr>
                <w:rFonts w:ascii="Arial" w:hAnsi="Arial"/>
              </w:rPr>
            </w:pPr>
            <w:r>
              <w:rPr>
                <w:rFonts w:ascii="Arial" w:hAnsi="Arial"/>
              </w:rPr>
              <w:t>Executive Summary</w:t>
            </w:r>
          </w:p>
          <w:p w:rsidR="00E75840" w:rsidRDefault="00E75840"/>
          <w:p w:rsidR="00E75840" w:rsidRDefault="004F6965">
            <w:r>
              <w:t>This report summarises the requirement to share information on greenhouse gas emissions from the council's own estate and operations and presents data on performance in 2009/10 and 2010/11.</w:t>
            </w:r>
          </w:p>
          <w:p w:rsidR="00E75840" w:rsidRDefault="00E75840">
            <w:pPr>
              <w:pStyle w:val="Heading5"/>
              <w:rPr>
                <w:rFonts w:ascii="Arial" w:hAnsi="Arial"/>
                <w:u w:val="none"/>
              </w:rPr>
            </w:pPr>
          </w:p>
          <w:p w:rsidR="00E75840" w:rsidRDefault="00E75840">
            <w:pPr>
              <w:pStyle w:val="Heading5"/>
              <w:rPr>
                <w:rFonts w:ascii="Arial" w:hAnsi="Arial"/>
                <w:u w:val="none"/>
              </w:rPr>
            </w:pPr>
            <w:r>
              <w:rPr>
                <w:rFonts w:ascii="Arial" w:hAnsi="Arial"/>
                <w:u w:val="none"/>
              </w:rPr>
              <w:t>Recommendation</w:t>
            </w:r>
          </w:p>
          <w:p w:rsidR="00E75840" w:rsidRDefault="00E75840"/>
          <w:p w:rsidR="00E75840" w:rsidRDefault="00324C63">
            <w:r>
              <w:t>The Cabinet Committee on Climate Change and the Environment is asked to</w:t>
            </w:r>
            <w:r w:rsidR="006E4B95">
              <w:t xml:space="preserve"> note the report and </w:t>
            </w:r>
            <w:r>
              <w:t xml:space="preserve">agree to </w:t>
            </w:r>
            <w:r w:rsidR="006E4B95">
              <w:t>receive annual updates.</w:t>
            </w:r>
          </w:p>
          <w:p w:rsidR="00E75840" w:rsidRDefault="00E75840"/>
        </w:tc>
      </w:tr>
    </w:tbl>
    <w:p w:rsidR="00E75840" w:rsidRDefault="00E75840">
      <w:pPr>
        <w:rPr>
          <w:b/>
        </w:rPr>
      </w:pPr>
    </w:p>
    <w:p w:rsidR="00E75840" w:rsidRDefault="00E75840">
      <w:pPr>
        <w:rPr>
          <w:b/>
        </w:rPr>
      </w:pPr>
      <w:r>
        <w:rPr>
          <w:b/>
        </w:rPr>
        <w:t xml:space="preserve">Background and Advice </w:t>
      </w:r>
    </w:p>
    <w:p w:rsidR="00E75840" w:rsidRDefault="00E75840">
      <w:pPr>
        <w:rPr>
          <w:b/>
        </w:rPr>
      </w:pPr>
    </w:p>
    <w:p w:rsidR="00BD0A45" w:rsidRDefault="008E6366">
      <w:r>
        <w:t>As part of the single data list of national report</w:t>
      </w:r>
      <w:r w:rsidR="00874FFE">
        <w:t xml:space="preserve">ing requirements there is a </w:t>
      </w:r>
      <w:r>
        <w:t>requirement to report on greenhouse gas emissions from the council's own estate and operations.  This requires similar information to the former national indicator, NI 185, but is in a different format.</w:t>
      </w:r>
    </w:p>
    <w:p w:rsidR="008E6366" w:rsidRDefault="008E6366"/>
    <w:p w:rsidR="008E6366" w:rsidRDefault="008E6366">
      <w:r>
        <w:t>Key differences with NI 185 are that this indicator requires reporting of all greenhouse gases rather than just carbon dioxide.</w:t>
      </w:r>
      <w:r w:rsidR="00874FFE">
        <w:t xml:space="preserve">  The format of the report also requires a split into scope 1 (direct energy emissions), scope 2 (indirect energy emissions) and scope 3 (other indirect emissions).  This is in line with the greenhouse gas reporting protocol.</w:t>
      </w:r>
    </w:p>
    <w:p w:rsidR="008E6366" w:rsidRDefault="008E6366"/>
    <w:p w:rsidR="00BD0A45" w:rsidRDefault="00874FFE">
      <w:r>
        <w:t xml:space="preserve">The reports published, and submitted to national government, are attached as appendices A and B.  </w:t>
      </w:r>
    </w:p>
    <w:p w:rsidR="00BA538C" w:rsidRDefault="00BA538C"/>
    <w:p w:rsidR="00BA538C" w:rsidRPr="008E6366" w:rsidRDefault="00BA538C">
      <w:pPr>
        <w:rPr>
          <w:b/>
        </w:rPr>
      </w:pPr>
      <w:r>
        <w:t>Total emissions reported for 2009/10 were 138,196 tonnes CO</w:t>
      </w:r>
      <w:r w:rsidRPr="00BA538C">
        <w:rPr>
          <w:vertAlign w:val="subscript"/>
        </w:rPr>
        <w:t>2</w:t>
      </w:r>
      <w:r>
        <w:t>e and in 2010/11emissions were 145,768 tonnes CO</w:t>
      </w:r>
      <w:r w:rsidRPr="00BA538C">
        <w:rPr>
          <w:vertAlign w:val="subscript"/>
        </w:rPr>
        <w:t>2</w:t>
      </w:r>
      <w:r>
        <w:t>e.</w:t>
      </w:r>
    </w:p>
    <w:p w:rsidR="00BD0A45" w:rsidRDefault="00BD0A45"/>
    <w:p w:rsidR="00324C63" w:rsidRDefault="00BD0A45">
      <w:pPr>
        <w:rPr>
          <w:b/>
        </w:rPr>
      </w:pPr>
      <w:r w:rsidRPr="00874FFE">
        <w:rPr>
          <w:b/>
        </w:rPr>
        <w:t>Trends in energy use and carbon emissions</w:t>
      </w:r>
    </w:p>
    <w:p w:rsidR="00324C63" w:rsidRPr="00874FFE" w:rsidRDefault="00324C63">
      <w:pPr>
        <w:rPr>
          <w:b/>
        </w:rPr>
      </w:pPr>
    </w:p>
    <w:p w:rsidR="00E75840" w:rsidRDefault="00FA066F">
      <w:r>
        <w:t>Lancashire County Council has had a programme of activity to reduce energy use and associated greenhouse gas emissions for many years.  Most a</w:t>
      </w:r>
      <w:r w:rsidR="00927C6C">
        <w:t>reas have seen a small change</w:t>
      </w:r>
      <w:r>
        <w:t xml:space="preserve"> between 2009/10 and 2010/11. However, the introduction of the </w:t>
      </w:r>
      <w:r>
        <w:lastRenderedPageBreak/>
        <w:t xml:space="preserve">Carbon Reduction Commitment has required significant upgrading of the data management systems used to monitor the organisations energy use.  The slight rises in energy use seen for buildings in this period are as a result of this more comprehensive recording.  </w:t>
      </w:r>
    </w:p>
    <w:p w:rsidR="00FA066F" w:rsidRDefault="00FA066F"/>
    <w:p w:rsidR="00FA066F" w:rsidRDefault="00FA066F">
      <w:r>
        <w:t>The energy use of a building is dependent on the external temperatures. This can be standardised using "degree day" corrections.  The data presented has not been corrected, however there were very small differences between the degree day figures for the two years as both were cooler than typical.</w:t>
      </w:r>
    </w:p>
    <w:p w:rsidR="00FA066F" w:rsidRDefault="00FA066F"/>
    <w:p w:rsidR="00E75840" w:rsidRDefault="00E75840">
      <w:pPr>
        <w:rPr>
          <w:b/>
        </w:rPr>
      </w:pPr>
      <w:r>
        <w:rPr>
          <w:b/>
        </w:rPr>
        <w:t>Consultations</w:t>
      </w:r>
    </w:p>
    <w:p w:rsidR="00E75840" w:rsidRDefault="00E75840">
      <w:pPr>
        <w:rPr>
          <w:b/>
        </w:rPr>
      </w:pPr>
    </w:p>
    <w:p w:rsidR="00E75840" w:rsidRDefault="003B2EC5">
      <w:r>
        <w:t>N/A</w:t>
      </w:r>
    </w:p>
    <w:p w:rsidR="00E75840" w:rsidRDefault="00E75840">
      <w:pPr>
        <w:rPr>
          <w:b/>
        </w:rPr>
      </w:pPr>
    </w:p>
    <w:p w:rsidR="00E75840" w:rsidRDefault="00E75840">
      <w:r>
        <w:rPr>
          <w:b/>
        </w:rPr>
        <w:t>Implications</w:t>
      </w:r>
      <w:r>
        <w:t xml:space="preserve">: </w:t>
      </w:r>
    </w:p>
    <w:p w:rsidR="00E75840" w:rsidRDefault="00E75840"/>
    <w:p w:rsidR="00E75840" w:rsidRDefault="00E75840">
      <w:r>
        <w:t>This item has the following implications, as indicated:</w:t>
      </w:r>
    </w:p>
    <w:p w:rsidR="00E75840" w:rsidRDefault="00E75840"/>
    <w:p w:rsidR="00E75840" w:rsidRPr="00092B2F" w:rsidRDefault="00E75840">
      <w:pPr>
        <w:rPr>
          <w:b/>
        </w:rPr>
      </w:pPr>
      <w:r w:rsidRPr="00092B2F">
        <w:rPr>
          <w:b/>
        </w:rPr>
        <w:t>Risk management</w:t>
      </w:r>
    </w:p>
    <w:p w:rsidR="00E75840" w:rsidRDefault="00E75840"/>
    <w:p w:rsidR="00E75840" w:rsidRPr="007B5200" w:rsidRDefault="00874FFE">
      <w:r>
        <w:t>This report outlines the data reported to national government in response to the requirement to share information on greenhouse gas emissions from the council's own estate and operations. There are therefore no direct implications of the report, although future reductions in energy use will reduce both costs and reputational risk.</w:t>
      </w:r>
    </w:p>
    <w:p w:rsidR="00E75840" w:rsidRDefault="00E75840">
      <w:pPr>
        <w:pStyle w:val="Header"/>
      </w:pPr>
    </w:p>
    <w:p w:rsidR="00E75840" w:rsidRDefault="00E75840">
      <w:pPr>
        <w:pStyle w:val="BodyText2"/>
        <w:rPr>
          <w:rFonts w:ascii="Arial" w:hAnsi="Arial"/>
          <w:u w:val="none"/>
        </w:rPr>
      </w:pPr>
      <w:r>
        <w:rPr>
          <w:rFonts w:ascii="Arial" w:hAnsi="Arial"/>
          <w:u w:val="none"/>
        </w:rPr>
        <w:t xml:space="preserve">Any representations made to the Cabinet </w:t>
      </w:r>
      <w:r w:rsidR="00D252AC">
        <w:rPr>
          <w:rFonts w:ascii="Arial" w:hAnsi="Arial"/>
          <w:u w:val="none"/>
        </w:rPr>
        <w:t>Committee</w:t>
      </w:r>
      <w:r>
        <w:rPr>
          <w:rFonts w:ascii="Arial" w:hAnsi="Arial"/>
          <w:u w:val="none"/>
        </w:rPr>
        <w:t xml:space="preserve"> prior to the issue being considered in accordance with the Public Notice of Forward Plans</w:t>
      </w:r>
    </w:p>
    <w:p w:rsidR="00E75840" w:rsidRDefault="00E75840">
      <w:pPr>
        <w:rPr>
          <w:b/>
          <w:u w:val="single"/>
        </w:rPr>
      </w:pPr>
    </w:p>
    <w:tbl>
      <w:tblPr>
        <w:tblW w:w="0" w:type="auto"/>
        <w:tblLayout w:type="fixed"/>
        <w:tblLook w:val="000C"/>
      </w:tblPr>
      <w:tblGrid>
        <w:gridCol w:w="3510"/>
        <w:gridCol w:w="2492"/>
        <w:gridCol w:w="3178"/>
      </w:tblGrid>
      <w:tr w:rsidR="00E75840">
        <w:tblPrEx>
          <w:tblCellMar>
            <w:top w:w="0" w:type="dxa"/>
            <w:bottom w:w="0" w:type="dxa"/>
          </w:tblCellMar>
        </w:tblPrEx>
        <w:tc>
          <w:tcPr>
            <w:tcW w:w="3510" w:type="dxa"/>
          </w:tcPr>
          <w:p w:rsidR="00E75840" w:rsidRDefault="00E75840">
            <w:r>
              <w:t>Name:</w:t>
            </w:r>
          </w:p>
        </w:tc>
        <w:tc>
          <w:tcPr>
            <w:tcW w:w="2492" w:type="dxa"/>
          </w:tcPr>
          <w:p w:rsidR="00E75840" w:rsidRDefault="00E75840">
            <w:r>
              <w:t>Organisation:</w:t>
            </w:r>
          </w:p>
        </w:tc>
        <w:tc>
          <w:tcPr>
            <w:tcW w:w="3178" w:type="dxa"/>
          </w:tcPr>
          <w:p w:rsidR="00E75840" w:rsidRDefault="00E75840">
            <w:r>
              <w:t>Comments:</w:t>
            </w:r>
          </w:p>
        </w:tc>
      </w:tr>
      <w:tr w:rsidR="00E75840">
        <w:tblPrEx>
          <w:tblCellMar>
            <w:top w:w="0" w:type="dxa"/>
            <w:bottom w:w="0" w:type="dxa"/>
          </w:tblCellMar>
        </w:tblPrEx>
        <w:tc>
          <w:tcPr>
            <w:tcW w:w="3510" w:type="dxa"/>
          </w:tcPr>
          <w:p w:rsidR="00E75840" w:rsidRDefault="00E75840"/>
          <w:p w:rsidR="00E75840" w:rsidRDefault="00324C63">
            <w:r>
              <w:t>N/A</w:t>
            </w:r>
          </w:p>
          <w:p w:rsidR="00E75840" w:rsidRDefault="00E75840"/>
        </w:tc>
        <w:tc>
          <w:tcPr>
            <w:tcW w:w="2492" w:type="dxa"/>
          </w:tcPr>
          <w:p w:rsidR="00E75840" w:rsidRDefault="00E75840"/>
        </w:tc>
        <w:tc>
          <w:tcPr>
            <w:tcW w:w="3178" w:type="dxa"/>
          </w:tcPr>
          <w:p w:rsidR="00E75840" w:rsidRDefault="00E75840"/>
        </w:tc>
      </w:tr>
    </w:tbl>
    <w:p w:rsidR="00E75840" w:rsidRDefault="00E75840"/>
    <w:p w:rsidR="00E75840" w:rsidRDefault="00E75840">
      <w:pPr>
        <w:pStyle w:val="Heading5"/>
        <w:rPr>
          <w:rFonts w:ascii="Arial" w:hAnsi="Arial"/>
          <w:u w:val="none"/>
        </w:rPr>
      </w:pPr>
      <w:r>
        <w:rPr>
          <w:rFonts w:ascii="Arial" w:hAnsi="Arial"/>
          <w:u w:val="none"/>
        </w:rPr>
        <w:t>Local Government (Access to Information) Act 1985</w:t>
      </w:r>
    </w:p>
    <w:p w:rsidR="00E75840" w:rsidRDefault="00E75840">
      <w:pPr>
        <w:pStyle w:val="Heading5"/>
        <w:rPr>
          <w:rFonts w:ascii="Arial" w:hAnsi="Arial"/>
          <w:u w:val="none"/>
        </w:rPr>
      </w:pPr>
      <w:r>
        <w:rPr>
          <w:rFonts w:ascii="Arial" w:hAnsi="Arial"/>
          <w:u w:val="none"/>
        </w:rPr>
        <w:t>List of Background Papers</w:t>
      </w:r>
    </w:p>
    <w:p w:rsidR="00E75840" w:rsidRDefault="00E75840"/>
    <w:tbl>
      <w:tblPr>
        <w:tblW w:w="0" w:type="auto"/>
        <w:tblLayout w:type="fixed"/>
        <w:tblLook w:val="000C"/>
      </w:tblPr>
      <w:tblGrid>
        <w:gridCol w:w="3510"/>
        <w:gridCol w:w="2492"/>
        <w:gridCol w:w="3178"/>
      </w:tblGrid>
      <w:tr w:rsidR="00E75840">
        <w:tblPrEx>
          <w:tblCellMar>
            <w:top w:w="0" w:type="dxa"/>
            <w:bottom w:w="0" w:type="dxa"/>
          </w:tblCellMar>
        </w:tblPrEx>
        <w:tc>
          <w:tcPr>
            <w:tcW w:w="3510" w:type="dxa"/>
          </w:tcPr>
          <w:p w:rsidR="00E75840" w:rsidRDefault="00E75840">
            <w:pPr>
              <w:pStyle w:val="Heading7"/>
              <w:rPr>
                <w:rFonts w:ascii="Arial" w:hAnsi="Arial"/>
                <w:u w:val="none"/>
              </w:rPr>
            </w:pPr>
            <w:r>
              <w:rPr>
                <w:rFonts w:ascii="Arial" w:hAnsi="Arial"/>
                <w:u w:val="none"/>
              </w:rPr>
              <w:t>Paper</w:t>
            </w:r>
          </w:p>
        </w:tc>
        <w:tc>
          <w:tcPr>
            <w:tcW w:w="2492" w:type="dxa"/>
          </w:tcPr>
          <w:p w:rsidR="00E75840" w:rsidRDefault="00E75840">
            <w:pPr>
              <w:pStyle w:val="Heading7"/>
              <w:rPr>
                <w:rFonts w:ascii="Arial" w:hAnsi="Arial"/>
                <w:u w:val="none"/>
              </w:rPr>
            </w:pPr>
            <w:r>
              <w:rPr>
                <w:rFonts w:ascii="Arial" w:hAnsi="Arial"/>
                <w:u w:val="none"/>
              </w:rPr>
              <w:t>Date</w:t>
            </w:r>
          </w:p>
        </w:tc>
        <w:tc>
          <w:tcPr>
            <w:tcW w:w="3178" w:type="dxa"/>
          </w:tcPr>
          <w:p w:rsidR="00E75840" w:rsidRDefault="00E75840">
            <w:pPr>
              <w:pStyle w:val="Heading7"/>
              <w:rPr>
                <w:rFonts w:ascii="Arial" w:hAnsi="Arial"/>
                <w:u w:val="none"/>
              </w:rPr>
            </w:pPr>
            <w:r>
              <w:rPr>
                <w:rFonts w:ascii="Arial" w:hAnsi="Arial"/>
                <w:u w:val="none"/>
              </w:rPr>
              <w:t>Contact/Directorate/Tel</w:t>
            </w:r>
          </w:p>
        </w:tc>
      </w:tr>
      <w:tr w:rsidR="00E75840">
        <w:tblPrEx>
          <w:tblCellMar>
            <w:top w:w="0" w:type="dxa"/>
            <w:bottom w:w="0" w:type="dxa"/>
          </w:tblCellMar>
        </w:tblPrEx>
        <w:tc>
          <w:tcPr>
            <w:tcW w:w="3510" w:type="dxa"/>
          </w:tcPr>
          <w:p w:rsidR="00E75840" w:rsidRDefault="00E75840"/>
          <w:p w:rsidR="00E75840" w:rsidRDefault="00324C63">
            <w:r>
              <w:t>N/A</w:t>
            </w:r>
          </w:p>
          <w:p w:rsidR="00324C63" w:rsidRDefault="00324C63"/>
        </w:tc>
        <w:tc>
          <w:tcPr>
            <w:tcW w:w="2492" w:type="dxa"/>
          </w:tcPr>
          <w:p w:rsidR="00E75840" w:rsidRDefault="00E75840"/>
        </w:tc>
        <w:tc>
          <w:tcPr>
            <w:tcW w:w="3178" w:type="dxa"/>
          </w:tcPr>
          <w:p w:rsidR="00E75840" w:rsidRDefault="00E75840" w:rsidP="00324C63"/>
        </w:tc>
      </w:tr>
      <w:tr w:rsidR="00E75840">
        <w:tblPrEx>
          <w:tblCellMar>
            <w:top w:w="0" w:type="dxa"/>
            <w:bottom w:w="0" w:type="dxa"/>
          </w:tblCellMar>
        </w:tblPrEx>
        <w:trPr>
          <w:cantSplit/>
        </w:trPr>
        <w:tc>
          <w:tcPr>
            <w:tcW w:w="9180" w:type="dxa"/>
            <w:gridSpan w:val="3"/>
          </w:tcPr>
          <w:p w:rsidR="00E75840" w:rsidRDefault="00E75840"/>
          <w:p w:rsidR="00E75840" w:rsidRDefault="00E75840">
            <w:r>
              <w:t>Reason for inclusion in Part II, if appropriate</w:t>
            </w:r>
          </w:p>
          <w:p w:rsidR="00E75840" w:rsidRDefault="00E75840"/>
          <w:p w:rsidR="00E75840" w:rsidRDefault="00324C63">
            <w:r>
              <w:t>N/A</w:t>
            </w:r>
          </w:p>
          <w:p w:rsidR="00E75840" w:rsidRDefault="00E75840"/>
        </w:tc>
      </w:tr>
    </w:tbl>
    <w:p w:rsidR="00E75840" w:rsidRDefault="00E75840"/>
    <w:sectPr w:rsidR="00E75840" w:rsidSect="00AC242E">
      <w:footerReference w:type="default" r:id="rId8"/>
      <w:footerReference w:type="first" r:id="rId9"/>
      <w:type w:val="continuous"/>
      <w:pgSz w:w="11907" w:h="16840" w:code="9"/>
      <w:pgMar w:top="1134" w:right="1440" w:bottom="1440" w:left="1440" w:header="720" w:footer="306"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B35" w:rsidRDefault="00E07B35">
      <w:r>
        <w:separator/>
      </w:r>
    </w:p>
  </w:endnote>
  <w:endnote w:type="continuationSeparator" w:id="0">
    <w:p w:rsidR="00E07B35" w:rsidRDefault="00E07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286888">
      <w:tblPrEx>
        <w:tblCellMar>
          <w:top w:w="0" w:type="dxa"/>
          <w:bottom w:w="0" w:type="dxa"/>
        </w:tblCellMar>
      </w:tblPrEx>
      <w:tc>
        <w:tcPr>
          <w:tcW w:w="9243" w:type="dxa"/>
          <w:tcBorders>
            <w:top w:val="nil"/>
            <w:left w:val="nil"/>
            <w:bottom w:val="nil"/>
            <w:right w:val="nil"/>
          </w:tcBorders>
        </w:tcPr>
        <w:p w:rsidR="00286888" w:rsidRDefault="00286888">
          <w:pPr>
            <w:pStyle w:val="Footer"/>
            <w:tabs>
              <w:tab w:val="clear" w:pos="4153"/>
            </w:tabs>
            <w:ind w:right="-45"/>
            <w:jc w:val="right"/>
          </w:pPr>
        </w:p>
      </w:tc>
    </w:tr>
  </w:tbl>
  <w:p w:rsidR="00286888" w:rsidRDefault="00286888">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286888">
      <w:tc>
        <w:tcPr>
          <w:tcW w:w="9243" w:type="dxa"/>
          <w:tcBorders>
            <w:top w:val="nil"/>
            <w:left w:val="nil"/>
            <w:bottom w:val="nil"/>
            <w:right w:val="nil"/>
          </w:tcBorders>
        </w:tcPr>
        <w:p w:rsidR="00286888" w:rsidRDefault="00286888" w:rsidP="00912981">
          <w:pPr>
            <w:pStyle w:val="Foot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4 65MM" style="width:99pt;height:48.75pt;visibility:visible" wrapcoords="-436 0 -436 21030 21382 21030 21382 0 -436 0" o:allowoverlap="f">
                <v:imagedata r:id="rId1" o:title=""/>
              </v:shape>
            </w:pict>
          </w:r>
        </w:p>
      </w:tc>
    </w:tr>
  </w:tbl>
  <w:p w:rsidR="00286888" w:rsidRDefault="00286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B35" w:rsidRDefault="00E07B35">
      <w:r>
        <w:separator/>
      </w:r>
    </w:p>
  </w:footnote>
  <w:footnote w:type="continuationSeparator" w:id="0">
    <w:p w:rsidR="00E07B35" w:rsidRDefault="00E07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03F1"/>
    <w:rsid w:val="000C3600"/>
    <w:rsid w:val="00155FE7"/>
    <w:rsid w:val="00156976"/>
    <w:rsid w:val="001661C7"/>
    <w:rsid w:val="00200F4D"/>
    <w:rsid w:val="00282E08"/>
    <w:rsid w:val="00286888"/>
    <w:rsid w:val="00324C63"/>
    <w:rsid w:val="003B2BC6"/>
    <w:rsid w:val="003B2EC5"/>
    <w:rsid w:val="00426F01"/>
    <w:rsid w:val="004A3D8D"/>
    <w:rsid w:val="004F6965"/>
    <w:rsid w:val="005616D2"/>
    <w:rsid w:val="0058295A"/>
    <w:rsid w:val="00615A87"/>
    <w:rsid w:val="006D39B3"/>
    <w:rsid w:val="006E4B95"/>
    <w:rsid w:val="00707D99"/>
    <w:rsid w:val="007708A6"/>
    <w:rsid w:val="00812D4B"/>
    <w:rsid w:val="00874FFE"/>
    <w:rsid w:val="0089356C"/>
    <w:rsid w:val="008D3392"/>
    <w:rsid w:val="008E6366"/>
    <w:rsid w:val="00912981"/>
    <w:rsid w:val="00927C6C"/>
    <w:rsid w:val="00994981"/>
    <w:rsid w:val="00A940F9"/>
    <w:rsid w:val="00AC242E"/>
    <w:rsid w:val="00AD7D4F"/>
    <w:rsid w:val="00BA538C"/>
    <w:rsid w:val="00BD0A45"/>
    <w:rsid w:val="00BE2B1C"/>
    <w:rsid w:val="00D252AC"/>
    <w:rsid w:val="00E07B35"/>
    <w:rsid w:val="00E44BA3"/>
    <w:rsid w:val="00E75840"/>
    <w:rsid w:val="00F15BE3"/>
    <w:rsid w:val="00FA06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Univers" w:hAnsi="Univers"/>
      <w:b/>
      <w:kern w:val="28"/>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styleId="BodyText2">
    <w:name w:val="Body Text 2"/>
    <w:basedOn w:val="Normal"/>
    <w:rPr>
      <w:rFonts w:ascii="Univers" w:hAnsi="Univers"/>
      <w:b/>
      <w:u w:val="single"/>
    </w:rPr>
  </w:style>
  <w:style w:type="paragraph" w:styleId="BodyTextIndent">
    <w:name w:val="Body Text Indent"/>
    <w:basedOn w:val="Normal"/>
    <w:pPr>
      <w:ind w:left="720" w:firstLine="720"/>
    </w:pPr>
    <w:rPr>
      <w:rFonts w:ascii="Times New Roman" w:hAnsi="Times New Roman"/>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2E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ona.cruchley@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3</TotalTime>
  <Pages>2</Pages>
  <Words>480</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3299</CharactersWithSpaces>
  <SharedDoc>false</SharedDoc>
  <HLinks>
    <vt:vector size="6" baseType="variant">
      <vt:variant>
        <vt:i4>4718705</vt:i4>
      </vt:variant>
      <vt:variant>
        <vt:i4>3</vt:i4>
      </vt:variant>
      <vt:variant>
        <vt:i4>0</vt:i4>
      </vt:variant>
      <vt:variant>
        <vt:i4>5</vt:i4>
      </vt:variant>
      <vt:variant>
        <vt:lpwstr>mailto:Fiona.cruchley@lancashire.gov.uk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04.08.2009</dc:description>
  <cp:lastModifiedBy>amilroy001</cp:lastModifiedBy>
  <cp:revision>2</cp:revision>
  <cp:lastPrinted>2011-09-01T09:29:00Z</cp:lastPrinted>
  <dcterms:created xsi:type="dcterms:W3CDTF">2011-10-03T14:57:00Z</dcterms:created>
  <dcterms:modified xsi:type="dcterms:W3CDTF">2011-10-03T14:57:00Z</dcterms:modified>
</cp:coreProperties>
</file>