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9" w:rsidRDefault="00FE0229" w:rsidP="00A940F9">
      <w:pPr>
        <w:rPr>
          <w:b/>
        </w:rPr>
      </w:pPr>
      <w:r>
        <w:rPr>
          <w:b/>
        </w:rPr>
        <w:t xml:space="preserve">Cabinet Committee </w:t>
      </w:r>
      <w:r w:rsidR="003B2EC5">
        <w:rPr>
          <w:b/>
        </w:rPr>
        <w:t>on Climate Change and the Environment</w:t>
      </w:r>
    </w:p>
    <w:p w:rsidR="00A940F9" w:rsidRDefault="00A940F9" w:rsidP="00A940F9">
      <w:r>
        <w:t xml:space="preserve">Meeting to be held on </w:t>
      </w:r>
      <w:r w:rsidR="003B2EC5">
        <w:t>11</w:t>
      </w:r>
      <w:r w:rsidR="003B2EC5" w:rsidRPr="003B2EC5">
        <w:rPr>
          <w:vertAlign w:val="superscript"/>
        </w:rPr>
        <w:t>th</w:t>
      </w:r>
      <w:r w:rsidR="003B2EC5">
        <w:t xml:space="preserve"> October, 2011</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E75840">
        <w:tblPrEx>
          <w:tblCellMar>
            <w:top w:w="0" w:type="dxa"/>
            <w:bottom w:w="0" w:type="dxa"/>
          </w:tblCellMar>
        </w:tblPrEx>
        <w:tc>
          <w:tcPr>
            <w:tcW w:w="3260" w:type="dxa"/>
          </w:tcPr>
          <w:p w:rsidR="00E75840" w:rsidRDefault="00E75840">
            <w:pPr>
              <w:pStyle w:val="BodyText"/>
            </w:pPr>
            <w:r>
              <w:t>Electoral Division affected:</w:t>
            </w:r>
          </w:p>
          <w:p w:rsidR="00E75840" w:rsidRDefault="00E95B30">
            <w:pPr>
              <w:rPr>
                <w:u w:val="single"/>
              </w:rPr>
            </w:pPr>
            <w:r>
              <w:t>All</w:t>
            </w:r>
          </w:p>
        </w:tc>
      </w:tr>
    </w:tbl>
    <w:p w:rsidR="00E75840" w:rsidRDefault="00E75840">
      <w:pPr>
        <w:ind w:left="709" w:hanging="709"/>
        <w:rPr>
          <w:b/>
        </w:rPr>
      </w:pPr>
    </w:p>
    <w:p w:rsidR="00413B7E" w:rsidRDefault="004E39C8" w:rsidP="00B67AC2">
      <w:pPr>
        <w:rPr>
          <w:b/>
        </w:rPr>
      </w:pPr>
      <w:r>
        <w:rPr>
          <w:b/>
        </w:rPr>
        <w:t>Update on Schools' Energy Loan Fund</w:t>
      </w:r>
    </w:p>
    <w:p w:rsidR="004E39C8" w:rsidRDefault="004E39C8"/>
    <w:p w:rsidR="00E75840" w:rsidRDefault="00E75840">
      <w:r>
        <w:t>Contact for further information:</w:t>
      </w:r>
    </w:p>
    <w:p w:rsidR="00B67AC2" w:rsidRDefault="00B67AC2" w:rsidP="00B67AC2">
      <w:r>
        <w:t xml:space="preserve">Matthew Tidmarsh, 01772 533243, Office of the Chief Executive, </w:t>
      </w:r>
    </w:p>
    <w:p w:rsidR="00B67AC2" w:rsidRDefault="00B67AC2" w:rsidP="00B67AC2">
      <w:hyperlink r:id="rId8" w:history="1">
        <w:r w:rsidRPr="00380952">
          <w:rPr>
            <w:rStyle w:val="Hyperlink"/>
          </w:rPr>
          <w:t>matthew.tidmarsh@lancashire.gov.uk</w:t>
        </w:r>
      </w:hyperlink>
    </w:p>
    <w:p w:rsidR="00E75840" w:rsidRDefault="00E75840">
      <w:pPr>
        <w:ind w:left="709"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blPrEx>
          <w:tblCellMar>
            <w:top w:w="0" w:type="dxa"/>
            <w:bottom w:w="0" w:type="dxa"/>
          </w:tblCellMar>
        </w:tblPrEx>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Default="00E75840"/>
          <w:p w:rsidR="00B67AC2" w:rsidRDefault="00B67AC2" w:rsidP="00B67AC2">
            <w:pPr>
              <w:rPr>
                <w:bCs/>
              </w:rPr>
            </w:pPr>
            <w:r>
              <w:rPr>
                <w:bCs/>
              </w:rPr>
              <w:t xml:space="preserve">This report </w:t>
            </w:r>
            <w:r w:rsidRPr="00FB53F3">
              <w:rPr>
                <w:bCs/>
              </w:rPr>
              <w:t xml:space="preserve">seeks to inform </w:t>
            </w:r>
            <w:r>
              <w:rPr>
                <w:bCs/>
              </w:rPr>
              <w:t>the Committee</w:t>
            </w:r>
            <w:r w:rsidRPr="00FB53F3">
              <w:rPr>
                <w:bCs/>
              </w:rPr>
              <w:t xml:space="preserve"> </w:t>
            </w:r>
            <w:r w:rsidR="004E39C8">
              <w:rPr>
                <w:bCs/>
              </w:rPr>
              <w:t>of the recent a</w:t>
            </w:r>
            <w:r w:rsidR="00073A4A">
              <w:rPr>
                <w:bCs/>
              </w:rPr>
              <w:t>pproval given</w:t>
            </w:r>
            <w:r w:rsidR="004E39C8">
              <w:rPr>
                <w:bCs/>
              </w:rPr>
              <w:t xml:space="preserve"> by the Schools' Forum </w:t>
            </w:r>
            <w:r w:rsidR="00073A4A">
              <w:rPr>
                <w:bCs/>
              </w:rPr>
              <w:t>for</w:t>
            </w:r>
            <w:r w:rsidR="004E39C8">
              <w:rPr>
                <w:bCs/>
              </w:rPr>
              <w:t xml:space="preserve"> how the previously established Energy Loan Fund should operate.</w:t>
            </w:r>
          </w:p>
          <w:p w:rsidR="00E75840" w:rsidRDefault="00E75840">
            <w:pPr>
              <w:pStyle w:val="Heading5"/>
              <w:rPr>
                <w:rFonts w:ascii="Arial" w:hAnsi="Arial"/>
                <w:u w:val="none"/>
              </w:rPr>
            </w:pPr>
          </w:p>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6E4B95" w:rsidP="004E39C8">
            <w:r>
              <w:t xml:space="preserve">That </w:t>
            </w:r>
            <w:r w:rsidR="00E95B30">
              <w:t>the Cabinet Committee</w:t>
            </w:r>
            <w:r w:rsidR="003E6773">
              <w:t xml:space="preserve"> for Climate Change and the Environment</w:t>
            </w:r>
            <w:r>
              <w:t xml:space="preserve"> note</w:t>
            </w:r>
            <w:r w:rsidR="00E95B30">
              <w:t>s</w:t>
            </w:r>
            <w:r>
              <w:t xml:space="preserve"> the report and</w:t>
            </w:r>
            <w:r w:rsidR="004E39C8">
              <w:t xml:space="preserve"> supports the implementation of the Schools' Energy Loan Fund in line with the approval given by Schools' Forum.</w:t>
            </w:r>
          </w:p>
          <w:p w:rsidR="004E39C8" w:rsidRDefault="004E39C8" w:rsidP="004E39C8"/>
        </w:tc>
      </w:tr>
    </w:tbl>
    <w:p w:rsidR="00E75840" w:rsidRDefault="00E75840">
      <w:pPr>
        <w:rPr>
          <w:b/>
        </w:rPr>
      </w:pPr>
    </w:p>
    <w:p w:rsidR="00E75840" w:rsidRDefault="00477928">
      <w:pPr>
        <w:rPr>
          <w:b/>
        </w:rPr>
      </w:pPr>
      <w:r>
        <w:rPr>
          <w:b/>
        </w:rPr>
        <w:t>Background</w:t>
      </w:r>
      <w:r w:rsidR="00E75840">
        <w:rPr>
          <w:b/>
        </w:rPr>
        <w:t xml:space="preserve"> </w:t>
      </w:r>
    </w:p>
    <w:p w:rsidR="00E75840" w:rsidRDefault="00E75840">
      <w:pPr>
        <w:rPr>
          <w:b/>
        </w:rPr>
      </w:pPr>
    </w:p>
    <w:p w:rsidR="00B84D79" w:rsidRDefault="00B84D79">
      <w:r w:rsidRPr="00B84D79">
        <w:t xml:space="preserve">The Schools' Forum has previously agreed to transfer </w:t>
      </w:r>
      <w:r>
        <w:t>funding from the Schools' Centrally Retained Reserve to support the setting up of an Energy Loan Fund.  The Council's Energy Team was charged with conducting a series of energy surveys at 30 of the schools</w:t>
      </w:r>
      <w:r w:rsidR="004E2087">
        <w:t xml:space="preserve"> with the poorest energy rating </w:t>
      </w:r>
      <w:r>
        <w:t>as determined by the D</w:t>
      </w:r>
      <w:r w:rsidR="004E2087">
        <w:t>isplay Energy Certificate</w:t>
      </w:r>
      <w:r>
        <w:t xml:space="preserve"> (DEC</w:t>
      </w:r>
      <w:r w:rsidR="004E2087">
        <w:t>) records.</w:t>
      </w:r>
    </w:p>
    <w:p w:rsidR="004E2087" w:rsidRDefault="004E2087"/>
    <w:p w:rsidR="004E2087" w:rsidRDefault="004E2087">
      <w:r>
        <w:t>The surveys were recently completed and the results presented to Schools' Forum on 20</w:t>
      </w:r>
      <w:r w:rsidRPr="004E2087">
        <w:rPr>
          <w:vertAlign w:val="superscript"/>
        </w:rPr>
        <w:t>th</w:t>
      </w:r>
      <w:r>
        <w:t xml:space="preserve"> September 2011.  Approximately £4.1 million worth of schemes were identified.  Of this £1.5 million </w:t>
      </w:r>
      <w:r w:rsidR="00073A4A">
        <w:t>will</w:t>
      </w:r>
      <w:r>
        <w:t xml:space="preserve"> be financed from the 2011/12 CYP capital allocation for condition based works in schools</w:t>
      </w:r>
      <w:r w:rsidR="00073A4A">
        <w:t xml:space="preserve"> which is now underway</w:t>
      </w:r>
      <w:r>
        <w:t xml:space="preserve">.  A further £1.25 million worth of schemes have </w:t>
      </w:r>
      <w:r w:rsidR="00073A4A">
        <w:t xml:space="preserve">a </w:t>
      </w:r>
      <w:r>
        <w:t>payback in excess of 20 years and so are unlikely to ever be financially viable on their own.  This leaves schemes totalling £1.35 million.</w:t>
      </w:r>
    </w:p>
    <w:p w:rsidR="004E2087" w:rsidRDefault="004E2087"/>
    <w:p w:rsidR="00C15356" w:rsidRDefault="00C15356">
      <w:r>
        <w:t>The condition under which the loans are to be made is that the Fund will only lend a maximum of 5 times the value of the annual savings in energy arising from the works in question.</w:t>
      </w:r>
      <w:r w:rsidR="00943352">
        <w:t xml:space="preserve">  This will allow the fund to be sustained from the repayments after</w:t>
      </w:r>
      <w:r w:rsidR="00EF1231">
        <w:t xml:space="preserve"> </w:t>
      </w:r>
      <w:r w:rsidR="00943352">
        <w:t>5 years (assuming the whole fund is utilised each year).  Where the payback of a scheme exceeds 5 years the school would have to fund the bala</w:t>
      </w:r>
      <w:r w:rsidR="00EF1231">
        <w:t>nce from other sources.</w:t>
      </w:r>
    </w:p>
    <w:p w:rsidR="00EF1231" w:rsidRDefault="00EF1231"/>
    <w:p w:rsidR="00EF1231" w:rsidRDefault="00EF1231">
      <w:r>
        <w:t>Consequently of the £1.35 million, a total of £835,000 will be supported by the Fund leaving the rem</w:t>
      </w:r>
      <w:r w:rsidR="00073A4A">
        <w:t>aining £520,000 to be made up from</w:t>
      </w:r>
      <w:r>
        <w:t xml:space="preserve"> contributions </w:t>
      </w:r>
      <w:r w:rsidR="00073A4A">
        <w:t xml:space="preserve">by </w:t>
      </w:r>
      <w:r>
        <w:t xml:space="preserve">the individual </w:t>
      </w:r>
      <w:r>
        <w:lastRenderedPageBreak/>
        <w:t>schools.  This will encourage investment in the most cost effective schemes with the biggest return per £ invested.</w:t>
      </w:r>
      <w:r w:rsidR="00073A4A">
        <w:t xml:space="preserve">  Successful implementation of the identified schemes will reduce overall carbon emissions by approximately 1,070 tonnes per annum.</w:t>
      </w:r>
    </w:p>
    <w:p w:rsidR="00073A4A" w:rsidRDefault="00073A4A"/>
    <w:p w:rsidR="00EF1231" w:rsidRDefault="00EF1231" w:rsidP="00EF1231">
      <w:r>
        <w:t>The Schools' Forum has agreed to support these schemes and the proposed method of operation but as participation in the Energy Loan Fund is entirely voluntary, has asked the Energy Team to write to the schools concerned to encourage them to apply for loans to enable to the works to proceed.</w:t>
      </w:r>
    </w:p>
    <w:p w:rsidR="007B2362" w:rsidRDefault="007B2362" w:rsidP="00896F45">
      <w:pPr>
        <w:rPr>
          <w:szCs w:val="24"/>
        </w:rPr>
      </w:pPr>
    </w:p>
    <w:p w:rsidR="00E75840" w:rsidRDefault="00E75840">
      <w:pPr>
        <w:rPr>
          <w:b/>
        </w:rPr>
      </w:pPr>
      <w:r>
        <w:rPr>
          <w:b/>
        </w:rPr>
        <w:t>Consultations</w:t>
      </w:r>
    </w:p>
    <w:p w:rsidR="00E75840" w:rsidRDefault="00E75840">
      <w:pPr>
        <w:rPr>
          <w:b/>
        </w:rPr>
      </w:pPr>
    </w:p>
    <w:p w:rsidR="00E75840" w:rsidRDefault="004E39C8">
      <w:r>
        <w:t>Schools' Forum has recently been consulted on the operation of the Energy Loan Fund and has given its support for the operation as described in this report.</w:t>
      </w:r>
    </w:p>
    <w:p w:rsidR="004E2087" w:rsidRDefault="004E2087">
      <w:pPr>
        <w:rPr>
          <w:b/>
        </w:rPr>
      </w:pPr>
    </w:p>
    <w:p w:rsidR="00E75840" w:rsidRDefault="00E75840">
      <w:r>
        <w:rPr>
          <w:b/>
        </w:rPr>
        <w:t>Implications</w:t>
      </w:r>
      <w:r>
        <w:t xml:space="preserve">: </w:t>
      </w:r>
    </w:p>
    <w:p w:rsidR="00E75840" w:rsidRDefault="00E75840"/>
    <w:p w:rsidR="00E75840" w:rsidRDefault="00E75840">
      <w:r>
        <w:t>This item has the following implications, as indicated:</w:t>
      </w:r>
    </w:p>
    <w:p w:rsidR="00E75840" w:rsidRDefault="00E75840"/>
    <w:p w:rsidR="00E75840" w:rsidRPr="00092B2F" w:rsidRDefault="00E75840">
      <w:pPr>
        <w:rPr>
          <w:b/>
        </w:rPr>
      </w:pPr>
      <w:r w:rsidRPr="00092B2F">
        <w:rPr>
          <w:b/>
        </w:rPr>
        <w:t>Risk management</w:t>
      </w:r>
    </w:p>
    <w:p w:rsidR="00477928" w:rsidRDefault="00477928" w:rsidP="00C22749"/>
    <w:p w:rsidR="00477928" w:rsidRDefault="004E39C8" w:rsidP="00073A4A">
      <w:r>
        <w:t xml:space="preserve">Effective implementation of the Schools' Energy Loan Fund will assist schools in their efforts to reduce energy consumption and thereby carbon emissions.  This will in turn reduce the financial commitment required to purchase carbon allowances as part of the CRC </w:t>
      </w:r>
    </w:p>
    <w:p w:rsidR="00E75840" w:rsidRDefault="00E75840">
      <w:pPr>
        <w:pStyle w:val="Header"/>
      </w:pPr>
    </w:p>
    <w:p w:rsidR="004E39C8" w:rsidRDefault="004E39C8">
      <w:pPr>
        <w:pStyle w:val="Header"/>
      </w:pPr>
    </w:p>
    <w:p w:rsidR="00E75840" w:rsidRDefault="00E75840">
      <w:pPr>
        <w:pStyle w:val="BodyText2"/>
        <w:rPr>
          <w:rFonts w:ascii="Arial" w:hAnsi="Arial"/>
          <w:u w:val="none"/>
        </w:rPr>
      </w:pPr>
      <w:r>
        <w:rPr>
          <w:rFonts w:ascii="Arial" w:hAnsi="Arial"/>
          <w:u w:val="none"/>
        </w:rPr>
        <w:t xml:space="preserve">Any representations made to the Cabinet </w:t>
      </w:r>
      <w:r w:rsidR="00D252AC">
        <w:rPr>
          <w:rFonts w:ascii="Arial" w:hAnsi="Arial"/>
          <w:u w:val="none"/>
        </w:rPr>
        <w:t>Committee</w:t>
      </w:r>
      <w:r>
        <w:rPr>
          <w:rFonts w:ascii="Arial" w:hAnsi="Arial"/>
          <w:u w:val="none"/>
        </w:rPr>
        <w:t xml:space="preserve"> prior to the issue being considered in accordance with the Public Notice of Forward Plans</w:t>
      </w:r>
    </w:p>
    <w:p w:rsidR="00E75840" w:rsidRDefault="00E75840">
      <w:pPr>
        <w:rPr>
          <w:b/>
          <w:u w:val="single"/>
        </w:rPr>
      </w:pPr>
    </w:p>
    <w:tbl>
      <w:tblPr>
        <w:tblW w:w="0" w:type="auto"/>
        <w:tblLayout w:type="fixed"/>
        <w:tblLook w:val="000C"/>
      </w:tblPr>
      <w:tblGrid>
        <w:gridCol w:w="3510"/>
        <w:gridCol w:w="2492"/>
        <w:gridCol w:w="3178"/>
      </w:tblGrid>
      <w:tr w:rsidR="00E75840">
        <w:tblPrEx>
          <w:tblCellMar>
            <w:top w:w="0" w:type="dxa"/>
            <w:bottom w:w="0" w:type="dxa"/>
          </w:tblCellMar>
        </w:tblPrEx>
        <w:tc>
          <w:tcPr>
            <w:tcW w:w="3510" w:type="dxa"/>
          </w:tcPr>
          <w:p w:rsidR="00E75840" w:rsidRDefault="00E75840">
            <w:r>
              <w:t>Name:</w:t>
            </w:r>
          </w:p>
        </w:tc>
        <w:tc>
          <w:tcPr>
            <w:tcW w:w="2492" w:type="dxa"/>
          </w:tcPr>
          <w:p w:rsidR="00E75840" w:rsidRDefault="00E75840">
            <w:r>
              <w:t>Organisation:</w:t>
            </w:r>
          </w:p>
        </w:tc>
        <w:tc>
          <w:tcPr>
            <w:tcW w:w="3178" w:type="dxa"/>
          </w:tcPr>
          <w:p w:rsidR="00E75840" w:rsidRDefault="00E75840">
            <w:r>
              <w:t>Comments:</w:t>
            </w:r>
          </w:p>
        </w:tc>
      </w:tr>
      <w:tr w:rsidR="00E75840">
        <w:tblPrEx>
          <w:tblCellMar>
            <w:top w:w="0" w:type="dxa"/>
            <w:bottom w:w="0" w:type="dxa"/>
          </w:tblCellMar>
        </w:tblPrEx>
        <w:tc>
          <w:tcPr>
            <w:tcW w:w="3510" w:type="dxa"/>
          </w:tcPr>
          <w:p w:rsidR="00E75840" w:rsidRDefault="00E75840"/>
          <w:p w:rsidR="00E75840" w:rsidRDefault="005A4C24">
            <w:r>
              <w:t>N/A</w:t>
            </w:r>
          </w:p>
          <w:p w:rsidR="00E75840" w:rsidRDefault="00E75840"/>
        </w:tc>
        <w:tc>
          <w:tcPr>
            <w:tcW w:w="2492" w:type="dxa"/>
          </w:tcPr>
          <w:p w:rsidR="00E75840" w:rsidRDefault="00E75840"/>
          <w:p w:rsidR="00E75840" w:rsidRDefault="00E75840"/>
        </w:tc>
        <w:tc>
          <w:tcPr>
            <w:tcW w:w="3178" w:type="dxa"/>
          </w:tcPr>
          <w:p w:rsidR="00E75840" w:rsidRDefault="00E75840"/>
          <w:p w:rsidR="00E75840" w:rsidRDefault="00E75840"/>
        </w:tc>
      </w:tr>
    </w:tbl>
    <w:p w:rsidR="00E75840" w:rsidRDefault="00E75840"/>
    <w:p w:rsidR="00E75840" w:rsidRDefault="00E75840">
      <w:pPr>
        <w:pStyle w:val="Heading5"/>
        <w:rPr>
          <w:rFonts w:ascii="Arial" w:hAnsi="Arial"/>
          <w:u w:val="none"/>
        </w:rPr>
      </w:pPr>
      <w:r>
        <w:rPr>
          <w:rFonts w:ascii="Arial" w:hAnsi="Arial"/>
          <w:u w:val="none"/>
        </w:rPr>
        <w:t>Local Government (Access to Information) Act 1985</w:t>
      </w:r>
    </w:p>
    <w:p w:rsidR="00E75840" w:rsidRDefault="00E75840">
      <w:pPr>
        <w:pStyle w:val="Heading5"/>
        <w:rPr>
          <w:rFonts w:ascii="Arial" w:hAnsi="Arial"/>
          <w:u w:val="none"/>
        </w:rPr>
      </w:pPr>
      <w:r>
        <w:rPr>
          <w:rFonts w:ascii="Arial" w:hAnsi="Arial"/>
          <w:u w:val="none"/>
        </w:rPr>
        <w:t>List of Background Papers</w:t>
      </w:r>
    </w:p>
    <w:p w:rsidR="00E75840" w:rsidRDefault="00E75840"/>
    <w:tbl>
      <w:tblPr>
        <w:tblW w:w="0" w:type="auto"/>
        <w:tblLayout w:type="fixed"/>
        <w:tblLook w:val="000C"/>
      </w:tblPr>
      <w:tblGrid>
        <w:gridCol w:w="3510"/>
        <w:gridCol w:w="2492"/>
        <w:gridCol w:w="3178"/>
      </w:tblGrid>
      <w:tr w:rsidR="00E75840">
        <w:tblPrEx>
          <w:tblCellMar>
            <w:top w:w="0" w:type="dxa"/>
            <w:bottom w:w="0" w:type="dxa"/>
          </w:tblCellMar>
        </w:tblPrEx>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E75840">
        <w:tblPrEx>
          <w:tblCellMar>
            <w:top w:w="0" w:type="dxa"/>
            <w:bottom w:w="0" w:type="dxa"/>
          </w:tblCellMar>
        </w:tblPrEx>
        <w:tc>
          <w:tcPr>
            <w:tcW w:w="3510" w:type="dxa"/>
          </w:tcPr>
          <w:p w:rsidR="00E75840" w:rsidRPr="00073A4A" w:rsidRDefault="00E75840"/>
          <w:p w:rsidR="00073A4A" w:rsidRPr="00073A4A" w:rsidRDefault="00073A4A" w:rsidP="00073A4A">
            <w:pPr>
              <w:rPr>
                <w:bCs/>
              </w:rPr>
            </w:pPr>
            <w:r>
              <w:rPr>
                <w:bCs/>
              </w:rPr>
              <w:t xml:space="preserve">Schools' Forum - </w:t>
            </w:r>
            <w:r w:rsidRPr="00073A4A">
              <w:rPr>
                <w:bCs/>
              </w:rPr>
              <w:t>Carbon Reduction Commitment – Proposals for Operation of Energy Loan Fund</w:t>
            </w:r>
          </w:p>
          <w:p w:rsidR="00E75840" w:rsidRPr="00073A4A" w:rsidRDefault="00E75840"/>
        </w:tc>
        <w:tc>
          <w:tcPr>
            <w:tcW w:w="2492" w:type="dxa"/>
          </w:tcPr>
          <w:p w:rsidR="00E75840" w:rsidRDefault="00E75840">
            <w:pPr>
              <w:rPr>
                <w:b/>
                <w:bCs/>
              </w:rPr>
            </w:pPr>
          </w:p>
          <w:p w:rsidR="00073A4A" w:rsidRPr="00073A4A" w:rsidRDefault="00073A4A" w:rsidP="00073A4A">
            <w:r w:rsidRPr="00073A4A">
              <w:rPr>
                <w:bCs/>
              </w:rPr>
              <w:t>20</w:t>
            </w:r>
            <w:r w:rsidRPr="00073A4A">
              <w:rPr>
                <w:bCs/>
                <w:vertAlign w:val="superscript"/>
              </w:rPr>
              <w:t>th</w:t>
            </w:r>
            <w:r w:rsidRPr="00073A4A">
              <w:rPr>
                <w:bCs/>
              </w:rPr>
              <w:t xml:space="preserve"> Sept</w:t>
            </w:r>
            <w:r>
              <w:rPr>
                <w:bCs/>
              </w:rPr>
              <w:t>.</w:t>
            </w:r>
            <w:r w:rsidRPr="00073A4A">
              <w:rPr>
                <w:bCs/>
              </w:rPr>
              <w:t xml:space="preserve"> 2010</w:t>
            </w:r>
          </w:p>
        </w:tc>
        <w:tc>
          <w:tcPr>
            <w:tcW w:w="3178" w:type="dxa"/>
          </w:tcPr>
          <w:p w:rsidR="00E75840" w:rsidRDefault="00E75840"/>
          <w:p w:rsidR="00E75840" w:rsidRDefault="00073A4A">
            <w:r>
              <w:t>Matthew Tidmarsh/OCE/</w:t>
            </w:r>
          </w:p>
          <w:p w:rsidR="00073A4A" w:rsidRDefault="00073A4A">
            <w:r>
              <w:t>01772 533243</w:t>
            </w:r>
          </w:p>
          <w:p w:rsidR="00E75840" w:rsidRDefault="00E75840"/>
        </w:tc>
      </w:tr>
      <w:tr w:rsidR="00E75840">
        <w:tblPrEx>
          <w:tblCellMar>
            <w:top w:w="0" w:type="dxa"/>
            <w:bottom w:w="0" w:type="dxa"/>
          </w:tblCellMar>
        </w:tblPrEx>
        <w:trPr>
          <w:cantSplit/>
        </w:trPr>
        <w:tc>
          <w:tcPr>
            <w:tcW w:w="9180" w:type="dxa"/>
            <w:gridSpan w:val="3"/>
          </w:tcPr>
          <w:p w:rsidR="00E75840" w:rsidRDefault="00E75840"/>
          <w:p w:rsidR="00E75840" w:rsidRDefault="00E75840">
            <w:r>
              <w:t>Reason for inclusion in Part II, if appropriate</w:t>
            </w:r>
          </w:p>
          <w:p w:rsidR="00E75840" w:rsidRDefault="00E75840"/>
          <w:p w:rsidR="00E75840" w:rsidRDefault="003E6773" w:rsidP="00073A4A">
            <w:r>
              <w:t>N/A</w:t>
            </w:r>
          </w:p>
        </w:tc>
      </w:tr>
    </w:tbl>
    <w:p w:rsidR="00A94A10" w:rsidRDefault="00A94A10" w:rsidP="00FE0229"/>
    <w:sectPr w:rsidR="00A94A10" w:rsidSect="00AC242E">
      <w:footerReference w:type="default" r:id="rId9"/>
      <w:footerReference w:type="first" r:id="rId10"/>
      <w:type w:val="continuous"/>
      <w:pgSz w:w="11907" w:h="16840" w:code="9"/>
      <w:pgMar w:top="1134" w:right="1440" w:bottom="1440" w:left="1440" w:header="720" w:footer="3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31" w:rsidRDefault="007D0431">
      <w:r>
        <w:separator/>
      </w:r>
    </w:p>
  </w:endnote>
  <w:endnote w:type="continuationSeparator" w:id="0">
    <w:p w:rsidR="007D0431" w:rsidRDefault="007D0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073A4A">
      <w:tblPrEx>
        <w:tblCellMar>
          <w:top w:w="0" w:type="dxa"/>
          <w:bottom w:w="0" w:type="dxa"/>
        </w:tblCellMar>
      </w:tblPrEx>
      <w:tc>
        <w:tcPr>
          <w:tcW w:w="9243" w:type="dxa"/>
          <w:tcBorders>
            <w:top w:val="nil"/>
            <w:left w:val="nil"/>
            <w:bottom w:val="nil"/>
            <w:right w:val="nil"/>
          </w:tcBorders>
        </w:tcPr>
        <w:p w:rsidR="00073A4A" w:rsidRDefault="00073A4A">
          <w:pPr>
            <w:pStyle w:val="Footer"/>
            <w:tabs>
              <w:tab w:val="clear" w:pos="4153"/>
            </w:tabs>
            <w:ind w:right="-45"/>
            <w:jc w:val="right"/>
          </w:pPr>
        </w:p>
      </w:tc>
    </w:tr>
  </w:tbl>
  <w:p w:rsidR="00073A4A" w:rsidRDefault="00073A4A">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073A4A">
      <w:tc>
        <w:tcPr>
          <w:tcW w:w="9243" w:type="dxa"/>
          <w:tcBorders>
            <w:top w:val="nil"/>
            <w:left w:val="nil"/>
            <w:bottom w:val="nil"/>
            <w:right w:val="nil"/>
          </w:tcBorders>
        </w:tcPr>
        <w:p w:rsidR="00073A4A" w:rsidRDefault="00073A4A" w:rsidP="00912981">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4 65MM" style="width:99pt;height:48.75pt;visibility:visible" wrapcoords="-436 0 -436 21030 21382 21030 21382 0 -436 0" o:allowoverlap="f">
                <v:imagedata r:id="rId1" o:title=""/>
              </v:shape>
            </w:pict>
          </w:r>
        </w:p>
      </w:tc>
    </w:tr>
  </w:tbl>
  <w:p w:rsidR="00073A4A" w:rsidRDefault="0007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31" w:rsidRDefault="007D0431">
      <w:r>
        <w:separator/>
      </w:r>
    </w:p>
  </w:footnote>
  <w:footnote w:type="continuationSeparator" w:id="0">
    <w:p w:rsidR="007D0431" w:rsidRDefault="007D0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3F1"/>
    <w:rsid w:val="000357E6"/>
    <w:rsid w:val="00057016"/>
    <w:rsid w:val="00073A4A"/>
    <w:rsid w:val="00074FD3"/>
    <w:rsid w:val="000B227F"/>
    <w:rsid w:val="000C3600"/>
    <w:rsid w:val="000C771D"/>
    <w:rsid w:val="001037A5"/>
    <w:rsid w:val="0013220F"/>
    <w:rsid w:val="00155FE7"/>
    <w:rsid w:val="00156976"/>
    <w:rsid w:val="0016094C"/>
    <w:rsid w:val="001661C7"/>
    <w:rsid w:val="001C3A8C"/>
    <w:rsid w:val="00200F4D"/>
    <w:rsid w:val="0023787E"/>
    <w:rsid w:val="00282E08"/>
    <w:rsid w:val="00286888"/>
    <w:rsid w:val="002F5023"/>
    <w:rsid w:val="002F660F"/>
    <w:rsid w:val="003B2BC6"/>
    <w:rsid w:val="003B2EC5"/>
    <w:rsid w:val="003C7114"/>
    <w:rsid w:val="003E6773"/>
    <w:rsid w:val="003F396E"/>
    <w:rsid w:val="00405D71"/>
    <w:rsid w:val="00413B7E"/>
    <w:rsid w:val="004269F5"/>
    <w:rsid w:val="00477928"/>
    <w:rsid w:val="004A3D8D"/>
    <w:rsid w:val="004E2087"/>
    <w:rsid w:val="004E39C8"/>
    <w:rsid w:val="004F6965"/>
    <w:rsid w:val="00546078"/>
    <w:rsid w:val="005616D2"/>
    <w:rsid w:val="005A428E"/>
    <w:rsid w:val="005A4C24"/>
    <w:rsid w:val="005D7055"/>
    <w:rsid w:val="00615A87"/>
    <w:rsid w:val="00674718"/>
    <w:rsid w:val="006B436C"/>
    <w:rsid w:val="006D141D"/>
    <w:rsid w:val="006D39B3"/>
    <w:rsid w:val="006D62BD"/>
    <w:rsid w:val="006E4B95"/>
    <w:rsid w:val="006F7635"/>
    <w:rsid w:val="00707D99"/>
    <w:rsid w:val="00723327"/>
    <w:rsid w:val="00753A35"/>
    <w:rsid w:val="007708A6"/>
    <w:rsid w:val="007B2362"/>
    <w:rsid w:val="007D0431"/>
    <w:rsid w:val="007F0002"/>
    <w:rsid w:val="00812D4B"/>
    <w:rsid w:val="00867FA4"/>
    <w:rsid w:val="00874FFE"/>
    <w:rsid w:val="0089356C"/>
    <w:rsid w:val="00896F45"/>
    <w:rsid w:val="008D3392"/>
    <w:rsid w:val="008E6366"/>
    <w:rsid w:val="00903B12"/>
    <w:rsid w:val="00912981"/>
    <w:rsid w:val="00933531"/>
    <w:rsid w:val="00943352"/>
    <w:rsid w:val="009501B6"/>
    <w:rsid w:val="00994981"/>
    <w:rsid w:val="00A05D85"/>
    <w:rsid w:val="00A662F5"/>
    <w:rsid w:val="00A940F9"/>
    <w:rsid w:val="00A94A10"/>
    <w:rsid w:val="00AC242E"/>
    <w:rsid w:val="00AD7D4F"/>
    <w:rsid w:val="00B35053"/>
    <w:rsid w:val="00B64548"/>
    <w:rsid w:val="00B67AC2"/>
    <w:rsid w:val="00B758AD"/>
    <w:rsid w:val="00B84D79"/>
    <w:rsid w:val="00BA538C"/>
    <w:rsid w:val="00BB21D7"/>
    <w:rsid w:val="00BD0A45"/>
    <w:rsid w:val="00C15356"/>
    <w:rsid w:val="00C22749"/>
    <w:rsid w:val="00CE7DA6"/>
    <w:rsid w:val="00D252AC"/>
    <w:rsid w:val="00E21AF8"/>
    <w:rsid w:val="00E75840"/>
    <w:rsid w:val="00E95B30"/>
    <w:rsid w:val="00EF1231"/>
    <w:rsid w:val="00F12BA1"/>
    <w:rsid w:val="00F15BE3"/>
    <w:rsid w:val="00F829F7"/>
    <w:rsid w:val="00FA066F"/>
    <w:rsid w:val="00FA3919"/>
    <w:rsid w:val="00FA6D7F"/>
    <w:rsid w:val="00FB40B1"/>
    <w:rsid w:val="00FE02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B2EC5"/>
    <w:rPr>
      <w:color w:val="0000FF"/>
      <w:u w:val="single"/>
    </w:rPr>
  </w:style>
</w:styles>
</file>

<file path=word/webSettings.xml><?xml version="1.0" encoding="utf-8"?>
<w:webSettings xmlns:r="http://schemas.openxmlformats.org/officeDocument/2006/relationships" xmlns:w="http://schemas.openxmlformats.org/wordprocessingml/2006/main">
  <w:divs>
    <w:div w:id="20110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tidmarsh@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DAFD-5149-4A75-8D73-23535DF9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4</TotalTime>
  <Pages>2</Pages>
  <Words>579</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3772</CharactersWithSpaces>
  <SharedDoc>false</SharedDoc>
  <HLinks>
    <vt:vector size="6" baseType="variant">
      <vt:variant>
        <vt:i4>4128796</vt:i4>
      </vt:variant>
      <vt:variant>
        <vt:i4>0</vt:i4>
      </vt:variant>
      <vt:variant>
        <vt:i4>0</vt:i4>
      </vt:variant>
      <vt:variant>
        <vt:i4>5</vt:i4>
      </vt:variant>
      <vt:variant>
        <vt:lpwstr>mailto:matthew.tidmarsh@lancashire.gov.uk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04.08.2009</dc:description>
  <cp:lastModifiedBy>amilroy001</cp:lastModifiedBy>
  <cp:revision>2</cp:revision>
  <cp:lastPrinted>2011-09-01T09:29:00Z</cp:lastPrinted>
  <dcterms:created xsi:type="dcterms:W3CDTF">2011-10-03T15:14:00Z</dcterms:created>
  <dcterms:modified xsi:type="dcterms:W3CDTF">2011-10-03T15:14:00Z</dcterms:modified>
</cp:coreProperties>
</file>