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69" w:rsidRDefault="00F863F2" w:rsidP="00F863F2">
      <w:pPr>
        <w:rPr>
          <w:b/>
        </w:rPr>
      </w:pPr>
      <w:r>
        <w:rPr>
          <w:b/>
        </w:rPr>
        <w:t>Cabinet Committee on Perfo</w:t>
      </w:r>
      <w:r w:rsidR="00241DD7">
        <w:rPr>
          <w:b/>
        </w:rPr>
        <w:t>rmance Improvement</w:t>
      </w:r>
    </w:p>
    <w:p w:rsidR="00F863F2" w:rsidRPr="00F80A38" w:rsidRDefault="00F80A38" w:rsidP="00F863F2">
      <w:r w:rsidRPr="00F80A38">
        <w:t xml:space="preserve">Meeting to be held on </w:t>
      </w:r>
      <w:r w:rsidR="000E6E79" w:rsidRPr="00F80A38">
        <w:t>4 February</w:t>
      </w:r>
      <w:r w:rsidR="00304A47" w:rsidRPr="00F80A38">
        <w:t xml:space="preserve"> </w:t>
      </w:r>
      <w:r w:rsidR="00D64F69" w:rsidRPr="00F80A38">
        <w:t>201</w:t>
      </w:r>
      <w:r w:rsidR="000E6E79" w:rsidRPr="00F80A38">
        <w:t>5</w:t>
      </w:r>
    </w:p>
    <w:p w:rsidR="00F863F2" w:rsidRDefault="00F863F2" w:rsidP="00F863F2"/>
    <w:p w:rsidR="003E6A45" w:rsidRDefault="003E6A45"/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</w:tblGrid>
      <w:tr w:rsidR="003E6A45">
        <w:tc>
          <w:tcPr>
            <w:tcW w:w="3260" w:type="dxa"/>
          </w:tcPr>
          <w:p w:rsidR="003E6A45" w:rsidRDefault="003E6A45">
            <w:pPr>
              <w:pStyle w:val="BodyText"/>
            </w:pPr>
            <w:r>
              <w:t>Electoral Division affected:</w:t>
            </w:r>
          </w:p>
          <w:p w:rsidR="003E6A45" w:rsidRPr="00F863F2" w:rsidRDefault="00F863F2">
            <w:r w:rsidRPr="00F863F2">
              <w:t>All</w:t>
            </w:r>
          </w:p>
        </w:tc>
      </w:tr>
    </w:tbl>
    <w:p w:rsidR="003E6A45" w:rsidRDefault="003E6A45">
      <w:pPr>
        <w:rPr>
          <w:u w:val="single"/>
        </w:rPr>
      </w:pPr>
    </w:p>
    <w:p w:rsidR="00F863F2" w:rsidRDefault="00AA7963" w:rsidP="00F863F2">
      <w:pPr>
        <w:rPr>
          <w:b/>
        </w:rPr>
      </w:pPr>
      <w:r>
        <w:rPr>
          <w:b/>
        </w:rPr>
        <w:t xml:space="preserve">Corporate </w:t>
      </w:r>
      <w:r w:rsidR="00CB7827">
        <w:rPr>
          <w:b/>
        </w:rPr>
        <w:t>Human Resource</w:t>
      </w:r>
      <w:r w:rsidR="001D78D1">
        <w:rPr>
          <w:b/>
        </w:rPr>
        <w:t>s</w:t>
      </w:r>
      <w:r w:rsidR="00CB7827">
        <w:rPr>
          <w:b/>
        </w:rPr>
        <w:t xml:space="preserve"> </w:t>
      </w:r>
      <w:r w:rsidR="009C6DB5">
        <w:rPr>
          <w:b/>
        </w:rPr>
        <w:t>-</w:t>
      </w:r>
      <w:r w:rsidR="001D78D1">
        <w:rPr>
          <w:b/>
        </w:rPr>
        <w:t xml:space="preserve"> Health Check </w:t>
      </w:r>
      <w:r w:rsidR="006247C6">
        <w:rPr>
          <w:b/>
        </w:rPr>
        <w:t>Report</w:t>
      </w:r>
    </w:p>
    <w:p w:rsidR="00F863F2" w:rsidRPr="005577F8" w:rsidRDefault="00F863F2" w:rsidP="00F863F2">
      <w:r w:rsidRPr="005577F8">
        <w:t>(Appendix 'A' refers)</w:t>
      </w:r>
    </w:p>
    <w:p w:rsidR="003E6A45" w:rsidRPr="005819C8" w:rsidRDefault="003E6A45"/>
    <w:p w:rsidR="003E6A45" w:rsidRDefault="003E6A45">
      <w:r>
        <w:t>Contact for further information:</w:t>
      </w:r>
    </w:p>
    <w:p w:rsidR="00F863F2" w:rsidRDefault="006F680C" w:rsidP="00F863F2">
      <w:pPr>
        <w:ind w:right="-873"/>
      </w:pPr>
      <w:r>
        <w:t>Katie Dunne</w:t>
      </w:r>
      <w:r w:rsidR="00826154">
        <w:t xml:space="preserve">, </w:t>
      </w:r>
      <w:r w:rsidR="009C6DB5">
        <w:t>(</w:t>
      </w:r>
      <w:r w:rsidR="00826154">
        <w:t>01772</w:t>
      </w:r>
      <w:r w:rsidR="009C6DB5">
        <w:t>)</w:t>
      </w:r>
      <w:r w:rsidR="00826154">
        <w:t xml:space="preserve"> 53</w:t>
      </w:r>
      <w:r w:rsidR="00CB7827">
        <w:t>5</w:t>
      </w:r>
      <w:r>
        <w:t>787</w:t>
      </w:r>
      <w:r w:rsidR="00826154">
        <w:t xml:space="preserve">, </w:t>
      </w:r>
      <w:r w:rsidR="00F80A38">
        <w:t>Office of the Chief Executive</w:t>
      </w:r>
    </w:p>
    <w:p w:rsidR="00CB7827" w:rsidRDefault="009C6DB5" w:rsidP="00F863F2">
      <w:pPr>
        <w:ind w:right="-873"/>
      </w:pPr>
      <w:hyperlink r:id="rId8" w:history="1">
        <w:r w:rsidRPr="009D60AA">
          <w:rPr>
            <w:rStyle w:val="Hyperlink"/>
          </w:rPr>
          <w:t>katie.dunne@lancashire.gov.uk</w:t>
        </w:r>
      </w:hyperlink>
    </w:p>
    <w:p w:rsidR="005F5DCD" w:rsidRDefault="005F5DCD" w:rsidP="00F863F2">
      <w:pPr>
        <w:ind w:right="-873"/>
      </w:pPr>
    </w:p>
    <w:tbl>
      <w:tblPr>
        <w:tblpPr w:leftFromText="180" w:rightFromText="180" w:vertAnchor="text" w:horzAnchor="margin" w:tblpY="1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F046B1" w:rsidTr="00F046B1">
        <w:tc>
          <w:tcPr>
            <w:tcW w:w="9180" w:type="dxa"/>
          </w:tcPr>
          <w:p w:rsidR="00F046B1" w:rsidRDefault="00F046B1" w:rsidP="005F5DCD">
            <w:pPr>
              <w:pStyle w:val="Heading6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Executive Summary</w:t>
            </w:r>
          </w:p>
          <w:p w:rsidR="00F046B1" w:rsidRDefault="00F046B1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This </w:t>
            </w:r>
            <w:r w:rsidR="00B65066">
              <w:t>Corporate Human R</w:t>
            </w:r>
            <w:r w:rsidR="001470EC">
              <w:t xml:space="preserve">esources 'Health Check' </w:t>
            </w:r>
            <w:r>
              <w:t xml:space="preserve">report </w:t>
            </w:r>
            <w:r w:rsidR="001470EC">
              <w:t xml:space="preserve">provides information across the authority against </w:t>
            </w:r>
            <w:r>
              <w:t>key metrics regarding workforce information for 201</w:t>
            </w:r>
            <w:r w:rsidR="00DC09B5">
              <w:t>3</w:t>
            </w:r>
            <w:r>
              <w:t>/1</w:t>
            </w:r>
            <w:r w:rsidR="00DC09B5">
              <w:t>4</w:t>
            </w:r>
            <w:r>
              <w:t xml:space="preserve"> and</w:t>
            </w:r>
            <w:r w:rsidR="00AA43FD">
              <w:t xml:space="preserve"> </w:t>
            </w:r>
            <w:r w:rsidR="00006E67">
              <w:t>3</w:t>
            </w:r>
            <w:r w:rsidR="00006E67" w:rsidRPr="00006E67">
              <w:rPr>
                <w:vertAlign w:val="superscript"/>
              </w:rPr>
              <w:t>rd</w:t>
            </w:r>
            <w:r w:rsidR="00006E67">
              <w:t xml:space="preserve"> quarter</w:t>
            </w:r>
            <w:r w:rsidR="00426D61">
              <w:t xml:space="preserve"> for year </w:t>
            </w:r>
            <w:r>
              <w:t>201</w:t>
            </w:r>
            <w:r w:rsidR="00DC09B5">
              <w:t>4</w:t>
            </w:r>
            <w:r>
              <w:t>/1</w:t>
            </w:r>
            <w:r w:rsidR="00DC09B5">
              <w:t>5</w:t>
            </w:r>
            <w:r>
              <w:t>.</w:t>
            </w:r>
          </w:p>
          <w:p w:rsidR="00C15F61" w:rsidRDefault="00C15F61" w:rsidP="005F5DCD">
            <w:pPr>
              <w:jc w:val="both"/>
            </w:pPr>
          </w:p>
          <w:p w:rsidR="001470EC" w:rsidRDefault="00B65066" w:rsidP="005F5DCD">
            <w:pPr>
              <w:jc w:val="both"/>
            </w:pPr>
            <w:r>
              <w:t>The C</w:t>
            </w:r>
            <w:r w:rsidR="001470EC">
              <w:t xml:space="preserve">orporate </w:t>
            </w:r>
            <w:r>
              <w:t>Human R</w:t>
            </w:r>
            <w:r w:rsidR="001470EC">
              <w:t>esources key metrics r</w:t>
            </w:r>
            <w:r w:rsidR="00A16B11">
              <w:t>egularly</w:t>
            </w:r>
            <w:r w:rsidR="001470EC">
              <w:t xml:space="preserve"> </w:t>
            </w:r>
            <w:r>
              <w:t>monitor</w:t>
            </w:r>
            <w:r w:rsidR="001470EC">
              <w:t xml:space="preserve"> </w:t>
            </w:r>
            <w:r>
              <w:t>and report</w:t>
            </w:r>
            <w:r w:rsidR="001470EC">
              <w:t xml:space="preserve"> </w:t>
            </w:r>
            <w:r>
              <w:t xml:space="preserve">against </w:t>
            </w:r>
            <w:r w:rsidR="003D6B66">
              <w:t xml:space="preserve">workforce data </w:t>
            </w:r>
            <w:r w:rsidR="001470EC">
              <w:t>includ</w:t>
            </w:r>
            <w:r w:rsidR="003D6B66">
              <w:t>ing:</w:t>
            </w:r>
            <w:r w:rsidR="001470EC">
              <w:t xml:space="preserve"> the numbers of starters and leavers; reasons for leaving;</w:t>
            </w:r>
            <w:r>
              <w:t xml:space="preserve"> secondment</w:t>
            </w:r>
            <w:r w:rsidR="001470EC">
              <w:t xml:space="preserve"> and redeployment activity; vacancy numbers and recruitment costs.</w:t>
            </w:r>
          </w:p>
          <w:p w:rsidR="001470EC" w:rsidRDefault="001470EC" w:rsidP="005F5DCD">
            <w:pPr>
              <w:jc w:val="both"/>
            </w:pPr>
          </w:p>
          <w:p w:rsidR="007F0113" w:rsidRDefault="007F0113" w:rsidP="005F5DCD">
            <w:pPr>
              <w:jc w:val="both"/>
            </w:pPr>
            <w:r>
              <w:t xml:space="preserve">The </w:t>
            </w:r>
            <w:r w:rsidR="00A27A80">
              <w:t>data</w:t>
            </w:r>
            <w:r>
              <w:t xml:space="preserve"> </w:t>
            </w:r>
            <w:r w:rsidR="001470EC">
              <w:t xml:space="preserve">highlights </w:t>
            </w:r>
            <w:r>
              <w:t>that</w:t>
            </w:r>
            <w:r w:rsidR="003D6B66">
              <w:t xml:space="preserve"> in the </w:t>
            </w:r>
            <w:r w:rsidR="00006E67">
              <w:t>3</w:t>
            </w:r>
            <w:r w:rsidR="00006E67" w:rsidRPr="00006E67">
              <w:rPr>
                <w:vertAlign w:val="superscript"/>
              </w:rPr>
              <w:t>rd</w:t>
            </w:r>
            <w:r w:rsidR="00006E67">
              <w:t xml:space="preserve"> </w:t>
            </w:r>
            <w:r w:rsidR="003D6B66">
              <w:t>quarter of 2014/15</w:t>
            </w:r>
            <w:r w:rsidR="007B3FFE">
              <w:t>:</w:t>
            </w:r>
          </w:p>
          <w:p w:rsidR="007F0113" w:rsidRDefault="007F0113" w:rsidP="005F5DCD">
            <w:pPr>
              <w:jc w:val="both"/>
            </w:pPr>
          </w:p>
          <w:p w:rsidR="00B32938" w:rsidRDefault="007B3FFE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More employees are </w:t>
            </w:r>
            <w:r w:rsidR="00006E67">
              <w:rPr>
                <w:rFonts w:cs="Arial"/>
                <w:szCs w:val="24"/>
              </w:rPr>
              <w:t>starting</w:t>
            </w:r>
            <w:r w:rsidR="00DC09B5">
              <w:rPr>
                <w:rFonts w:cs="Arial"/>
                <w:szCs w:val="24"/>
              </w:rPr>
              <w:t xml:space="preserve"> the organisation than</w:t>
            </w:r>
            <w:r>
              <w:rPr>
                <w:rFonts w:cs="Arial"/>
                <w:szCs w:val="24"/>
              </w:rPr>
              <w:t xml:space="preserve"> </w:t>
            </w:r>
            <w:r w:rsidR="00006E67">
              <w:rPr>
                <w:rFonts w:cs="Arial"/>
                <w:szCs w:val="24"/>
              </w:rPr>
              <w:t>leaving</w:t>
            </w:r>
            <w:r w:rsidR="00C1452D">
              <w:rPr>
                <w:rFonts w:cs="Arial"/>
                <w:szCs w:val="24"/>
              </w:rPr>
              <w:t>.</w:t>
            </w:r>
          </w:p>
          <w:p w:rsidR="00AA43FD" w:rsidRPr="005F5DCD" w:rsidRDefault="00AA43F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starters has </w:t>
            </w:r>
            <w:r w:rsidR="00236429">
              <w:rPr>
                <w:rFonts w:cs="Arial"/>
                <w:szCs w:val="24"/>
              </w:rPr>
              <w:t>increased</w:t>
            </w:r>
            <w:r w:rsidRPr="005F5DCD">
              <w:rPr>
                <w:rFonts w:cs="Arial"/>
                <w:szCs w:val="24"/>
              </w:rPr>
              <w:t xml:space="preserve"> by </w:t>
            </w:r>
            <w:r w:rsidR="0081416E">
              <w:rPr>
                <w:rFonts w:cs="Arial"/>
                <w:szCs w:val="24"/>
              </w:rPr>
              <w:t>9.78</w:t>
            </w:r>
            <w:r w:rsidR="00EC5E33">
              <w:rPr>
                <w:rFonts w:cs="Arial"/>
                <w:szCs w:val="24"/>
              </w:rPr>
              <w:t xml:space="preserve">% in quarter </w:t>
            </w:r>
            <w:r w:rsidR="00006E67">
              <w:rPr>
                <w:rFonts w:cs="Arial"/>
                <w:szCs w:val="24"/>
              </w:rPr>
              <w:t>3</w:t>
            </w:r>
            <w:r w:rsidR="00872253">
              <w:rPr>
                <w:rFonts w:cs="Arial"/>
                <w:szCs w:val="24"/>
              </w:rPr>
              <w:t xml:space="preserve"> of 2014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C1452D" w:rsidRDefault="00AA43F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leavers has </w:t>
            </w:r>
            <w:r w:rsidR="00872253">
              <w:rPr>
                <w:rFonts w:cs="Arial"/>
                <w:szCs w:val="24"/>
              </w:rPr>
              <w:t>reduced</w:t>
            </w:r>
            <w:r w:rsidRPr="005F5DCD">
              <w:rPr>
                <w:rFonts w:cs="Arial"/>
                <w:szCs w:val="24"/>
              </w:rPr>
              <w:t xml:space="preserve"> by </w:t>
            </w:r>
            <w:r w:rsidR="0081416E">
              <w:rPr>
                <w:rFonts w:cs="Arial"/>
                <w:szCs w:val="24"/>
              </w:rPr>
              <w:t>42.11</w:t>
            </w:r>
            <w:r w:rsidRPr="005F5DCD">
              <w:rPr>
                <w:rFonts w:cs="Arial"/>
                <w:szCs w:val="24"/>
              </w:rPr>
              <w:t xml:space="preserve">% in </w:t>
            </w:r>
            <w:r w:rsidR="00EC5E33">
              <w:rPr>
                <w:rFonts w:cs="Arial"/>
                <w:szCs w:val="24"/>
              </w:rPr>
              <w:t xml:space="preserve">quarter </w:t>
            </w:r>
            <w:r w:rsidR="00006E67">
              <w:rPr>
                <w:rFonts w:cs="Arial"/>
                <w:szCs w:val="24"/>
              </w:rPr>
              <w:t>3</w:t>
            </w:r>
            <w:r w:rsidR="00872253">
              <w:rPr>
                <w:rFonts w:cs="Arial"/>
                <w:szCs w:val="24"/>
              </w:rPr>
              <w:t xml:space="preserve"> of </w:t>
            </w:r>
            <w:r w:rsidRPr="005F5DCD">
              <w:rPr>
                <w:rFonts w:cs="Arial"/>
                <w:szCs w:val="24"/>
              </w:rPr>
              <w:t>201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C843EF" w:rsidRPr="005F5DCD" w:rsidRDefault="00C843EF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Turnover has fallen from 1</w:t>
            </w:r>
            <w:r w:rsidR="00A76024">
              <w:rPr>
                <w:rFonts w:cs="Arial"/>
                <w:szCs w:val="24"/>
              </w:rPr>
              <w:t>9</w:t>
            </w:r>
            <w:r>
              <w:rPr>
                <w:rFonts w:cs="Arial"/>
                <w:szCs w:val="24"/>
              </w:rPr>
              <w:t xml:space="preserve">% in the </w:t>
            </w:r>
            <w:r w:rsidR="00A76024">
              <w:rPr>
                <w:rFonts w:cs="Arial"/>
                <w:szCs w:val="24"/>
              </w:rPr>
              <w:t xml:space="preserve">second </w:t>
            </w:r>
            <w:r>
              <w:rPr>
                <w:rFonts w:cs="Arial"/>
                <w:szCs w:val="24"/>
              </w:rPr>
              <w:t>quarter to 9% in the third quarter of 2014/15.</w:t>
            </w:r>
          </w:p>
          <w:p w:rsidR="007B3FFE" w:rsidRDefault="00C1452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F5DCD">
              <w:rPr>
                <w:rFonts w:cs="Arial"/>
                <w:szCs w:val="24"/>
              </w:rPr>
              <w:t xml:space="preserve">The number of recruitment adverts has </w:t>
            </w:r>
            <w:r w:rsidR="00872253">
              <w:rPr>
                <w:rFonts w:cs="Arial"/>
                <w:szCs w:val="24"/>
              </w:rPr>
              <w:t>in</w:t>
            </w:r>
            <w:r w:rsidRPr="005F5DCD">
              <w:rPr>
                <w:rFonts w:cs="Arial"/>
                <w:szCs w:val="24"/>
              </w:rPr>
              <w:t xml:space="preserve">creased by </w:t>
            </w:r>
            <w:r w:rsidR="0081416E">
              <w:rPr>
                <w:rFonts w:cs="Arial"/>
                <w:szCs w:val="24"/>
              </w:rPr>
              <w:t>49.53</w:t>
            </w:r>
            <w:r w:rsidRPr="005F5DCD">
              <w:rPr>
                <w:rFonts w:cs="Arial"/>
                <w:szCs w:val="24"/>
              </w:rPr>
              <w:t>% in</w:t>
            </w:r>
            <w:r w:rsidR="006E38F3">
              <w:rPr>
                <w:rFonts w:cs="Arial"/>
                <w:szCs w:val="24"/>
              </w:rPr>
              <w:t xml:space="preserve"> quarter </w:t>
            </w:r>
            <w:r w:rsidR="00236429">
              <w:rPr>
                <w:rFonts w:cs="Arial"/>
                <w:szCs w:val="24"/>
              </w:rPr>
              <w:t>3</w:t>
            </w:r>
            <w:r w:rsidR="00872253">
              <w:rPr>
                <w:rFonts w:cs="Arial"/>
                <w:szCs w:val="24"/>
              </w:rPr>
              <w:t xml:space="preserve"> of</w:t>
            </w:r>
            <w:r w:rsidRPr="005F5DCD">
              <w:rPr>
                <w:rFonts w:cs="Arial"/>
                <w:szCs w:val="24"/>
              </w:rPr>
              <w:t xml:space="preserve"> 201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5</w:t>
            </w:r>
            <w:r w:rsidRPr="005F5DCD">
              <w:rPr>
                <w:rFonts w:cs="Arial"/>
                <w:szCs w:val="24"/>
              </w:rPr>
              <w:t xml:space="preserve"> compared with 201</w:t>
            </w:r>
            <w:r w:rsidR="00872253">
              <w:rPr>
                <w:rFonts w:cs="Arial"/>
                <w:szCs w:val="24"/>
              </w:rPr>
              <w:t>3</w:t>
            </w:r>
            <w:r w:rsidRPr="005F5DCD">
              <w:rPr>
                <w:rFonts w:cs="Arial"/>
                <w:szCs w:val="24"/>
              </w:rPr>
              <w:t>/1</w:t>
            </w:r>
            <w:r w:rsidR="00872253">
              <w:rPr>
                <w:rFonts w:cs="Arial"/>
                <w:szCs w:val="24"/>
              </w:rPr>
              <w:t>4</w:t>
            </w:r>
            <w:r w:rsidRPr="005F5DCD">
              <w:rPr>
                <w:rFonts w:cs="Arial"/>
                <w:szCs w:val="24"/>
              </w:rPr>
              <w:t>.</w:t>
            </w:r>
          </w:p>
          <w:p w:rsidR="00E209CD" w:rsidRPr="005F5DCD" w:rsidRDefault="00E209CD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Recruitment advertising spend has </w:t>
            </w:r>
            <w:r w:rsidR="006E38F3">
              <w:rPr>
                <w:rFonts w:cs="Arial"/>
                <w:szCs w:val="24"/>
              </w:rPr>
              <w:t>in</w:t>
            </w:r>
            <w:r>
              <w:rPr>
                <w:rFonts w:cs="Arial"/>
                <w:szCs w:val="24"/>
              </w:rPr>
              <w:t>creased by £</w:t>
            </w:r>
            <w:r w:rsidR="00236429">
              <w:rPr>
                <w:rFonts w:cs="Arial"/>
                <w:szCs w:val="24"/>
              </w:rPr>
              <w:t>7</w:t>
            </w:r>
            <w:r w:rsidR="009C6DB5">
              <w:rPr>
                <w:rFonts w:cs="Arial"/>
                <w:szCs w:val="24"/>
              </w:rPr>
              <w:t>.2K</w:t>
            </w:r>
            <w:r>
              <w:rPr>
                <w:rFonts w:cs="Arial"/>
                <w:szCs w:val="24"/>
              </w:rPr>
              <w:t>.</w:t>
            </w:r>
          </w:p>
          <w:p w:rsidR="005F5DCD" w:rsidRPr="00570FEB" w:rsidRDefault="00D64F69" w:rsidP="005F5DCD">
            <w:pPr>
              <w:numPr>
                <w:ilvl w:val="0"/>
                <w:numId w:val="21"/>
              </w:numPr>
              <w:jc w:val="both"/>
              <w:rPr>
                <w:rFonts w:cs="Arial"/>
                <w:szCs w:val="24"/>
              </w:rPr>
            </w:pPr>
            <w:r w:rsidRPr="00570FEB">
              <w:rPr>
                <w:rFonts w:cs="Arial"/>
                <w:szCs w:val="22"/>
              </w:rPr>
              <w:t xml:space="preserve">The Employment and Support Team </w:t>
            </w:r>
            <w:r w:rsidR="00570FEB">
              <w:rPr>
                <w:rFonts w:cs="Arial"/>
                <w:szCs w:val="22"/>
              </w:rPr>
              <w:t>are currently on</w:t>
            </w:r>
            <w:r w:rsidR="00AA43FD" w:rsidRPr="00570FEB">
              <w:rPr>
                <w:rFonts w:cs="Arial"/>
                <w:szCs w:val="22"/>
              </w:rPr>
              <w:t xml:space="preserve"> target to deliver </w:t>
            </w:r>
            <w:r w:rsidRPr="00570FEB">
              <w:rPr>
                <w:rFonts w:cs="Arial"/>
                <w:szCs w:val="22"/>
              </w:rPr>
              <w:t>1100 new starts onto employment programmes for 201</w:t>
            </w:r>
            <w:r w:rsidR="00570FEB">
              <w:rPr>
                <w:rFonts w:cs="Arial"/>
                <w:szCs w:val="22"/>
              </w:rPr>
              <w:t>4</w:t>
            </w:r>
            <w:r w:rsidRPr="00570FEB">
              <w:rPr>
                <w:rFonts w:cs="Arial"/>
                <w:szCs w:val="22"/>
              </w:rPr>
              <w:t>/1</w:t>
            </w:r>
            <w:r w:rsidR="00570FEB">
              <w:rPr>
                <w:rFonts w:cs="Arial"/>
                <w:szCs w:val="22"/>
              </w:rPr>
              <w:t>5</w:t>
            </w:r>
            <w:r w:rsidR="00C1452D" w:rsidRPr="00570FEB">
              <w:rPr>
                <w:rFonts w:cs="Arial"/>
                <w:szCs w:val="22"/>
              </w:rPr>
              <w:t>.</w:t>
            </w:r>
          </w:p>
          <w:p w:rsidR="005171AA" w:rsidRPr="005171AA" w:rsidRDefault="005171AA" w:rsidP="005F5DCD">
            <w:pPr>
              <w:ind w:left="720"/>
              <w:jc w:val="both"/>
              <w:rPr>
                <w:rFonts w:cs="Arial"/>
                <w:szCs w:val="24"/>
              </w:rPr>
            </w:pPr>
          </w:p>
          <w:p w:rsidR="00F046B1" w:rsidRDefault="00F046B1" w:rsidP="005F5DCD">
            <w:pPr>
              <w:pStyle w:val="Heading5"/>
              <w:jc w:val="both"/>
              <w:rPr>
                <w:rFonts w:ascii="Arial" w:hAnsi="Arial"/>
                <w:b w:val="0"/>
                <w:u w:val="none"/>
              </w:rPr>
            </w:pPr>
            <w:r>
              <w:rPr>
                <w:rFonts w:ascii="Arial" w:hAnsi="Arial"/>
                <w:u w:val="none"/>
              </w:rPr>
              <w:t>Recommendation</w:t>
            </w:r>
          </w:p>
          <w:p w:rsidR="00F046B1" w:rsidRDefault="00F046B1" w:rsidP="005F5DCD">
            <w:pPr>
              <w:jc w:val="both"/>
            </w:pPr>
          </w:p>
          <w:p w:rsidR="00F046B1" w:rsidRDefault="00AD4C49" w:rsidP="005F5DCD">
            <w:pPr>
              <w:jc w:val="both"/>
            </w:pPr>
            <w:r>
              <w:t xml:space="preserve">The Cabinet Committee </w:t>
            </w:r>
            <w:r w:rsidR="00F80A38">
              <w:t>on Performance Improvement is</w:t>
            </w:r>
            <w:r w:rsidR="00346E87" w:rsidRPr="00346E87">
              <w:t xml:space="preserve"> asked to</w:t>
            </w:r>
            <w:r w:rsidR="007F0113">
              <w:t xml:space="preserve"> </w:t>
            </w:r>
            <w:r w:rsidR="001470EC">
              <w:t>comment on</w:t>
            </w:r>
            <w:r w:rsidR="008C165A">
              <w:t>,</w:t>
            </w:r>
            <w:r w:rsidR="001470EC">
              <w:t xml:space="preserve"> and </w:t>
            </w:r>
            <w:r w:rsidR="00586FD4">
              <w:t>note</w:t>
            </w:r>
            <w:r w:rsidR="008C165A">
              <w:t>,</w:t>
            </w:r>
            <w:r w:rsidR="001D78D1">
              <w:t xml:space="preserve"> </w:t>
            </w:r>
            <w:r w:rsidR="00870097">
              <w:t xml:space="preserve">the </w:t>
            </w:r>
            <w:r w:rsidR="00586FD4">
              <w:t xml:space="preserve">content of the report and Appendix </w:t>
            </w:r>
            <w:r w:rsidR="00F80A38">
              <w:t>'</w:t>
            </w:r>
            <w:r w:rsidR="00586FD4">
              <w:t>A</w:t>
            </w:r>
            <w:r w:rsidR="00F80A38">
              <w:t>'.</w:t>
            </w:r>
          </w:p>
          <w:p w:rsidR="00F046B1" w:rsidRDefault="00F046B1" w:rsidP="00F046B1"/>
        </w:tc>
      </w:tr>
    </w:tbl>
    <w:p w:rsidR="00EA24AD" w:rsidRDefault="00EA24AD" w:rsidP="007B3FFE">
      <w:pPr>
        <w:pStyle w:val="Header"/>
      </w:pPr>
    </w:p>
    <w:p w:rsidR="00F80A38" w:rsidRDefault="00F80A38" w:rsidP="007B3FFE">
      <w:pPr>
        <w:rPr>
          <w:b/>
        </w:rPr>
      </w:pPr>
    </w:p>
    <w:p w:rsidR="00F80A38" w:rsidRDefault="00F80A38" w:rsidP="007B3FFE">
      <w:pPr>
        <w:rPr>
          <w:b/>
        </w:rPr>
      </w:pPr>
    </w:p>
    <w:p w:rsidR="00F80A38" w:rsidRDefault="00F80A38" w:rsidP="007B3FFE">
      <w:pPr>
        <w:rPr>
          <w:b/>
        </w:rPr>
      </w:pPr>
    </w:p>
    <w:p w:rsidR="00772BBA" w:rsidRDefault="00772BBA" w:rsidP="007B3FFE">
      <w:pPr>
        <w:rPr>
          <w:b/>
        </w:rPr>
      </w:pPr>
      <w:r>
        <w:rPr>
          <w:b/>
        </w:rPr>
        <w:lastRenderedPageBreak/>
        <w:t xml:space="preserve">Background and Advice </w:t>
      </w:r>
    </w:p>
    <w:p w:rsidR="003A606D" w:rsidRDefault="003A606D" w:rsidP="007B3FFE">
      <w:pPr>
        <w:rPr>
          <w:b/>
        </w:rPr>
      </w:pPr>
    </w:p>
    <w:p w:rsidR="00412930" w:rsidRDefault="00412930" w:rsidP="00412930">
      <w:pPr>
        <w:jc w:val="both"/>
      </w:pPr>
      <w:r>
        <w:t xml:space="preserve">This report provides a summary of key human resource activity within the Council for the </w:t>
      </w:r>
      <w:r w:rsidR="00097773">
        <w:t>first,</w:t>
      </w:r>
      <w:r w:rsidR="006E38F3">
        <w:t xml:space="preserve"> second </w:t>
      </w:r>
      <w:r w:rsidR="00097773">
        <w:t xml:space="preserve">and third </w:t>
      </w:r>
      <w:r w:rsidR="006E38F3">
        <w:t>qua</w:t>
      </w:r>
      <w:r w:rsidR="00F507B8">
        <w:t>r</w:t>
      </w:r>
      <w:r w:rsidR="006E38F3">
        <w:t>ter</w:t>
      </w:r>
      <w:r w:rsidR="00097773">
        <w:t>s</w:t>
      </w:r>
      <w:r w:rsidR="00AA124E">
        <w:t xml:space="preserve"> of </w:t>
      </w:r>
      <w:r>
        <w:t>201</w:t>
      </w:r>
      <w:r w:rsidR="00DC09B5">
        <w:t>4</w:t>
      </w:r>
      <w:r>
        <w:t>/1</w:t>
      </w:r>
      <w:r w:rsidR="00DC09B5">
        <w:t>5</w:t>
      </w:r>
      <w:r>
        <w:t xml:space="preserve"> and for </w:t>
      </w:r>
      <w:r w:rsidR="00AA124E">
        <w:t xml:space="preserve">the same period in </w:t>
      </w:r>
      <w:r>
        <w:t>201</w:t>
      </w:r>
      <w:r w:rsidR="00DC09B5">
        <w:t>3</w:t>
      </w:r>
      <w:r>
        <w:t>/1</w:t>
      </w:r>
      <w:r w:rsidR="00DC09B5">
        <w:t>4</w:t>
      </w:r>
      <w:r>
        <w:t xml:space="preserve"> for comparative purposes. The detailed information is </w:t>
      </w:r>
      <w:r w:rsidR="00F80A38">
        <w:t>set out</w:t>
      </w:r>
      <w:r>
        <w:t xml:space="preserve"> at Appendix </w:t>
      </w:r>
      <w:r w:rsidR="00F80A38">
        <w:t>'</w:t>
      </w:r>
      <w:r>
        <w:t>A</w:t>
      </w:r>
      <w:r w:rsidR="00F80A38">
        <w:t>'</w:t>
      </w:r>
      <w:r>
        <w:t>.</w:t>
      </w:r>
    </w:p>
    <w:p w:rsidR="00412930" w:rsidRDefault="00412930" w:rsidP="00412930">
      <w:pPr>
        <w:jc w:val="both"/>
        <w:rPr>
          <w:rFonts w:cs="Arial"/>
          <w:szCs w:val="22"/>
        </w:rPr>
      </w:pPr>
    </w:p>
    <w:p w:rsidR="00412930" w:rsidRDefault="00412930" w:rsidP="00412930">
      <w:pPr>
        <w:jc w:val="both"/>
        <w:rPr>
          <w:rFonts w:cs="Arial"/>
          <w:szCs w:val="22"/>
        </w:rPr>
      </w:pPr>
      <w:r w:rsidRPr="00A60B39">
        <w:rPr>
          <w:rFonts w:cs="Arial"/>
          <w:szCs w:val="22"/>
        </w:rPr>
        <w:t xml:space="preserve">The sickness absence outturn figure for </w:t>
      </w:r>
      <w:r w:rsidR="00AA124E" w:rsidRPr="00A60B39">
        <w:rPr>
          <w:rFonts w:cs="Arial"/>
          <w:szCs w:val="22"/>
        </w:rPr>
        <w:t>Q</w:t>
      </w:r>
      <w:r w:rsidR="00097773" w:rsidRPr="00A60B39">
        <w:rPr>
          <w:rFonts w:cs="Arial"/>
          <w:szCs w:val="22"/>
        </w:rPr>
        <w:t>3</w:t>
      </w:r>
      <w:r w:rsidR="00AA124E" w:rsidRPr="00A60B39">
        <w:rPr>
          <w:rFonts w:cs="Arial"/>
          <w:szCs w:val="22"/>
        </w:rPr>
        <w:t xml:space="preserve"> </w:t>
      </w:r>
      <w:r w:rsidRPr="00A60B39">
        <w:rPr>
          <w:rFonts w:cs="Arial"/>
          <w:szCs w:val="22"/>
        </w:rPr>
        <w:t>201</w:t>
      </w:r>
      <w:r w:rsidR="00B6777B" w:rsidRPr="00A60B39">
        <w:rPr>
          <w:rFonts w:cs="Arial"/>
          <w:szCs w:val="22"/>
        </w:rPr>
        <w:t>4</w:t>
      </w:r>
      <w:r w:rsidRPr="00A60B39">
        <w:rPr>
          <w:rFonts w:cs="Arial"/>
          <w:szCs w:val="22"/>
        </w:rPr>
        <w:t>/1</w:t>
      </w:r>
      <w:r w:rsidR="00B6777B" w:rsidRPr="00A60B39">
        <w:rPr>
          <w:rFonts w:cs="Arial"/>
          <w:szCs w:val="22"/>
        </w:rPr>
        <w:t>5</w:t>
      </w:r>
      <w:r w:rsidRPr="00A60B39">
        <w:rPr>
          <w:rFonts w:cs="Arial"/>
          <w:szCs w:val="22"/>
        </w:rPr>
        <w:t xml:space="preserve"> </w:t>
      </w:r>
      <w:r w:rsidR="00A60B39" w:rsidRPr="00A60B39">
        <w:rPr>
          <w:rFonts w:cs="Arial"/>
          <w:szCs w:val="22"/>
        </w:rPr>
        <w:t xml:space="preserve">is not available. The Q2 figure </w:t>
      </w:r>
      <w:r w:rsidRPr="00A60B39">
        <w:rPr>
          <w:rFonts w:cs="Arial"/>
          <w:szCs w:val="22"/>
        </w:rPr>
        <w:t xml:space="preserve">was </w:t>
      </w:r>
      <w:r w:rsidR="00B6777B" w:rsidRPr="00A60B39">
        <w:rPr>
          <w:rFonts w:cs="Arial"/>
          <w:szCs w:val="22"/>
        </w:rPr>
        <w:t>1.</w:t>
      </w:r>
      <w:r w:rsidR="001C1ACF" w:rsidRPr="00A60B39">
        <w:rPr>
          <w:rFonts w:cs="Arial"/>
          <w:szCs w:val="22"/>
        </w:rPr>
        <w:t>59</w:t>
      </w:r>
      <w:r w:rsidRPr="00A60B39">
        <w:rPr>
          <w:rFonts w:cs="Arial"/>
          <w:szCs w:val="22"/>
        </w:rPr>
        <w:t xml:space="preserve"> days per employee against a target of </w:t>
      </w:r>
      <w:r w:rsidR="00B6777B" w:rsidRPr="00A60B39">
        <w:rPr>
          <w:rFonts w:cs="Arial"/>
          <w:szCs w:val="22"/>
        </w:rPr>
        <w:t>1.4</w:t>
      </w:r>
      <w:r w:rsidR="001C1ACF" w:rsidRPr="00A60B39">
        <w:rPr>
          <w:rFonts w:cs="Arial"/>
          <w:szCs w:val="22"/>
        </w:rPr>
        <w:t>6</w:t>
      </w:r>
      <w:r w:rsidRPr="00A60B39">
        <w:rPr>
          <w:rFonts w:cs="Arial"/>
          <w:szCs w:val="22"/>
        </w:rPr>
        <w:t xml:space="preserve"> days</w:t>
      </w:r>
      <w:r w:rsidR="00A60B39" w:rsidRPr="00A60B39">
        <w:rPr>
          <w:rFonts w:cs="Arial"/>
          <w:szCs w:val="22"/>
        </w:rPr>
        <w:t xml:space="preserve"> in the full year</w:t>
      </w:r>
      <w:r w:rsidRPr="00A60B39">
        <w:rPr>
          <w:rFonts w:cs="Arial"/>
          <w:szCs w:val="22"/>
        </w:rPr>
        <w:t xml:space="preserve">. Long term sickness absence accounted for more </w:t>
      </w:r>
      <w:r w:rsidR="00B6777B" w:rsidRPr="00A60B39">
        <w:rPr>
          <w:rFonts w:cs="Arial"/>
          <w:szCs w:val="22"/>
        </w:rPr>
        <w:t>than 6</w:t>
      </w:r>
      <w:r w:rsidR="001C1ACF" w:rsidRPr="00A60B39">
        <w:rPr>
          <w:rFonts w:cs="Arial"/>
          <w:szCs w:val="22"/>
        </w:rPr>
        <w:t>2</w:t>
      </w:r>
      <w:r w:rsidRPr="00A60B39">
        <w:rPr>
          <w:rFonts w:cs="Arial"/>
          <w:szCs w:val="22"/>
        </w:rPr>
        <w:t>% of total absence and the top reason for absence due to sickness was mental health.</w:t>
      </w:r>
    </w:p>
    <w:p w:rsidR="00EE3B7A" w:rsidRDefault="00EE3B7A" w:rsidP="00586FD4">
      <w:pPr>
        <w:jc w:val="both"/>
      </w:pPr>
    </w:p>
    <w:p w:rsidR="00450823" w:rsidRDefault="00450823" w:rsidP="00586FD4">
      <w:pPr>
        <w:jc w:val="both"/>
      </w:pPr>
      <w:r>
        <w:t xml:space="preserve">The data shows that the number of new starters </w:t>
      </w:r>
      <w:r w:rsidR="00AA124E">
        <w:t>in Q</w:t>
      </w:r>
      <w:r w:rsidR="00097773">
        <w:t>3</w:t>
      </w:r>
      <w:r w:rsidR="00AA124E">
        <w:t xml:space="preserve"> </w:t>
      </w:r>
      <w:r>
        <w:t>in 201</w:t>
      </w:r>
      <w:r w:rsidR="00DC09B5">
        <w:t>4</w:t>
      </w:r>
      <w:r>
        <w:t>/1</w:t>
      </w:r>
      <w:r w:rsidR="00DC09B5">
        <w:t>5</w:t>
      </w:r>
      <w:r>
        <w:t xml:space="preserve"> has </w:t>
      </w:r>
      <w:r w:rsidR="00097773">
        <w:t>in</w:t>
      </w:r>
      <w:r w:rsidR="00F507B8">
        <w:t xml:space="preserve">creased by </w:t>
      </w:r>
      <w:r w:rsidR="00097773">
        <w:t>9.78</w:t>
      </w:r>
      <w:r w:rsidRPr="00287BD4">
        <w:t xml:space="preserve">% </w:t>
      </w:r>
      <w:r w:rsidR="00D16832" w:rsidRPr="00287BD4">
        <w:t xml:space="preserve">to </w:t>
      </w:r>
      <w:r w:rsidR="00097773">
        <w:t>258</w:t>
      </w:r>
      <w:r w:rsidR="00D16832" w:rsidRPr="00287BD4">
        <w:t xml:space="preserve"> </w:t>
      </w:r>
      <w:r w:rsidRPr="00287BD4">
        <w:t xml:space="preserve">compared with </w:t>
      </w:r>
      <w:r w:rsidR="00097773">
        <w:t>235</w:t>
      </w:r>
      <w:r w:rsidR="00D16832" w:rsidRPr="00287BD4">
        <w:t xml:space="preserve"> in</w:t>
      </w:r>
      <w:r w:rsidR="00DC09B5" w:rsidRPr="00287BD4">
        <w:t xml:space="preserve"> </w:t>
      </w:r>
      <w:r w:rsidR="00AA124E">
        <w:t>Q</w:t>
      </w:r>
      <w:r w:rsidR="00097773">
        <w:t>3</w:t>
      </w:r>
      <w:r w:rsidR="00AA124E">
        <w:t xml:space="preserve"> </w:t>
      </w:r>
      <w:r w:rsidR="00DC09B5" w:rsidRPr="00287BD4">
        <w:t>of</w:t>
      </w:r>
      <w:r w:rsidR="00D16832" w:rsidRPr="00287BD4">
        <w:t xml:space="preserve"> </w:t>
      </w:r>
      <w:r w:rsidRPr="00287BD4">
        <w:t>201</w:t>
      </w:r>
      <w:r w:rsidR="00DC09B5" w:rsidRPr="00287BD4">
        <w:t>3</w:t>
      </w:r>
      <w:r w:rsidRPr="00287BD4">
        <w:t>/1</w:t>
      </w:r>
      <w:r w:rsidR="00DC09B5" w:rsidRPr="00287BD4">
        <w:t>4</w:t>
      </w:r>
      <w:r w:rsidRPr="00287BD4">
        <w:t>.</w:t>
      </w:r>
      <w:r>
        <w:t xml:space="preserve"> </w:t>
      </w:r>
      <w:r w:rsidR="00097773">
        <w:t>I</w:t>
      </w:r>
      <w:r w:rsidR="00AA124E">
        <w:t>t would be expected that the number of leavers would increase</w:t>
      </w:r>
      <w:r w:rsidR="00A60B39">
        <w:t xml:space="preserve">, given the Council Transformation </w:t>
      </w:r>
      <w:r w:rsidR="00AA124E">
        <w:t xml:space="preserve">but, in fact, </w:t>
      </w:r>
      <w:r>
        <w:t xml:space="preserve">the number of leavers </w:t>
      </w:r>
      <w:r w:rsidR="00AA124E">
        <w:t>in Q</w:t>
      </w:r>
      <w:r w:rsidR="00097773">
        <w:t>3</w:t>
      </w:r>
      <w:r w:rsidR="00AA124E">
        <w:t xml:space="preserve"> </w:t>
      </w:r>
      <w:r>
        <w:t>in 201</w:t>
      </w:r>
      <w:r w:rsidR="00DC09B5">
        <w:t>4</w:t>
      </w:r>
      <w:r>
        <w:t>/1</w:t>
      </w:r>
      <w:r w:rsidR="00DC09B5">
        <w:t>5</w:t>
      </w:r>
      <w:r>
        <w:t xml:space="preserve"> </w:t>
      </w:r>
      <w:r w:rsidR="00DC09B5">
        <w:t>has decreased b</w:t>
      </w:r>
      <w:r>
        <w:t xml:space="preserve">y </w:t>
      </w:r>
      <w:r w:rsidR="00097773">
        <w:t>42.1</w:t>
      </w:r>
      <w:r w:rsidR="00DC09B5">
        <w:t>1</w:t>
      </w:r>
      <w:r>
        <w:t xml:space="preserve">% </w:t>
      </w:r>
      <w:r w:rsidR="00D16832">
        <w:t xml:space="preserve">to </w:t>
      </w:r>
      <w:r w:rsidR="00097773">
        <w:t>187</w:t>
      </w:r>
      <w:r w:rsidR="00D16832">
        <w:t xml:space="preserve"> </w:t>
      </w:r>
      <w:r>
        <w:t xml:space="preserve">compared with </w:t>
      </w:r>
      <w:r w:rsidR="00F507B8">
        <w:t>4</w:t>
      </w:r>
      <w:r w:rsidR="00097773">
        <w:t>44</w:t>
      </w:r>
      <w:r w:rsidR="00D16832">
        <w:t xml:space="preserve"> in</w:t>
      </w:r>
      <w:r w:rsidR="00DC09B5">
        <w:t xml:space="preserve"> </w:t>
      </w:r>
      <w:r w:rsidR="00F507B8">
        <w:t>Q</w:t>
      </w:r>
      <w:r w:rsidR="00097773">
        <w:t>3</w:t>
      </w:r>
      <w:r w:rsidR="00F507B8">
        <w:t xml:space="preserve"> </w:t>
      </w:r>
      <w:r w:rsidR="00DC09B5">
        <w:t>of</w:t>
      </w:r>
      <w:r w:rsidR="00D16832">
        <w:t xml:space="preserve"> </w:t>
      </w:r>
      <w:r>
        <w:t>201</w:t>
      </w:r>
      <w:r w:rsidR="00DC09B5">
        <w:t>3</w:t>
      </w:r>
      <w:r>
        <w:t>/1</w:t>
      </w:r>
      <w:r w:rsidR="00DC09B5">
        <w:t>4</w:t>
      </w:r>
      <w:r w:rsidR="00F46EAF">
        <w:t>.</w:t>
      </w:r>
      <w:r>
        <w:t xml:space="preserve"> </w:t>
      </w:r>
    </w:p>
    <w:p w:rsidR="00450823" w:rsidRDefault="00450823" w:rsidP="00586FD4">
      <w:pPr>
        <w:jc w:val="both"/>
      </w:pPr>
    </w:p>
    <w:p w:rsidR="001D78D1" w:rsidRDefault="00F46EAF" w:rsidP="00586FD4">
      <w:pPr>
        <w:jc w:val="both"/>
      </w:pPr>
      <w:r>
        <w:t xml:space="preserve">The number of leavers due to voluntary redundancy </w:t>
      </w:r>
      <w:r w:rsidR="00AA124E">
        <w:t>in Q</w:t>
      </w:r>
      <w:r w:rsidR="00097773">
        <w:t>3</w:t>
      </w:r>
      <w:r w:rsidR="00AA124E">
        <w:t xml:space="preserve"> </w:t>
      </w:r>
      <w:r>
        <w:t xml:space="preserve">in 2014/15 has </w:t>
      </w:r>
      <w:r w:rsidR="00097773">
        <w:t>stayed around the same figure</w:t>
      </w:r>
      <w:r w:rsidR="00F507B8">
        <w:t xml:space="preserve"> </w:t>
      </w:r>
      <w:r w:rsidR="00AA124E">
        <w:t>(</w:t>
      </w:r>
      <w:r w:rsidR="00097773">
        <w:t>43</w:t>
      </w:r>
      <w:r w:rsidR="00AA124E">
        <w:t>)</w:t>
      </w:r>
      <w:r w:rsidR="00F507B8">
        <w:t xml:space="preserve"> compared to Q</w:t>
      </w:r>
      <w:r w:rsidR="00097773">
        <w:t>3</w:t>
      </w:r>
      <w:r w:rsidR="00AA124E">
        <w:t xml:space="preserve"> </w:t>
      </w:r>
      <w:r w:rsidR="007A1FDE">
        <w:t>in 201</w:t>
      </w:r>
      <w:r w:rsidR="00AA124E">
        <w:t>3</w:t>
      </w:r>
      <w:r w:rsidR="007A1FDE">
        <w:t>/1</w:t>
      </w:r>
      <w:r w:rsidR="00AA124E">
        <w:t>4 (</w:t>
      </w:r>
      <w:r w:rsidR="00097773">
        <w:t>41</w:t>
      </w:r>
      <w:r w:rsidR="00AA124E">
        <w:t>)</w:t>
      </w:r>
      <w:r>
        <w:t>.</w:t>
      </w:r>
    </w:p>
    <w:p w:rsidR="004243E9" w:rsidRDefault="004243E9" w:rsidP="00586FD4">
      <w:pPr>
        <w:jc w:val="both"/>
      </w:pPr>
    </w:p>
    <w:p w:rsidR="001F19AC" w:rsidRDefault="001D78D1" w:rsidP="00586FD4">
      <w:pPr>
        <w:jc w:val="both"/>
        <w:rPr>
          <w:bCs/>
          <w:szCs w:val="24"/>
        </w:rPr>
      </w:pPr>
      <w:r>
        <w:rPr>
          <w:bCs/>
          <w:szCs w:val="24"/>
        </w:rPr>
        <w:t xml:space="preserve">The </w:t>
      </w:r>
      <w:r w:rsidR="007D4473">
        <w:rPr>
          <w:bCs/>
          <w:szCs w:val="24"/>
        </w:rPr>
        <w:t>data</w:t>
      </w:r>
      <w:r>
        <w:rPr>
          <w:bCs/>
          <w:szCs w:val="24"/>
        </w:rPr>
        <w:t xml:space="preserve"> provides </w:t>
      </w:r>
      <w:r w:rsidR="00A8480D">
        <w:rPr>
          <w:bCs/>
          <w:szCs w:val="24"/>
        </w:rPr>
        <w:t xml:space="preserve">combined </w:t>
      </w:r>
      <w:r w:rsidR="002F4A5E">
        <w:rPr>
          <w:bCs/>
          <w:szCs w:val="24"/>
        </w:rPr>
        <w:t>detail</w:t>
      </w:r>
      <w:r>
        <w:rPr>
          <w:bCs/>
          <w:szCs w:val="24"/>
        </w:rPr>
        <w:t xml:space="preserve"> on</w:t>
      </w:r>
      <w:r w:rsidR="002F4A5E">
        <w:rPr>
          <w:bCs/>
          <w:szCs w:val="24"/>
        </w:rPr>
        <w:t xml:space="preserve"> both the number of </w:t>
      </w:r>
      <w:r w:rsidR="00D16832">
        <w:rPr>
          <w:bCs/>
          <w:szCs w:val="24"/>
        </w:rPr>
        <w:t xml:space="preserve">recruitment </w:t>
      </w:r>
      <w:r w:rsidR="002F4A5E">
        <w:rPr>
          <w:bCs/>
          <w:szCs w:val="24"/>
        </w:rPr>
        <w:t xml:space="preserve">adverts placed </w:t>
      </w:r>
      <w:r w:rsidR="008D1AD6">
        <w:rPr>
          <w:bCs/>
          <w:szCs w:val="24"/>
        </w:rPr>
        <w:t xml:space="preserve">both internally and externally, </w:t>
      </w:r>
      <w:r w:rsidR="002F4A5E">
        <w:rPr>
          <w:bCs/>
          <w:szCs w:val="24"/>
        </w:rPr>
        <w:t>and the number of positions advertised</w:t>
      </w:r>
      <w:r w:rsidR="007B3FFE">
        <w:rPr>
          <w:bCs/>
          <w:szCs w:val="24"/>
        </w:rPr>
        <w:t>,</w:t>
      </w:r>
      <w:r w:rsidR="002F4A5E">
        <w:rPr>
          <w:bCs/>
          <w:szCs w:val="24"/>
        </w:rPr>
        <w:t xml:space="preserve"> as some adverts include multiple positions</w:t>
      </w:r>
      <w:r w:rsidR="008D1AD6">
        <w:rPr>
          <w:bCs/>
          <w:szCs w:val="24"/>
        </w:rPr>
        <w:t>.</w:t>
      </w:r>
      <w:r w:rsidR="004243E9">
        <w:rPr>
          <w:bCs/>
          <w:szCs w:val="24"/>
        </w:rPr>
        <w:t xml:space="preserve"> </w:t>
      </w:r>
      <w:r w:rsidR="00EC7B78">
        <w:rPr>
          <w:bCs/>
          <w:szCs w:val="24"/>
        </w:rPr>
        <w:t xml:space="preserve">The number of adverts has </w:t>
      </w:r>
      <w:r w:rsidR="00981129">
        <w:rPr>
          <w:bCs/>
          <w:szCs w:val="24"/>
        </w:rPr>
        <w:t xml:space="preserve">increased by </w:t>
      </w:r>
      <w:r w:rsidR="00EE4192">
        <w:rPr>
          <w:bCs/>
          <w:szCs w:val="24"/>
        </w:rPr>
        <w:t>49.53</w:t>
      </w:r>
      <w:r w:rsidR="00D16832">
        <w:rPr>
          <w:bCs/>
          <w:szCs w:val="24"/>
        </w:rPr>
        <w:t xml:space="preserve">% </w:t>
      </w:r>
      <w:r w:rsidR="00981129">
        <w:rPr>
          <w:bCs/>
          <w:szCs w:val="24"/>
        </w:rPr>
        <w:t xml:space="preserve">so far </w:t>
      </w:r>
      <w:r w:rsidR="00D16832">
        <w:rPr>
          <w:bCs/>
          <w:szCs w:val="24"/>
        </w:rPr>
        <w:t xml:space="preserve">in </w:t>
      </w:r>
      <w:r w:rsidR="006E2101">
        <w:rPr>
          <w:bCs/>
          <w:szCs w:val="24"/>
        </w:rPr>
        <w:t>Q</w:t>
      </w:r>
      <w:r w:rsidR="00EE4192">
        <w:rPr>
          <w:bCs/>
          <w:szCs w:val="24"/>
        </w:rPr>
        <w:t>3</w:t>
      </w:r>
      <w:r w:rsidR="006E2101">
        <w:rPr>
          <w:bCs/>
          <w:szCs w:val="24"/>
        </w:rPr>
        <w:t xml:space="preserve"> of </w:t>
      </w:r>
      <w:r w:rsidR="00EC7B78">
        <w:rPr>
          <w:bCs/>
          <w:szCs w:val="24"/>
        </w:rPr>
        <w:t>201</w:t>
      </w:r>
      <w:r w:rsidR="00981129">
        <w:rPr>
          <w:bCs/>
          <w:szCs w:val="24"/>
        </w:rPr>
        <w:t>4</w:t>
      </w:r>
      <w:r w:rsidR="00EC7B78">
        <w:rPr>
          <w:bCs/>
          <w:szCs w:val="24"/>
        </w:rPr>
        <w:t>/1</w:t>
      </w:r>
      <w:r w:rsidR="00981129">
        <w:rPr>
          <w:bCs/>
          <w:szCs w:val="24"/>
        </w:rPr>
        <w:t>5</w:t>
      </w:r>
      <w:r w:rsidR="00EC7B78">
        <w:rPr>
          <w:bCs/>
          <w:szCs w:val="24"/>
        </w:rPr>
        <w:t xml:space="preserve"> compared with</w:t>
      </w:r>
      <w:r w:rsidR="00981129">
        <w:rPr>
          <w:bCs/>
          <w:szCs w:val="24"/>
        </w:rPr>
        <w:t xml:space="preserve"> the </w:t>
      </w:r>
      <w:r w:rsidR="00EE4192">
        <w:rPr>
          <w:bCs/>
          <w:szCs w:val="24"/>
        </w:rPr>
        <w:t>third</w:t>
      </w:r>
      <w:r w:rsidR="00981129">
        <w:rPr>
          <w:bCs/>
          <w:szCs w:val="24"/>
        </w:rPr>
        <w:t xml:space="preserve"> quarter of</w:t>
      </w:r>
      <w:r w:rsidR="00EC7B78">
        <w:rPr>
          <w:bCs/>
          <w:szCs w:val="24"/>
        </w:rPr>
        <w:t xml:space="preserve"> 201</w:t>
      </w:r>
      <w:r w:rsidR="00981129">
        <w:rPr>
          <w:bCs/>
          <w:szCs w:val="24"/>
        </w:rPr>
        <w:t>3</w:t>
      </w:r>
      <w:r w:rsidR="00EC7B78">
        <w:rPr>
          <w:bCs/>
          <w:szCs w:val="24"/>
        </w:rPr>
        <w:t>/1</w:t>
      </w:r>
      <w:r w:rsidR="00981129">
        <w:rPr>
          <w:bCs/>
          <w:szCs w:val="24"/>
        </w:rPr>
        <w:t>4</w:t>
      </w:r>
      <w:r w:rsidR="00EC7B78">
        <w:rPr>
          <w:bCs/>
          <w:szCs w:val="24"/>
        </w:rPr>
        <w:t xml:space="preserve">. </w:t>
      </w:r>
      <w:r w:rsidR="00981129">
        <w:rPr>
          <w:bCs/>
          <w:szCs w:val="24"/>
        </w:rPr>
        <w:t>T</w:t>
      </w:r>
      <w:r w:rsidR="00EE4192">
        <w:rPr>
          <w:bCs/>
          <w:szCs w:val="24"/>
        </w:rPr>
        <w:t>he number of positions has increased</w:t>
      </w:r>
      <w:r w:rsidR="006E2101">
        <w:rPr>
          <w:bCs/>
          <w:szCs w:val="24"/>
        </w:rPr>
        <w:t xml:space="preserve"> </w:t>
      </w:r>
      <w:r w:rsidR="00EE4192">
        <w:rPr>
          <w:bCs/>
          <w:szCs w:val="24"/>
        </w:rPr>
        <w:t>also</w:t>
      </w:r>
      <w:r w:rsidR="00981129">
        <w:rPr>
          <w:bCs/>
          <w:szCs w:val="24"/>
        </w:rPr>
        <w:t xml:space="preserve"> by </w:t>
      </w:r>
      <w:r w:rsidR="00CD0525">
        <w:rPr>
          <w:bCs/>
          <w:szCs w:val="24"/>
        </w:rPr>
        <w:t>58</w:t>
      </w:r>
      <w:r w:rsidR="00981129">
        <w:rPr>
          <w:bCs/>
          <w:szCs w:val="24"/>
        </w:rPr>
        <w:t>.</w:t>
      </w:r>
      <w:r w:rsidR="00CD0525">
        <w:rPr>
          <w:bCs/>
          <w:szCs w:val="24"/>
        </w:rPr>
        <w:t>0</w:t>
      </w:r>
      <w:r w:rsidR="006E2101">
        <w:rPr>
          <w:bCs/>
          <w:szCs w:val="24"/>
        </w:rPr>
        <w:t>9</w:t>
      </w:r>
      <w:r w:rsidR="00D16832">
        <w:rPr>
          <w:bCs/>
          <w:szCs w:val="24"/>
        </w:rPr>
        <w:t>%.</w:t>
      </w:r>
      <w:r w:rsidR="00981129">
        <w:rPr>
          <w:bCs/>
          <w:szCs w:val="24"/>
        </w:rPr>
        <w:t xml:space="preserve"> </w:t>
      </w:r>
      <w:r w:rsidR="008D1AD6">
        <w:rPr>
          <w:bCs/>
          <w:szCs w:val="24"/>
        </w:rPr>
        <w:t>Requests for e</w:t>
      </w:r>
      <w:r w:rsidR="00497324">
        <w:rPr>
          <w:bCs/>
          <w:szCs w:val="24"/>
        </w:rPr>
        <w:t xml:space="preserve">xternal recruitment advertising </w:t>
      </w:r>
      <w:r w:rsidR="008D1AD6">
        <w:rPr>
          <w:bCs/>
          <w:szCs w:val="24"/>
        </w:rPr>
        <w:t>are</w:t>
      </w:r>
      <w:r w:rsidR="00497324">
        <w:rPr>
          <w:bCs/>
          <w:szCs w:val="24"/>
        </w:rPr>
        <w:t xml:space="preserve"> </w:t>
      </w:r>
      <w:r w:rsidR="007D4473">
        <w:rPr>
          <w:bCs/>
          <w:szCs w:val="24"/>
        </w:rPr>
        <w:t xml:space="preserve">submitted to </w:t>
      </w:r>
      <w:r w:rsidR="00497324">
        <w:rPr>
          <w:bCs/>
          <w:szCs w:val="24"/>
        </w:rPr>
        <w:t xml:space="preserve">the </w:t>
      </w:r>
      <w:r w:rsidR="00190D4C">
        <w:rPr>
          <w:bCs/>
          <w:szCs w:val="24"/>
        </w:rPr>
        <w:t xml:space="preserve">Corporate HR Team </w:t>
      </w:r>
      <w:r w:rsidR="00EC7B78">
        <w:rPr>
          <w:bCs/>
          <w:szCs w:val="24"/>
        </w:rPr>
        <w:t>for a decision</w:t>
      </w:r>
      <w:r w:rsidR="00190D4C">
        <w:rPr>
          <w:bCs/>
          <w:szCs w:val="24"/>
        </w:rPr>
        <w:t xml:space="preserve"> and routinely reported to </w:t>
      </w:r>
      <w:r w:rsidR="00EC7B78">
        <w:rPr>
          <w:bCs/>
          <w:szCs w:val="24"/>
        </w:rPr>
        <w:t xml:space="preserve">Management Team. </w:t>
      </w:r>
    </w:p>
    <w:p w:rsidR="00E209CD" w:rsidRDefault="00E209CD" w:rsidP="00586FD4">
      <w:pPr>
        <w:jc w:val="both"/>
        <w:rPr>
          <w:bCs/>
          <w:szCs w:val="24"/>
        </w:rPr>
      </w:pPr>
    </w:p>
    <w:p w:rsidR="00E209CD" w:rsidRDefault="00E209CD" w:rsidP="00586FD4">
      <w:pPr>
        <w:jc w:val="both"/>
        <w:rPr>
          <w:bCs/>
          <w:szCs w:val="24"/>
        </w:rPr>
      </w:pPr>
      <w:r>
        <w:rPr>
          <w:bCs/>
          <w:szCs w:val="24"/>
        </w:rPr>
        <w:t xml:space="preserve">Recruitment advertising spend has </w:t>
      </w:r>
      <w:r w:rsidR="006E2101">
        <w:rPr>
          <w:bCs/>
          <w:szCs w:val="24"/>
        </w:rPr>
        <w:t>in</w:t>
      </w:r>
      <w:r>
        <w:rPr>
          <w:bCs/>
          <w:szCs w:val="24"/>
        </w:rPr>
        <w:t>creased by £</w:t>
      </w:r>
      <w:r w:rsidR="00CD0525">
        <w:rPr>
          <w:bCs/>
          <w:szCs w:val="24"/>
        </w:rPr>
        <w:t>7</w:t>
      </w:r>
      <w:r w:rsidR="009C6DB5">
        <w:rPr>
          <w:bCs/>
          <w:szCs w:val="24"/>
        </w:rPr>
        <w:t>.2K</w:t>
      </w:r>
      <w:r>
        <w:rPr>
          <w:bCs/>
          <w:szCs w:val="24"/>
        </w:rPr>
        <w:t xml:space="preserve"> </w:t>
      </w:r>
      <w:r w:rsidR="006E2101">
        <w:rPr>
          <w:bCs/>
          <w:szCs w:val="24"/>
        </w:rPr>
        <w:t>in Q</w:t>
      </w:r>
      <w:r w:rsidR="00CD0525">
        <w:rPr>
          <w:bCs/>
          <w:szCs w:val="24"/>
        </w:rPr>
        <w:t>3</w:t>
      </w:r>
      <w:r w:rsidR="00AA124E">
        <w:rPr>
          <w:bCs/>
          <w:szCs w:val="24"/>
        </w:rPr>
        <w:t xml:space="preserve"> </w:t>
      </w:r>
      <w:r>
        <w:rPr>
          <w:bCs/>
          <w:szCs w:val="24"/>
        </w:rPr>
        <w:t>in 201</w:t>
      </w:r>
      <w:r w:rsidR="00872253">
        <w:rPr>
          <w:bCs/>
          <w:szCs w:val="24"/>
        </w:rPr>
        <w:t>4</w:t>
      </w:r>
      <w:r>
        <w:rPr>
          <w:bCs/>
          <w:szCs w:val="24"/>
        </w:rPr>
        <w:t>/1</w:t>
      </w:r>
      <w:r w:rsidR="00872253">
        <w:rPr>
          <w:bCs/>
          <w:szCs w:val="24"/>
        </w:rPr>
        <w:t>5</w:t>
      </w:r>
      <w:r>
        <w:rPr>
          <w:bCs/>
          <w:szCs w:val="24"/>
        </w:rPr>
        <w:t xml:space="preserve"> compared with </w:t>
      </w:r>
      <w:r w:rsidR="00AA124E">
        <w:rPr>
          <w:bCs/>
          <w:szCs w:val="24"/>
        </w:rPr>
        <w:t>Q</w:t>
      </w:r>
      <w:r w:rsidR="00CD0525">
        <w:rPr>
          <w:bCs/>
          <w:szCs w:val="24"/>
        </w:rPr>
        <w:t>3</w:t>
      </w:r>
      <w:r w:rsidR="00AA124E">
        <w:rPr>
          <w:bCs/>
          <w:szCs w:val="24"/>
        </w:rPr>
        <w:t xml:space="preserve"> in </w:t>
      </w:r>
      <w:r>
        <w:rPr>
          <w:bCs/>
          <w:szCs w:val="24"/>
        </w:rPr>
        <w:t>201</w:t>
      </w:r>
      <w:r w:rsidR="00872253">
        <w:rPr>
          <w:bCs/>
          <w:szCs w:val="24"/>
        </w:rPr>
        <w:t>3/14</w:t>
      </w:r>
      <w:r>
        <w:rPr>
          <w:bCs/>
          <w:szCs w:val="24"/>
        </w:rPr>
        <w:t>.</w:t>
      </w:r>
    </w:p>
    <w:p w:rsidR="00872253" w:rsidRDefault="00872253" w:rsidP="00586FD4">
      <w:pPr>
        <w:jc w:val="both"/>
        <w:rPr>
          <w:bCs/>
          <w:szCs w:val="24"/>
        </w:rPr>
      </w:pPr>
    </w:p>
    <w:p w:rsidR="00192B9E" w:rsidRDefault="00741CFC" w:rsidP="005F5DCD">
      <w:pPr>
        <w:jc w:val="both"/>
        <w:rPr>
          <w:rFonts w:cs="Arial"/>
          <w:szCs w:val="22"/>
        </w:rPr>
      </w:pPr>
      <w:r w:rsidRPr="00DA4ACD">
        <w:rPr>
          <w:rFonts w:cs="Arial"/>
          <w:szCs w:val="22"/>
        </w:rPr>
        <w:t xml:space="preserve">The Employment and Support Team </w:t>
      </w:r>
      <w:r w:rsidR="00DC09B5" w:rsidRPr="00DA4ACD">
        <w:rPr>
          <w:rFonts w:cs="Arial"/>
          <w:szCs w:val="22"/>
        </w:rPr>
        <w:t>ha</w:t>
      </w:r>
      <w:r w:rsidR="009C6DB5">
        <w:rPr>
          <w:rFonts w:cs="Arial"/>
          <w:szCs w:val="22"/>
        </w:rPr>
        <w:t>s</w:t>
      </w:r>
      <w:r w:rsidR="00DC09B5" w:rsidRPr="00DA4ACD">
        <w:rPr>
          <w:rFonts w:cs="Arial"/>
          <w:szCs w:val="22"/>
        </w:rPr>
        <w:t xml:space="preserve"> </w:t>
      </w:r>
      <w:r w:rsidRPr="00DA4ACD">
        <w:rPr>
          <w:rFonts w:cs="Arial"/>
          <w:szCs w:val="22"/>
        </w:rPr>
        <w:t xml:space="preserve">delivered </w:t>
      </w:r>
      <w:r w:rsidR="00DA4ACD" w:rsidRPr="00DA4ACD">
        <w:rPr>
          <w:rFonts w:cs="Arial"/>
          <w:szCs w:val="22"/>
        </w:rPr>
        <w:t>76</w:t>
      </w:r>
      <w:r w:rsidR="00437C53" w:rsidRPr="00DA4ACD">
        <w:rPr>
          <w:rFonts w:cs="Arial"/>
          <w:szCs w:val="22"/>
        </w:rPr>
        <w:t xml:space="preserve">0 </w:t>
      </w:r>
      <w:r w:rsidR="00192B9E" w:rsidRPr="00DA4ACD">
        <w:rPr>
          <w:rFonts w:cs="Arial"/>
          <w:szCs w:val="22"/>
        </w:rPr>
        <w:t xml:space="preserve">new starts onto employment programmes </w:t>
      </w:r>
      <w:r w:rsidR="00437C53" w:rsidRPr="00DA4ACD">
        <w:rPr>
          <w:rFonts w:cs="Arial"/>
          <w:szCs w:val="22"/>
        </w:rPr>
        <w:t xml:space="preserve">so far </w:t>
      </w:r>
      <w:r w:rsidR="00AA124E" w:rsidRPr="00DA4ACD">
        <w:rPr>
          <w:rFonts w:cs="Arial"/>
          <w:szCs w:val="22"/>
        </w:rPr>
        <w:t xml:space="preserve">in </w:t>
      </w:r>
      <w:r w:rsidR="00192B9E" w:rsidRPr="00DA4ACD">
        <w:rPr>
          <w:rFonts w:cs="Arial"/>
          <w:szCs w:val="22"/>
        </w:rPr>
        <w:t>201</w:t>
      </w:r>
      <w:r w:rsidR="00DC09B5" w:rsidRPr="00DA4ACD">
        <w:rPr>
          <w:rFonts w:cs="Arial"/>
          <w:szCs w:val="22"/>
        </w:rPr>
        <w:t>4</w:t>
      </w:r>
      <w:r w:rsidR="00192B9E" w:rsidRPr="00DA4ACD">
        <w:rPr>
          <w:rFonts w:cs="Arial"/>
          <w:szCs w:val="22"/>
        </w:rPr>
        <w:t>/1</w:t>
      </w:r>
      <w:r w:rsidR="00DC09B5" w:rsidRPr="00DA4ACD">
        <w:rPr>
          <w:rFonts w:cs="Arial"/>
          <w:szCs w:val="22"/>
        </w:rPr>
        <w:t>5</w:t>
      </w:r>
      <w:r w:rsidR="00190D4C" w:rsidRPr="00DA4ACD">
        <w:rPr>
          <w:rFonts w:cs="Arial"/>
          <w:szCs w:val="22"/>
        </w:rPr>
        <w:t xml:space="preserve">, against a target of </w:t>
      </w:r>
      <w:r w:rsidRPr="00DA4ACD">
        <w:rPr>
          <w:rFonts w:cs="Arial"/>
          <w:szCs w:val="22"/>
        </w:rPr>
        <w:t>1</w:t>
      </w:r>
      <w:r w:rsidR="009C6DB5">
        <w:rPr>
          <w:rFonts w:cs="Arial"/>
          <w:szCs w:val="22"/>
        </w:rPr>
        <w:t>,</w:t>
      </w:r>
      <w:r w:rsidRPr="00DA4ACD">
        <w:rPr>
          <w:rFonts w:cs="Arial"/>
          <w:szCs w:val="22"/>
        </w:rPr>
        <w:t>100</w:t>
      </w:r>
      <w:r w:rsidR="006F680C">
        <w:rPr>
          <w:rFonts w:cs="Arial"/>
          <w:szCs w:val="22"/>
        </w:rPr>
        <w:t xml:space="preserve"> for the full year</w:t>
      </w:r>
      <w:r w:rsidR="00437C53" w:rsidRPr="00DA4ACD">
        <w:rPr>
          <w:rFonts w:cs="Arial"/>
          <w:szCs w:val="22"/>
        </w:rPr>
        <w:t>.</w:t>
      </w:r>
      <w:r w:rsidR="00192B9E">
        <w:rPr>
          <w:rFonts w:cs="Arial"/>
          <w:szCs w:val="22"/>
        </w:rPr>
        <w:t xml:space="preserve"> </w:t>
      </w:r>
    </w:p>
    <w:p w:rsidR="00C64281" w:rsidRDefault="00C64281" w:rsidP="005F5DCD">
      <w:pPr>
        <w:jc w:val="both"/>
        <w:rPr>
          <w:rFonts w:cs="Arial"/>
        </w:rPr>
      </w:pPr>
    </w:p>
    <w:p w:rsidR="003E6A45" w:rsidRDefault="003E6A45">
      <w:pPr>
        <w:pStyle w:val="Heading1"/>
      </w:pPr>
      <w:r>
        <w:t>Consultations</w:t>
      </w:r>
    </w:p>
    <w:p w:rsidR="000957D1" w:rsidRPr="000957D1" w:rsidRDefault="000957D1" w:rsidP="000957D1"/>
    <w:p w:rsidR="003E6A45" w:rsidRDefault="007F0113">
      <w:r>
        <w:t>N</w:t>
      </w:r>
      <w:r w:rsidR="009C6DB5">
        <w:t>/A</w:t>
      </w:r>
      <w:r w:rsidR="00E16D84">
        <w:t>.</w:t>
      </w:r>
    </w:p>
    <w:p w:rsidR="00412930" w:rsidRDefault="00412930"/>
    <w:p w:rsidR="00772BBA" w:rsidRDefault="003E6A45" w:rsidP="00772BBA">
      <w:r>
        <w:rPr>
          <w:b/>
        </w:rPr>
        <w:t>Implications</w:t>
      </w:r>
      <w:r>
        <w:t xml:space="preserve">: </w:t>
      </w:r>
    </w:p>
    <w:p w:rsidR="00772BBA" w:rsidRDefault="00772BBA" w:rsidP="00772BBA"/>
    <w:p w:rsidR="00772BBA" w:rsidRDefault="00772BBA" w:rsidP="00772BBA">
      <w:r>
        <w:t>This item has the following implications, as indicated:</w:t>
      </w:r>
    </w:p>
    <w:p w:rsidR="00412930" w:rsidRDefault="00412930" w:rsidP="00772BBA"/>
    <w:p w:rsidR="00772BBA" w:rsidRPr="00092B2F" w:rsidRDefault="00772BBA" w:rsidP="00772BBA">
      <w:pPr>
        <w:rPr>
          <w:b/>
        </w:rPr>
      </w:pPr>
      <w:r w:rsidRPr="00092B2F">
        <w:rPr>
          <w:b/>
        </w:rPr>
        <w:t>Risk management</w:t>
      </w:r>
    </w:p>
    <w:p w:rsidR="00F863F2" w:rsidRDefault="00F863F2" w:rsidP="00F863F2"/>
    <w:p w:rsidR="00F863F2" w:rsidRDefault="00F863F2" w:rsidP="00F863F2">
      <w:pPr>
        <w:jc w:val="both"/>
      </w:pPr>
      <w:r>
        <w:t>No significant risks have been identified in relation to the proposals contained within this report.</w:t>
      </w:r>
    </w:p>
    <w:p w:rsidR="001D78D1" w:rsidRDefault="001D78D1" w:rsidP="001D78D1"/>
    <w:p w:rsidR="009C6DB5" w:rsidRDefault="009C6DB5" w:rsidP="00F80A38">
      <w:pPr>
        <w:pStyle w:val="Heading5"/>
        <w:rPr>
          <w:rFonts w:ascii="Arial" w:hAnsi="Arial"/>
          <w:u w:val="none"/>
        </w:rPr>
      </w:pPr>
    </w:p>
    <w:p w:rsidR="009C6DB5" w:rsidRPr="009C6DB5" w:rsidRDefault="009C6DB5" w:rsidP="009C6DB5">
      <w:bookmarkStart w:id="0" w:name="_GoBack"/>
      <w:bookmarkEnd w:id="0"/>
    </w:p>
    <w:p w:rsidR="00F80A38" w:rsidRDefault="00F80A38" w:rsidP="00F80A38">
      <w:pPr>
        <w:pStyle w:val="Heading5"/>
        <w:rPr>
          <w:rFonts w:ascii="Arial" w:hAnsi="Arial"/>
          <w:u w:val="none"/>
        </w:rPr>
      </w:pPr>
      <w:r>
        <w:rPr>
          <w:rFonts w:ascii="Arial" w:hAnsi="Arial"/>
          <w:u w:val="none"/>
        </w:rPr>
        <w:t>List of Background Papers</w:t>
      </w:r>
    </w:p>
    <w:p w:rsidR="00F80A38" w:rsidRDefault="00F80A38" w:rsidP="001D78D1"/>
    <w:tbl>
      <w:tblPr>
        <w:tblW w:w="9288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108"/>
        <w:gridCol w:w="3227"/>
        <w:gridCol w:w="175"/>
        <w:gridCol w:w="2492"/>
        <w:gridCol w:w="108"/>
        <w:gridCol w:w="3070"/>
        <w:gridCol w:w="108"/>
      </w:tblGrid>
      <w:tr w:rsidR="00F80A38" w:rsidTr="00F80A38">
        <w:trPr>
          <w:gridAfter w:val="1"/>
          <w:wAfter w:w="108" w:type="dxa"/>
        </w:trPr>
        <w:tc>
          <w:tcPr>
            <w:tcW w:w="3510" w:type="dxa"/>
            <w:gridSpan w:val="3"/>
          </w:tcPr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</w:p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Paper</w:t>
            </w:r>
          </w:p>
        </w:tc>
        <w:tc>
          <w:tcPr>
            <w:tcW w:w="2492" w:type="dxa"/>
          </w:tcPr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</w:p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Date</w:t>
            </w:r>
          </w:p>
        </w:tc>
        <w:tc>
          <w:tcPr>
            <w:tcW w:w="3178" w:type="dxa"/>
            <w:gridSpan w:val="2"/>
          </w:tcPr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</w:p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  <w:r>
              <w:rPr>
                <w:rFonts w:ascii="Arial" w:hAnsi="Arial"/>
                <w:u w:val="none"/>
              </w:rPr>
              <w:t>Contact/Directorate/Tel</w:t>
            </w:r>
          </w:p>
        </w:tc>
      </w:tr>
      <w:tr w:rsidR="00F80A38" w:rsidTr="00F80A38">
        <w:trPr>
          <w:gridAfter w:val="1"/>
          <w:wAfter w:w="108" w:type="dxa"/>
        </w:trPr>
        <w:tc>
          <w:tcPr>
            <w:tcW w:w="3510" w:type="dxa"/>
            <w:gridSpan w:val="3"/>
          </w:tcPr>
          <w:p w:rsidR="00F80A38" w:rsidRDefault="00F80A38" w:rsidP="00D00F47"/>
          <w:p w:rsidR="00F80A38" w:rsidRDefault="00F80A38" w:rsidP="00D00F47">
            <w:r>
              <w:t>N/A</w:t>
            </w:r>
          </w:p>
        </w:tc>
        <w:tc>
          <w:tcPr>
            <w:tcW w:w="2492" w:type="dxa"/>
          </w:tcPr>
          <w:p w:rsidR="00F80A38" w:rsidRDefault="00F80A38" w:rsidP="00D00F47">
            <w:pPr>
              <w:pStyle w:val="Heading7"/>
              <w:rPr>
                <w:rFonts w:ascii="Arial" w:hAnsi="Arial"/>
                <w:u w:val="none"/>
              </w:rPr>
            </w:pPr>
          </w:p>
          <w:p w:rsidR="00F80A38" w:rsidRDefault="00F80A38" w:rsidP="00D00F47"/>
        </w:tc>
        <w:tc>
          <w:tcPr>
            <w:tcW w:w="3178" w:type="dxa"/>
            <w:gridSpan w:val="2"/>
          </w:tcPr>
          <w:p w:rsidR="00F80A38" w:rsidRDefault="00F80A38" w:rsidP="00D00F47"/>
          <w:p w:rsidR="00F80A38" w:rsidRDefault="00F80A38" w:rsidP="00D00F47"/>
          <w:p w:rsidR="00F80A38" w:rsidRDefault="00F80A38" w:rsidP="00D00F47"/>
        </w:tc>
      </w:tr>
      <w:tr w:rsidR="00F80A38" w:rsidTr="00F80A38">
        <w:trPr>
          <w:gridAfter w:val="1"/>
          <w:wAfter w:w="108" w:type="dxa"/>
          <w:cantSplit/>
        </w:trPr>
        <w:tc>
          <w:tcPr>
            <w:tcW w:w="9180" w:type="dxa"/>
            <w:gridSpan w:val="6"/>
          </w:tcPr>
          <w:p w:rsidR="00F80A38" w:rsidRDefault="00F80A38" w:rsidP="00D00F47">
            <w:r>
              <w:t>Reason for inclusion in Part II, if appropriate</w:t>
            </w:r>
          </w:p>
          <w:p w:rsidR="00F80A38" w:rsidRDefault="00F80A38" w:rsidP="00D00F47"/>
          <w:p w:rsidR="00F80A38" w:rsidRDefault="00F80A38" w:rsidP="00D00F47">
            <w:r>
              <w:t>N/A</w:t>
            </w:r>
          </w:p>
          <w:p w:rsidR="00F80A38" w:rsidRDefault="00F80A38" w:rsidP="00D00F47"/>
          <w:p w:rsidR="00F80A38" w:rsidRDefault="00F80A38" w:rsidP="00D00F47"/>
        </w:tc>
      </w:tr>
      <w:tr w:rsidR="006435AC" w:rsidTr="00F80A38">
        <w:trPr>
          <w:gridBefore w:val="1"/>
          <w:wBefore w:w="108" w:type="dxa"/>
        </w:trPr>
        <w:tc>
          <w:tcPr>
            <w:tcW w:w="3227" w:type="dxa"/>
          </w:tcPr>
          <w:p w:rsidR="006435AC" w:rsidRPr="00EB37C2" w:rsidRDefault="006435AC" w:rsidP="00F80A38">
            <w:pPr>
              <w:rPr>
                <w:i/>
              </w:rPr>
            </w:pPr>
          </w:p>
        </w:tc>
        <w:tc>
          <w:tcPr>
            <w:tcW w:w="2775" w:type="dxa"/>
            <w:gridSpan w:val="3"/>
          </w:tcPr>
          <w:p w:rsidR="006435AC" w:rsidRDefault="006435AC" w:rsidP="006435AC"/>
        </w:tc>
        <w:tc>
          <w:tcPr>
            <w:tcW w:w="3178" w:type="dxa"/>
            <w:gridSpan w:val="2"/>
          </w:tcPr>
          <w:p w:rsidR="006435AC" w:rsidRDefault="006435AC" w:rsidP="006435AC"/>
        </w:tc>
      </w:tr>
      <w:tr w:rsidR="006435AC" w:rsidTr="00F80A38">
        <w:trPr>
          <w:gridBefore w:val="1"/>
          <w:wBefore w:w="108" w:type="dxa"/>
          <w:trHeight w:val="693"/>
        </w:trPr>
        <w:tc>
          <w:tcPr>
            <w:tcW w:w="9180" w:type="dxa"/>
            <w:gridSpan w:val="6"/>
          </w:tcPr>
          <w:p w:rsidR="006435AC" w:rsidRPr="00EB37C2" w:rsidRDefault="006435AC">
            <w:pPr>
              <w:rPr>
                <w:i/>
              </w:rPr>
            </w:pPr>
          </w:p>
        </w:tc>
      </w:tr>
    </w:tbl>
    <w:p w:rsidR="003E6A45" w:rsidRDefault="003E6A45"/>
    <w:sectPr w:rsidR="003E6A45" w:rsidSect="00043385">
      <w:footerReference w:type="default" r:id="rId9"/>
      <w:footerReference w:type="first" r:id="rId10"/>
      <w:type w:val="continuous"/>
      <w:pgSz w:w="11907" w:h="16840" w:code="9"/>
      <w:pgMar w:top="1440" w:right="1440" w:bottom="1440" w:left="1440" w:header="720" w:footer="306" w:gutter="0"/>
      <w:paperSrc w:first="7" w:other="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FBD" w:rsidRDefault="00A97FBD">
      <w:r>
        <w:separator/>
      </w:r>
    </w:p>
  </w:endnote>
  <w:endnote w:type="continuationSeparator" w:id="0">
    <w:p w:rsidR="00A97FBD" w:rsidRDefault="00A97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9243"/>
    </w:tblGrid>
    <w:tr w:rsidR="00A97FBD">
      <w:tc>
        <w:tcPr>
          <w:tcW w:w="9243" w:type="dxa"/>
          <w:tcBorders>
            <w:top w:val="nil"/>
            <w:left w:val="nil"/>
            <w:bottom w:val="nil"/>
            <w:right w:val="nil"/>
          </w:tcBorders>
        </w:tcPr>
        <w:p w:rsidR="00A97FBD" w:rsidRDefault="00A97FBD">
          <w:pPr>
            <w:pStyle w:val="Footer"/>
            <w:tabs>
              <w:tab w:val="clear" w:pos="4153"/>
            </w:tabs>
            <w:ind w:right="-45"/>
            <w:jc w:val="right"/>
          </w:pPr>
          <w:r>
            <w:rPr>
              <w:noProof/>
            </w:rPr>
            <w:drawing>
              <wp:inline distT="0" distB="0" distL="0" distR="0">
                <wp:extent cx="1257300" cy="628650"/>
                <wp:effectExtent l="19050" t="0" r="0" b="0"/>
                <wp:docPr id="1" name="Picture 2" descr="A4 65M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A4 65M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3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97FBD" w:rsidRDefault="00A97FBD">
    <w:pPr>
      <w:pStyle w:val="Footer"/>
      <w:tabs>
        <w:tab w:val="clear" w:pos="4153"/>
      </w:tabs>
      <w:ind w:right="-4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FBD" w:rsidRDefault="00A97FBD">
      <w:r>
        <w:separator/>
      </w:r>
    </w:p>
  </w:footnote>
  <w:footnote w:type="continuationSeparator" w:id="0">
    <w:p w:rsidR="00A97FBD" w:rsidRDefault="00A97F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40F0A"/>
    <w:multiLevelType w:val="hybridMultilevel"/>
    <w:tmpl w:val="52260E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33410"/>
    <w:multiLevelType w:val="hybridMultilevel"/>
    <w:tmpl w:val="081C9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57F3A"/>
    <w:multiLevelType w:val="hybridMultilevel"/>
    <w:tmpl w:val="6FC07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CC0486"/>
    <w:multiLevelType w:val="hybridMultilevel"/>
    <w:tmpl w:val="5E2C5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D576B8"/>
    <w:multiLevelType w:val="hybridMultilevel"/>
    <w:tmpl w:val="9912B172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A425625"/>
    <w:multiLevelType w:val="hybridMultilevel"/>
    <w:tmpl w:val="835A9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936CFC"/>
    <w:multiLevelType w:val="hybridMultilevel"/>
    <w:tmpl w:val="4CC8F9CC"/>
    <w:lvl w:ilvl="0" w:tplc="C5ACF8B8">
      <w:start w:val="1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3E5340"/>
    <w:multiLevelType w:val="hybridMultilevel"/>
    <w:tmpl w:val="FDC663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F9E4443"/>
    <w:multiLevelType w:val="hybridMultilevel"/>
    <w:tmpl w:val="155E2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025D"/>
    <w:multiLevelType w:val="hybridMultilevel"/>
    <w:tmpl w:val="F07A4082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6590247"/>
    <w:multiLevelType w:val="hybridMultilevel"/>
    <w:tmpl w:val="FE4A1A3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344137"/>
    <w:multiLevelType w:val="hybridMultilevel"/>
    <w:tmpl w:val="1542CF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502ECB"/>
    <w:multiLevelType w:val="hybridMultilevel"/>
    <w:tmpl w:val="A09899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97672D"/>
    <w:multiLevelType w:val="hybridMultilevel"/>
    <w:tmpl w:val="ADFAD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F50C3B"/>
    <w:multiLevelType w:val="hybridMultilevel"/>
    <w:tmpl w:val="A19673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C882716"/>
    <w:multiLevelType w:val="hybridMultilevel"/>
    <w:tmpl w:val="08445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9C48B5"/>
    <w:multiLevelType w:val="hybridMultilevel"/>
    <w:tmpl w:val="39CC9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AF3F76"/>
    <w:multiLevelType w:val="hybridMultilevel"/>
    <w:tmpl w:val="C76E811A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A25E9"/>
    <w:multiLevelType w:val="hybridMultilevel"/>
    <w:tmpl w:val="0C743CC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E7716AC"/>
    <w:multiLevelType w:val="hybridMultilevel"/>
    <w:tmpl w:val="4560C6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B578A6"/>
    <w:multiLevelType w:val="hybridMultilevel"/>
    <w:tmpl w:val="43185A9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20"/>
  </w:num>
  <w:num w:numId="4">
    <w:abstractNumId w:val="19"/>
  </w:num>
  <w:num w:numId="5">
    <w:abstractNumId w:val="16"/>
  </w:num>
  <w:num w:numId="6">
    <w:abstractNumId w:val="8"/>
  </w:num>
  <w:num w:numId="7">
    <w:abstractNumId w:val="7"/>
  </w:num>
  <w:num w:numId="8">
    <w:abstractNumId w:val="10"/>
  </w:num>
  <w:num w:numId="9">
    <w:abstractNumId w:val="17"/>
  </w:num>
  <w:num w:numId="10">
    <w:abstractNumId w:val="4"/>
  </w:num>
  <w:num w:numId="11">
    <w:abstractNumId w:val="18"/>
  </w:num>
  <w:num w:numId="12">
    <w:abstractNumId w:val="9"/>
  </w:num>
  <w:num w:numId="13">
    <w:abstractNumId w:val="5"/>
  </w:num>
  <w:num w:numId="14">
    <w:abstractNumId w:val="2"/>
  </w:num>
  <w:num w:numId="15">
    <w:abstractNumId w:val="6"/>
  </w:num>
  <w:num w:numId="16">
    <w:abstractNumId w:val="3"/>
  </w:num>
  <w:num w:numId="17">
    <w:abstractNumId w:val="1"/>
  </w:num>
  <w:num w:numId="18">
    <w:abstractNumId w:val="11"/>
  </w:num>
  <w:num w:numId="19">
    <w:abstractNumId w:val="15"/>
  </w:num>
  <w:num w:numId="20">
    <w:abstractNumId w:val="13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A45"/>
    <w:rsid w:val="0000340B"/>
    <w:rsid w:val="00006E67"/>
    <w:rsid w:val="000257A1"/>
    <w:rsid w:val="00031D63"/>
    <w:rsid w:val="00043385"/>
    <w:rsid w:val="000615A2"/>
    <w:rsid w:val="00061DF2"/>
    <w:rsid w:val="000708AF"/>
    <w:rsid w:val="00074E6C"/>
    <w:rsid w:val="00093B39"/>
    <w:rsid w:val="000957D1"/>
    <w:rsid w:val="00096496"/>
    <w:rsid w:val="00097773"/>
    <w:rsid w:val="000B2517"/>
    <w:rsid w:val="000D0D79"/>
    <w:rsid w:val="000D7301"/>
    <w:rsid w:val="000E6E79"/>
    <w:rsid w:val="000F2A26"/>
    <w:rsid w:val="001143D2"/>
    <w:rsid w:val="001433C0"/>
    <w:rsid w:val="001470EC"/>
    <w:rsid w:val="00153088"/>
    <w:rsid w:val="00173388"/>
    <w:rsid w:val="00180D70"/>
    <w:rsid w:val="001818BC"/>
    <w:rsid w:val="00183EEF"/>
    <w:rsid w:val="00190D4C"/>
    <w:rsid w:val="00192B9E"/>
    <w:rsid w:val="001A1CEF"/>
    <w:rsid w:val="001C0824"/>
    <w:rsid w:val="001C1ACF"/>
    <w:rsid w:val="001D59A7"/>
    <w:rsid w:val="001D6C9A"/>
    <w:rsid w:val="001D78D1"/>
    <w:rsid w:val="001F19AC"/>
    <w:rsid w:val="001F2402"/>
    <w:rsid w:val="001F49DB"/>
    <w:rsid w:val="00207A90"/>
    <w:rsid w:val="00224214"/>
    <w:rsid w:val="00231DC7"/>
    <w:rsid w:val="00236429"/>
    <w:rsid w:val="00240A4D"/>
    <w:rsid w:val="00241DD7"/>
    <w:rsid w:val="0024328C"/>
    <w:rsid w:val="00244DF3"/>
    <w:rsid w:val="00261838"/>
    <w:rsid w:val="00263341"/>
    <w:rsid w:val="002719DC"/>
    <w:rsid w:val="0028461B"/>
    <w:rsid w:val="00287BD4"/>
    <w:rsid w:val="002929ED"/>
    <w:rsid w:val="002B040C"/>
    <w:rsid w:val="002B11AF"/>
    <w:rsid w:val="002B2ABB"/>
    <w:rsid w:val="002C0BFB"/>
    <w:rsid w:val="002C5E40"/>
    <w:rsid w:val="002D2A77"/>
    <w:rsid w:val="002F4A5E"/>
    <w:rsid w:val="00304A47"/>
    <w:rsid w:val="00313DA6"/>
    <w:rsid w:val="00314477"/>
    <w:rsid w:val="00325E44"/>
    <w:rsid w:val="003425C2"/>
    <w:rsid w:val="00346E87"/>
    <w:rsid w:val="0035203C"/>
    <w:rsid w:val="00354CAC"/>
    <w:rsid w:val="00357954"/>
    <w:rsid w:val="00360625"/>
    <w:rsid w:val="00371ACC"/>
    <w:rsid w:val="00385A08"/>
    <w:rsid w:val="00392EF9"/>
    <w:rsid w:val="00395B41"/>
    <w:rsid w:val="003A606D"/>
    <w:rsid w:val="003C73D0"/>
    <w:rsid w:val="003C7ABE"/>
    <w:rsid w:val="003D6B66"/>
    <w:rsid w:val="003E6A45"/>
    <w:rsid w:val="003E6BC4"/>
    <w:rsid w:val="003F60D7"/>
    <w:rsid w:val="00404666"/>
    <w:rsid w:val="00410E9A"/>
    <w:rsid w:val="00412930"/>
    <w:rsid w:val="004149CE"/>
    <w:rsid w:val="00422A32"/>
    <w:rsid w:val="004243E9"/>
    <w:rsid w:val="00426D61"/>
    <w:rsid w:val="00437C53"/>
    <w:rsid w:val="0044710C"/>
    <w:rsid w:val="00450705"/>
    <w:rsid w:val="00450823"/>
    <w:rsid w:val="00471323"/>
    <w:rsid w:val="004772A2"/>
    <w:rsid w:val="00487AD6"/>
    <w:rsid w:val="004918F3"/>
    <w:rsid w:val="00494670"/>
    <w:rsid w:val="00497324"/>
    <w:rsid w:val="004B58BA"/>
    <w:rsid w:val="004C06D7"/>
    <w:rsid w:val="004D3346"/>
    <w:rsid w:val="004D65D7"/>
    <w:rsid w:val="004D7D68"/>
    <w:rsid w:val="004E176E"/>
    <w:rsid w:val="0050799C"/>
    <w:rsid w:val="005100FD"/>
    <w:rsid w:val="005102E6"/>
    <w:rsid w:val="005171AA"/>
    <w:rsid w:val="0052320E"/>
    <w:rsid w:val="00526AD4"/>
    <w:rsid w:val="0053214F"/>
    <w:rsid w:val="00535E79"/>
    <w:rsid w:val="00546428"/>
    <w:rsid w:val="00560DCA"/>
    <w:rsid w:val="00570FEB"/>
    <w:rsid w:val="005819C8"/>
    <w:rsid w:val="00586FD4"/>
    <w:rsid w:val="005A2424"/>
    <w:rsid w:val="005D1D16"/>
    <w:rsid w:val="005D4BD0"/>
    <w:rsid w:val="005E0F58"/>
    <w:rsid w:val="005E52D5"/>
    <w:rsid w:val="005F23C7"/>
    <w:rsid w:val="005F5DCD"/>
    <w:rsid w:val="005F63C6"/>
    <w:rsid w:val="0061339A"/>
    <w:rsid w:val="00615CEB"/>
    <w:rsid w:val="0062383A"/>
    <w:rsid w:val="006247C6"/>
    <w:rsid w:val="00642823"/>
    <w:rsid w:val="006435AC"/>
    <w:rsid w:val="00650F0A"/>
    <w:rsid w:val="00662B3E"/>
    <w:rsid w:val="00666178"/>
    <w:rsid w:val="00670344"/>
    <w:rsid w:val="006763C6"/>
    <w:rsid w:val="00691C06"/>
    <w:rsid w:val="006A7EEF"/>
    <w:rsid w:val="006E2101"/>
    <w:rsid w:val="006E2C41"/>
    <w:rsid w:val="006E38F3"/>
    <w:rsid w:val="006F10D3"/>
    <w:rsid w:val="006F680C"/>
    <w:rsid w:val="00711051"/>
    <w:rsid w:val="00711809"/>
    <w:rsid w:val="0071339A"/>
    <w:rsid w:val="00713FF8"/>
    <w:rsid w:val="0072119D"/>
    <w:rsid w:val="00721714"/>
    <w:rsid w:val="00741CFC"/>
    <w:rsid w:val="007478B3"/>
    <w:rsid w:val="00756F1E"/>
    <w:rsid w:val="007652D3"/>
    <w:rsid w:val="00772BBA"/>
    <w:rsid w:val="00791837"/>
    <w:rsid w:val="007A0E4D"/>
    <w:rsid w:val="007A1FDE"/>
    <w:rsid w:val="007B3FFE"/>
    <w:rsid w:val="007D1C0A"/>
    <w:rsid w:val="007D2C90"/>
    <w:rsid w:val="007D4473"/>
    <w:rsid w:val="007D56A3"/>
    <w:rsid w:val="007D5C1A"/>
    <w:rsid w:val="007D6B3E"/>
    <w:rsid w:val="007E5A0C"/>
    <w:rsid w:val="007E7A9F"/>
    <w:rsid w:val="007F0113"/>
    <w:rsid w:val="00805A20"/>
    <w:rsid w:val="0081416E"/>
    <w:rsid w:val="00826154"/>
    <w:rsid w:val="008517F2"/>
    <w:rsid w:val="00856EB8"/>
    <w:rsid w:val="0085778C"/>
    <w:rsid w:val="00857E45"/>
    <w:rsid w:val="00863EA3"/>
    <w:rsid w:val="00870097"/>
    <w:rsid w:val="00872253"/>
    <w:rsid w:val="00890BBA"/>
    <w:rsid w:val="008A5E88"/>
    <w:rsid w:val="008A7BC3"/>
    <w:rsid w:val="008B569B"/>
    <w:rsid w:val="008B58C6"/>
    <w:rsid w:val="008C165A"/>
    <w:rsid w:val="008D1AD6"/>
    <w:rsid w:val="008D4F9C"/>
    <w:rsid w:val="008E4458"/>
    <w:rsid w:val="008E5C1C"/>
    <w:rsid w:val="008F0987"/>
    <w:rsid w:val="008F6FEE"/>
    <w:rsid w:val="009226E8"/>
    <w:rsid w:val="0092462D"/>
    <w:rsid w:val="00933F25"/>
    <w:rsid w:val="00942447"/>
    <w:rsid w:val="00961658"/>
    <w:rsid w:val="00981129"/>
    <w:rsid w:val="0099020C"/>
    <w:rsid w:val="00991E39"/>
    <w:rsid w:val="009C6DB5"/>
    <w:rsid w:val="009E1972"/>
    <w:rsid w:val="009E3AE9"/>
    <w:rsid w:val="009E4631"/>
    <w:rsid w:val="009F4514"/>
    <w:rsid w:val="009F5A37"/>
    <w:rsid w:val="00A0184D"/>
    <w:rsid w:val="00A0225E"/>
    <w:rsid w:val="00A05FEF"/>
    <w:rsid w:val="00A10B44"/>
    <w:rsid w:val="00A16B11"/>
    <w:rsid w:val="00A25E38"/>
    <w:rsid w:val="00A2645B"/>
    <w:rsid w:val="00A27074"/>
    <w:rsid w:val="00A275E2"/>
    <w:rsid w:val="00A27A80"/>
    <w:rsid w:val="00A328A6"/>
    <w:rsid w:val="00A404E2"/>
    <w:rsid w:val="00A412CF"/>
    <w:rsid w:val="00A50DE1"/>
    <w:rsid w:val="00A60B39"/>
    <w:rsid w:val="00A76024"/>
    <w:rsid w:val="00A800AC"/>
    <w:rsid w:val="00A8480D"/>
    <w:rsid w:val="00A9322C"/>
    <w:rsid w:val="00A96549"/>
    <w:rsid w:val="00A97FBD"/>
    <w:rsid w:val="00AA124E"/>
    <w:rsid w:val="00AA43FD"/>
    <w:rsid w:val="00AA7963"/>
    <w:rsid w:val="00AB3574"/>
    <w:rsid w:val="00AC60FC"/>
    <w:rsid w:val="00AD1E79"/>
    <w:rsid w:val="00AD4C49"/>
    <w:rsid w:val="00AD7BC1"/>
    <w:rsid w:val="00AF2BFC"/>
    <w:rsid w:val="00B138CB"/>
    <w:rsid w:val="00B233DA"/>
    <w:rsid w:val="00B24366"/>
    <w:rsid w:val="00B32938"/>
    <w:rsid w:val="00B37910"/>
    <w:rsid w:val="00B37998"/>
    <w:rsid w:val="00B42562"/>
    <w:rsid w:val="00B65066"/>
    <w:rsid w:val="00B6777B"/>
    <w:rsid w:val="00B83FA9"/>
    <w:rsid w:val="00B96A28"/>
    <w:rsid w:val="00BA25DD"/>
    <w:rsid w:val="00BA67B0"/>
    <w:rsid w:val="00BB08CC"/>
    <w:rsid w:val="00BB0D71"/>
    <w:rsid w:val="00BC04E0"/>
    <w:rsid w:val="00C04361"/>
    <w:rsid w:val="00C1452D"/>
    <w:rsid w:val="00C15F61"/>
    <w:rsid w:val="00C20DC0"/>
    <w:rsid w:val="00C62992"/>
    <w:rsid w:val="00C64281"/>
    <w:rsid w:val="00C776A1"/>
    <w:rsid w:val="00C814B5"/>
    <w:rsid w:val="00C81B42"/>
    <w:rsid w:val="00C843EF"/>
    <w:rsid w:val="00C94F7C"/>
    <w:rsid w:val="00C95795"/>
    <w:rsid w:val="00CA587E"/>
    <w:rsid w:val="00CB158A"/>
    <w:rsid w:val="00CB7827"/>
    <w:rsid w:val="00CD0525"/>
    <w:rsid w:val="00CD5239"/>
    <w:rsid w:val="00CE71D5"/>
    <w:rsid w:val="00CF5D92"/>
    <w:rsid w:val="00D00EDD"/>
    <w:rsid w:val="00D109F7"/>
    <w:rsid w:val="00D12C8A"/>
    <w:rsid w:val="00D159E2"/>
    <w:rsid w:val="00D16832"/>
    <w:rsid w:val="00D20C50"/>
    <w:rsid w:val="00D26158"/>
    <w:rsid w:val="00D30791"/>
    <w:rsid w:val="00D315BB"/>
    <w:rsid w:val="00D35A41"/>
    <w:rsid w:val="00D46B9B"/>
    <w:rsid w:val="00D53D2B"/>
    <w:rsid w:val="00D567C6"/>
    <w:rsid w:val="00D61638"/>
    <w:rsid w:val="00D64F69"/>
    <w:rsid w:val="00D87503"/>
    <w:rsid w:val="00D94699"/>
    <w:rsid w:val="00D9718A"/>
    <w:rsid w:val="00DA0705"/>
    <w:rsid w:val="00DA4ACD"/>
    <w:rsid w:val="00DC09B5"/>
    <w:rsid w:val="00DF3103"/>
    <w:rsid w:val="00E06A34"/>
    <w:rsid w:val="00E101C2"/>
    <w:rsid w:val="00E14EA8"/>
    <w:rsid w:val="00E16D84"/>
    <w:rsid w:val="00E209CD"/>
    <w:rsid w:val="00E213B0"/>
    <w:rsid w:val="00E4134C"/>
    <w:rsid w:val="00E47DD2"/>
    <w:rsid w:val="00E63776"/>
    <w:rsid w:val="00E75E2D"/>
    <w:rsid w:val="00E830B9"/>
    <w:rsid w:val="00EA24AD"/>
    <w:rsid w:val="00EA45E5"/>
    <w:rsid w:val="00EA7843"/>
    <w:rsid w:val="00EB37C2"/>
    <w:rsid w:val="00EC4108"/>
    <w:rsid w:val="00EC5E33"/>
    <w:rsid w:val="00EC7B78"/>
    <w:rsid w:val="00ED60E5"/>
    <w:rsid w:val="00ED62CD"/>
    <w:rsid w:val="00EE08CA"/>
    <w:rsid w:val="00EE3B7A"/>
    <w:rsid w:val="00EE4192"/>
    <w:rsid w:val="00F003A4"/>
    <w:rsid w:val="00F01C10"/>
    <w:rsid w:val="00F046B1"/>
    <w:rsid w:val="00F07140"/>
    <w:rsid w:val="00F1287C"/>
    <w:rsid w:val="00F20AA5"/>
    <w:rsid w:val="00F22A08"/>
    <w:rsid w:val="00F46EAF"/>
    <w:rsid w:val="00F507B8"/>
    <w:rsid w:val="00F73630"/>
    <w:rsid w:val="00F80A38"/>
    <w:rsid w:val="00F863F2"/>
    <w:rsid w:val="00F9337D"/>
    <w:rsid w:val="00F94205"/>
    <w:rsid w:val="00FA224A"/>
    <w:rsid w:val="00FC3BBF"/>
    <w:rsid w:val="00FE0633"/>
    <w:rsid w:val="00FE1EA0"/>
    <w:rsid w:val="00FE20D8"/>
    <w:rsid w:val="00FE5DDC"/>
    <w:rsid w:val="00FF271F"/>
    <w:rsid w:val="00FF3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docId w15:val="{2D125F2C-40D8-49E8-A548-8D4F364A5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uiPriority="9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385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043385"/>
    <w:pPr>
      <w:keepNext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qFormat/>
    <w:rsid w:val="00043385"/>
    <w:pPr>
      <w:keepNext/>
      <w:outlineLvl w:val="4"/>
    </w:pPr>
    <w:rPr>
      <w:rFonts w:ascii="Univers" w:hAnsi="Univers"/>
      <w:b/>
      <w:u w:val="single"/>
    </w:rPr>
  </w:style>
  <w:style w:type="paragraph" w:styleId="Heading6">
    <w:name w:val="heading 6"/>
    <w:basedOn w:val="Normal"/>
    <w:next w:val="Normal"/>
    <w:qFormat/>
    <w:rsid w:val="00043385"/>
    <w:pPr>
      <w:keepNext/>
      <w:outlineLvl w:val="5"/>
    </w:pPr>
    <w:rPr>
      <w:rFonts w:ascii="Univers" w:hAnsi="Univers"/>
      <w:b/>
    </w:rPr>
  </w:style>
  <w:style w:type="paragraph" w:styleId="Heading7">
    <w:name w:val="heading 7"/>
    <w:basedOn w:val="Normal"/>
    <w:next w:val="Normal"/>
    <w:link w:val="Heading7Char"/>
    <w:qFormat/>
    <w:rsid w:val="00043385"/>
    <w:pPr>
      <w:keepNext/>
      <w:outlineLvl w:val="6"/>
    </w:pPr>
    <w:rPr>
      <w:rFonts w:ascii="Univers" w:hAnsi="Univers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43385"/>
  </w:style>
  <w:style w:type="paragraph" w:customStyle="1" w:styleId="arial11">
    <w:name w:val="arial11"/>
    <w:basedOn w:val="Normal"/>
    <w:rsid w:val="00043385"/>
  </w:style>
  <w:style w:type="paragraph" w:styleId="BodyText">
    <w:name w:val="Body Text"/>
    <w:basedOn w:val="Normal"/>
    <w:rsid w:val="00043385"/>
  </w:style>
  <w:style w:type="paragraph" w:styleId="Footer">
    <w:name w:val="footer"/>
    <w:basedOn w:val="Normal"/>
    <w:rsid w:val="00043385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43385"/>
  </w:style>
  <w:style w:type="paragraph" w:styleId="BalloonText">
    <w:name w:val="Balloon Text"/>
    <w:basedOn w:val="Normal"/>
    <w:semiHidden/>
    <w:rsid w:val="0035795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63F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2823"/>
    <w:pPr>
      <w:ind w:left="720"/>
    </w:pPr>
    <w:rPr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BB0D71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97F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7FBD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7FBD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7F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7FBD"/>
    <w:rPr>
      <w:rFonts w:ascii="Arial" w:hAnsi="Arial"/>
      <w:b/>
      <w:bCs/>
    </w:rPr>
  </w:style>
  <w:style w:type="character" w:customStyle="1" w:styleId="Heading7Char">
    <w:name w:val="Heading 7 Char"/>
    <w:basedOn w:val="DefaultParagraphFont"/>
    <w:link w:val="Heading7"/>
    <w:rsid w:val="00F80A38"/>
    <w:rPr>
      <w:rFonts w:ascii="Univers" w:hAnsi="Univers"/>
      <w:sz w:val="24"/>
      <w:u w:val="single"/>
    </w:rPr>
  </w:style>
  <w:style w:type="character" w:customStyle="1" w:styleId="Heading5Char">
    <w:name w:val="Heading 5 Char"/>
    <w:basedOn w:val="DefaultParagraphFont"/>
    <w:link w:val="Heading5"/>
    <w:rsid w:val="00F80A38"/>
    <w:rPr>
      <w:rFonts w:ascii="Univers" w:hAnsi="Univer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1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8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ie.dunne@lancashire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hris\Toolkit%20templates\Annex%206b%20-%20Committee%20Report%20(Excluding%20Regulation%20%20Development%20Control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B90DC-C124-48CB-97E8-D0500739D8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Annex 6b - Committee Report (Excluding Regulation  Development Control).dot</Template>
  <TotalTime>9</TotalTime>
  <Pages>3</Pages>
  <Words>587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name of Committee</vt:lpstr>
    </vt:vector>
  </TitlesOfParts>
  <Company> </Company>
  <LinksUpToDate>false</LinksUpToDate>
  <CharactersWithSpaces>3814</CharactersWithSpaces>
  <SharedDoc>false</SharedDoc>
  <HLinks>
    <vt:vector size="6" baseType="variant">
      <vt:variant>
        <vt:i4>4587617</vt:i4>
      </vt:variant>
      <vt:variant>
        <vt:i4>0</vt:i4>
      </vt:variant>
      <vt:variant>
        <vt:i4>0</vt:i4>
      </vt:variant>
      <vt:variant>
        <vt:i4>5</vt:i4>
      </vt:variant>
      <vt:variant>
        <vt:lpwstr>mailto:Michael.Walder@lancashire.gov.uk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name of Committee</dc:title>
  <dc:subject/>
  <dc:creator>rdmcm</dc:creator>
  <cp:keywords/>
  <dc:description>August 2009</dc:description>
  <cp:lastModifiedBy>Gorman, Dave</cp:lastModifiedBy>
  <cp:revision>4</cp:revision>
  <cp:lastPrinted>2013-09-23T14:34:00Z</cp:lastPrinted>
  <dcterms:created xsi:type="dcterms:W3CDTF">2015-01-27T09:20:00Z</dcterms:created>
  <dcterms:modified xsi:type="dcterms:W3CDTF">2015-01-27T09:47:00Z</dcterms:modified>
</cp:coreProperties>
</file>