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45" w:rsidRDefault="00F34989">
      <w:pPr>
        <w:rPr>
          <w:b/>
        </w:rPr>
      </w:pPr>
      <w:r>
        <w:rPr>
          <w:b/>
        </w:rPr>
        <w:t>Pension Fund</w:t>
      </w:r>
      <w:r w:rsidR="00C434D1">
        <w:rPr>
          <w:b/>
        </w:rPr>
        <w:t xml:space="preserve"> Committee</w:t>
      </w:r>
    </w:p>
    <w:p w:rsidR="003E6A45" w:rsidRDefault="003E6A45">
      <w:r>
        <w:t xml:space="preserve">Meeting to be held </w:t>
      </w:r>
      <w:r w:rsidR="00C434D1">
        <w:t xml:space="preserve">on </w:t>
      </w:r>
      <w:r w:rsidR="00F34989">
        <w:t>30</w:t>
      </w:r>
      <w:r w:rsidR="00C434D1">
        <w:t xml:space="preserve"> September 201</w:t>
      </w:r>
      <w:r w:rsidR="00B53C9F">
        <w:t>5</w:t>
      </w:r>
    </w:p>
    <w:p w:rsidR="003E6A45" w:rsidRDefault="003E6A45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3E6A45">
        <w:tc>
          <w:tcPr>
            <w:tcW w:w="3260" w:type="dxa"/>
          </w:tcPr>
          <w:p w:rsidR="003E6A45" w:rsidRDefault="003E6A45">
            <w:pPr>
              <w:pStyle w:val="BodyText"/>
            </w:pPr>
            <w:r>
              <w:t>Electoral Division affected:</w:t>
            </w:r>
          </w:p>
          <w:p w:rsidR="003E6A45" w:rsidRDefault="00E75494">
            <w:pPr>
              <w:rPr>
                <w:u w:val="single"/>
              </w:rPr>
            </w:pPr>
            <w:r>
              <w:t>None</w:t>
            </w:r>
          </w:p>
        </w:tc>
      </w:tr>
    </w:tbl>
    <w:p w:rsidR="003E6A45" w:rsidRDefault="003E6A45">
      <w:pPr>
        <w:rPr>
          <w:u w:val="single"/>
        </w:rPr>
      </w:pPr>
    </w:p>
    <w:p w:rsidR="00E75494" w:rsidRDefault="00E75494">
      <w:pPr>
        <w:rPr>
          <w:b/>
        </w:rPr>
      </w:pPr>
    </w:p>
    <w:p w:rsidR="003E6A45" w:rsidRDefault="00F34989">
      <w:pPr>
        <w:rPr>
          <w:b/>
        </w:rPr>
      </w:pPr>
      <w:r>
        <w:rPr>
          <w:b/>
        </w:rPr>
        <w:t>Annual Report and Statement of Accounts</w:t>
      </w:r>
      <w:r w:rsidR="00C434D1">
        <w:rPr>
          <w:b/>
        </w:rPr>
        <w:t xml:space="preserve"> of Lancashire County Pension Fund </w:t>
      </w:r>
      <w:r>
        <w:rPr>
          <w:b/>
        </w:rPr>
        <w:t>for the year ended 31 March 2015</w:t>
      </w:r>
    </w:p>
    <w:p w:rsidR="007A7734" w:rsidRPr="00E75494" w:rsidRDefault="007A7734">
      <w:r w:rsidRPr="00E75494">
        <w:t>(Appendix 'A' refers)</w:t>
      </w:r>
    </w:p>
    <w:p w:rsidR="003E6A45" w:rsidRDefault="003E6A45"/>
    <w:p w:rsidR="003E6A45" w:rsidRDefault="003E6A45">
      <w:r>
        <w:t>Contact for further information:</w:t>
      </w:r>
    </w:p>
    <w:p w:rsidR="00C434D1" w:rsidRDefault="004B504C" w:rsidP="00C434D1">
      <w:r>
        <w:t>Abigail Leech</w:t>
      </w:r>
      <w:r w:rsidR="00C434D1">
        <w:t xml:space="preserve">, </w:t>
      </w:r>
      <w:r w:rsidR="00E75494">
        <w:t>(</w:t>
      </w:r>
      <w:r w:rsidR="00C434D1">
        <w:t>01772</w:t>
      </w:r>
      <w:r w:rsidR="00E75494">
        <w:t>)</w:t>
      </w:r>
      <w:r w:rsidR="00C434D1">
        <w:t xml:space="preserve"> 53</w:t>
      </w:r>
      <w:r>
        <w:t>0808</w:t>
      </w:r>
      <w:r w:rsidR="00C434D1">
        <w:t xml:space="preserve">, </w:t>
      </w:r>
      <w:r w:rsidR="009A2045">
        <w:t xml:space="preserve">Head of Corporate Finance, </w:t>
      </w:r>
      <w:r w:rsidR="00B53C9F">
        <w:t>Financial Resources</w:t>
      </w:r>
      <w:r w:rsidR="00C434D1">
        <w:t xml:space="preserve">, </w:t>
      </w:r>
      <w:hyperlink r:id="rId7" w:history="1">
        <w:r w:rsidR="00E75494" w:rsidRPr="001506FA">
          <w:rPr>
            <w:rStyle w:val="Hyperlink"/>
          </w:rPr>
          <w:t>abigail.leech@lancashire.gov.uk</w:t>
        </w:r>
      </w:hyperlink>
      <w:r w:rsidR="00E75494">
        <w:t xml:space="preserve"> </w:t>
      </w:r>
    </w:p>
    <w:p w:rsidR="003E6A45" w:rsidRDefault="003E6A4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E6A45">
        <w:tc>
          <w:tcPr>
            <w:tcW w:w="9180" w:type="dxa"/>
          </w:tcPr>
          <w:p w:rsidR="003E6A45" w:rsidRDefault="003E6A45">
            <w:pPr>
              <w:pStyle w:val="Header"/>
            </w:pPr>
          </w:p>
          <w:p w:rsidR="003E6A45" w:rsidRDefault="003E6A45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853A96" w:rsidRDefault="00853A96" w:rsidP="00C434D1"/>
          <w:p w:rsidR="00853A96" w:rsidRPr="00E75494" w:rsidRDefault="00F34989" w:rsidP="00E754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75494">
              <w:rPr>
                <w:rFonts w:cs="Arial"/>
                <w:szCs w:val="24"/>
              </w:rPr>
              <w:t>This report sets out the Lancashire County Pension Fund Annual Report for the</w:t>
            </w:r>
            <w:r w:rsidR="00E75494">
              <w:rPr>
                <w:rFonts w:cs="Arial"/>
                <w:szCs w:val="24"/>
              </w:rPr>
              <w:t xml:space="preserve"> </w:t>
            </w:r>
            <w:r w:rsidRPr="00E75494">
              <w:rPr>
                <w:rFonts w:cs="Arial"/>
                <w:szCs w:val="24"/>
              </w:rPr>
              <w:t>year ended 31 March 2015.</w:t>
            </w:r>
          </w:p>
          <w:p w:rsidR="003E6A45" w:rsidRPr="00E75494" w:rsidRDefault="003E6A45" w:rsidP="00E75494">
            <w:pPr>
              <w:jc w:val="both"/>
              <w:rPr>
                <w:rFonts w:cs="Arial"/>
              </w:rPr>
            </w:pPr>
          </w:p>
          <w:p w:rsidR="003E6A45" w:rsidRDefault="003E6A45">
            <w:pPr>
              <w:pStyle w:val="Heading5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095995" w:rsidRPr="00095995" w:rsidRDefault="00095995" w:rsidP="00095995"/>
          <w:p w:rsidR="00E75494" w:rsidRDefault="000C793A" w:rsidP="00E754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75494">
              <w:rPr>
                <w:rFonts w:cs="Arial"/>
                <w:szCs w:val="24"/>
              </w:rPr>
              <w:t>The Committee is asked</w:t>
            </w:r>
            <w:r w:rsidR="00E75494">
              <w:rPr>
                <w:rFonts w:cs="Arial"/>
                <w:szCs w:val="24"/>
              </w:rPr>
              <w:t>:</w:t>
            </w:r>
          </w:p>
          <w:p w:rsidR="00E75494" w:rsidRDefault="00E75494" w:rsidP="00E754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E75494" w:rsidRPr="00E75494" w:rsidRDefault="00E75494" w:rsidP="00E7549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75494">
              <w:rPr>
                <w:rFonts w:cs="Arial"/>
                <w:szCs w:val="24"/>
              </w:rPr>
              <w:t>T</w:t>
            </w:r>
            <w:r w:rsidR="000C793A" w:rsidRPr="00E75494">
              <w:rPr>
                <w:rFonts w:cs="Arial"/>
                <w:szCs w:val="24"/>
              </w:rPr>
              <w:t xml:space="preserve">o review </w:t>
            </w:r>
            <w:r>
              <w:rPr>
                <w:rFonts w:cs="Arial"/>
                <w:szCs w:val="24"/>
              </w:rPr>
              <w:t xml:space="preserve">and approve </w:t>
            </w:r>
            <w:r w:rsidR="000C793A" w:rsidRPr="00E75494">
              <w:rPr>
                <w:rFonts w:cs="Arial"/>
                <w:szCs w:val="24"/>
              </w:rPr>
              <w:t>the Lancashire County Pension Fund Annual</w:t>
            </w:r>
            <w:r w:rsidRPr="00E75494">
              <w:rPr>
                <w:rFonts w:cs="Arial"/>
                <w:szCs w:val="24"/>
              </w:rPr>
              <w:t xml:space="preserve"> </w:t>
            </w:r>
            <w:r w:rsidR="000C793A" w:rsidRPr="00E75494">
              <w:rPr>
                <w:rFonts w:cs="Arial"/>
                <w:szCs w:val="24"/>
              </w:rPr>
              <w:t>Report for the year ended 31 March 201</w:t>
            </w:r>
            <w:r w:rsidR="00095995" w:rsidRPr="00E75494">
              <w:rPr>
                <w:rFonts w:cs="Arial"/>
                <w:szCs w:val="24"/>
              </w:rPr>
              <w:t>5</w:t>
            </w:r>
            <w:r w:rsidR="000C793A" w:rsidRPr="00E75494">
              <w:rPr>
                <w:rFonts w:cs="Arial"/>
                <w:szCs w:val="24"/>
              </w:rPr>
              <w:t xml:space="preserve"> as set out at Appendix ‘A’</w:t>
            </w:r>
            <w:r w:rsidRPr="00E75494">
              <w:rPr>
                <w:rFonts w:cs="Arial"/>
                <w:szCs w:val="24"/>
              </w:rPr>
              <w:t>;</w:t>
            </w:r>
          </w:p>
          <w:p w:rsidR="003E6A45" w:rsidRPr="00E75494" w:rsidRDefault="00E75494" w:rsidP="00E7549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 that the report will be submitted to the meeting of</w:t>
            </w:r>
            <w:r w:rsidR="000C793A" w:rsidRPr="00E75494">
              <w:rPr>
                <w:rFonts w:cs="Arial"/>
                <w:szCs w:val="24"/>
              </w:rPr>
              <w:t xml:space="preserve"> Full Council</w:t>
            </w:r>
            <w:r>
              <w:rPr>
                <w:rFonts w:cs="Arial"/>
                <w:szCs w:val="24"/>
              </w:rPr>
              <w:t xml:space="preserve"> on 22 October 2015</w:t>
            </w:r>
            <w:r w:rsidR="000C793A" w:rsidRPr="00E75494">
              <w:rPr>
                <w:rFonts w:cs="Arial"/>
                <w:szCs w:val="24"/>
              </w:rPr>
              <w:t>.</w:t>
            </w:r>
          </w:p>
          <w:p w:rsidR="000C793A" w:rsidRDefault="000C793A" w:rsidP="000C793A"/>
        </w:tc>
      </w:tr>
    </w:tbl>
    <w:p w:rsidR="003E6A45" w:rsidRDefault="003E6A45">
      <w:pPr>
        <w:pStyle w:val="Header"/>
      </w:pPr>
    </w:p>
    <w:p w:rsidR="00772BBA" w:rsidRDefault="00772BBA" w:rsidP="00772BBA">
      <w:pPr>
        <w:rPr>
          <w:b/>
        </w:rPr>
      </w:pPr>
      <w:r>
        <w:rPr>
          <w:b/>
        </w:rPr>
        <w:t xml:space="preserve">Background and Advice </w:t>
      </w:r>
    </w:p>
    <w:p w:rsidR="00C434D1" w:rsidRDefault="00C434D1" w:rsidP="00E75494">
      <w:pPr>
        <w:jc w:val="both"/>
        <w:rPr>
          <w:b/>
        </w:rPr>
      </w:pPr>
    </w:p>
    <w:p w:rsidR="000C793A" w:rsidRPr="009C519F" w:rsidRDefault="000C793A" w:rsidP="00E75494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9C519F">
        <w:rPr>
          <w:rFonts w:cs="Arial"/>
          <w:szCs w:val="24"/>
        </w:rPr>
        <w:t>The Local Government Pension Scheme (Administration) Regulations 2008 (No</w:t>
      </w:r>
      <w:r w:rsidR="009C519F" w:rsidRPr="009C519F">
        <w:rPr>
          <w:rFonts w:cs="Arial"/>
          <w:szCs w:val="24"/>
        </w:rPr>
        <w:t xml:space="preserve"> 239)</w:t>
      </w:r>
      <w:r w:rsidR="00E75494">
        <w:rPr>
          <w:rFonts w:cs="Arial"/>
          <w:szCs w:val="24"/>
        </w:rPr>
        <w:t xml:space="preserve"> </w:t>
      </w:r>
      <w:r w:rsidRPr="009C519F">
        <w:rPr>
          <w:rFonts w:cs="Arial"/>
          <w:szCs w:val="24"/>
        </w:rPr>
        <w:t xml:space="preserve">requires each administering authority to prepare an annual report for the </w:t>
      </w:r>
      <w:r w:rsidR="009C519F" w:rsidRPr="009C519F">
        <w:rPr>
          <w:rFonts w:cs="Arial"/>
          <w:szCs w:val="24"/>
        </w:rPr>
        <w:t>p</w:t>
      </w:r>
      <w:r w:rsidRPr="009C519F">
        <w:rPr>
          <w:rFonts w:cs="Arial"/>
          <w:szCs w:val="24"/>
        </w:rPr>
        <w:t>ension fund and publish it before 1 December following the year end. The</w:t>
      </w:r>
      <w:r w:rsidR="009C519F" w:rsidRPr="009C519F">
        <w:rPr>
          <w:rFonts w:cs="Arial"/>
          <w:szCs w:val="24"/>
        </w:rPr>
        <w:t xml:space="preserve"> </w:t>
      </w:r>
      <w:r w:rsidRPr="009C519F">
        <w:rPr>
          <w:rFonts w:cs="Arial"/>
          <w:szCs w:val="24"/>
        </w:rPr>
        <w:t>regulations prescribe that the following should be included in the annual report:</w:t>
      </w:r>
    </w:p>
    <w:p w:rsidR="000C793A" w:rsidRPr="009C519F" w:rsidRDefault="000C793A" w:rsidP="00E75494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0C793A" w:rsidRPr="009C519F" w:rsidRDefault="000C793A" w:rsidP="00E75494">
      <w:pPr>
        <w:tabs>
          <w:tab w:val="left" w:pos="284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9C519F">
        <w:rPr>
          <w:rFonts w:cs="Arial"/>
          <w:szCs w:val="24"/>
        </w:rPr>
        <w:t>- a report on the management and financial performance of the fund during the</w:t>
      </w:r>
    </w:p>
    <w:p w:rsidR="000C793A" w:rsidRPr="009C519F" w:rsidRDefault="000C793A" w:rsidP="00E75494">
      <w:pPr>
        <w:tabs>
          <w:tab w:val="left" w:pos="284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9C519F">
        <w:rPr>
          <w:rFonts w:cs="Arial"/>
          <w:szCs w:val="24"/>
        </w:rPr>
        <w:t xml:space="preserve">  year;</w:t>
      </w:r>
    </w:p>
    <w:p w:rsidR="000C793A" w:rsidRPr="009C519F" w:rsidRDefault="000C793A" w:rsidP="00E75494">
      <w:pPr>
        <w:tabs>
          <w:tab w:val="left" w:pos="284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9C519F">
        <w:rPr>
          <w:rFonts w:cs="Arial"/>
          <w:szCs w:val="24"/>
        </w:rPr>
        <w:t>- an explanation of the investment policy;</w:t>
      </w:r>
    </w:p>
    <w:p w:rsidR="000C793A" w:rsidRPr="009C519F" w:rsidRDefault="000C793A" w:rsidP="00E75494">
      <w:pPr>
        <w:tabs>
          <w:tab w:val="left" w:pos="284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9C519F">
        <w:rPr>
          <w:rFonts w:cs="Arial"/>
          <w:szCs w:val="24"/>
        </w:rPr>
        <w:t>- a report on the administrative arrangements for the fund;</w:t>
      </w:r>
    </w:p>
    <w:p w:rsidR="000C793A" w:rsidRPr="009C519F" w:rsidRDefault="000C793A" w:rsidP="00E75494">
      <w:pPr>
        <w:tabs>
          <w:tab w:val="left" w:pos="284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9C519F">
        <w:rPr>
          <w:rFonts w:cs="Arial"/>
          <w:szCs w:val="24"/>
        </w:rPr>
        <w:t>- a statement from the actuary on the latest funding level;</w:t>
      </w:r>
    </w:p>
    <w:p w:rsidR="000C793A" w:rsidRPr="009C519F" w:rsidRDefault="000C793A" w:rsidP="00E75494">
      <w:pPr>
        <w:tabs>
          <w:tab w:val="left" w:pos="284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9C519F">
        <w:rPr>
          <w:rFonts w:cs="Arial"/>
          <w:szCs w:val="24"/>
        </w:rPr>
        <w:t>- the current version of the governance compliance statement;</w:t>
      </w:r>
    </w:p>
    <w:p w:rsidR="000C793A" w:rsidRPr="009C519F" w:rsidRDefault="000C793A" w:rsidP="00E75494">
      <w:pPr>
        <w:tabs>
          <w:tab w:val="left" w:pos="284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9C519F">
        <w:rPr>
          <w:rFonts w:cs="Arial"/>
          <w:szCs w:val="24"/>
        </w:rPr>
        <w:t>- the fund account and net asset statement with supporting notes and disclosures;</w:t>
      </w:r>
    </w:p>
    <w:p w:rsidR="000C793A" w:rsidRPr="009C519F" w:rsidRDefault="000C793A" w:rsidP="00E75494">
      <w:pPr>
        <w:tabs>
          <w:tab w:val="left" w:pos="284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9C519F">
        <w:rPr>
          <w:rFonts w:cs="Arial"/>
          <w:szCs w:val="24"/>
        </w:rPr>
        <w:t>- the extent to which the fund has achieved its required performance levels; and</w:t>
      </w:r>
    </w:p>
    <w:p w:rsidR="000C793A" w:rsidRPr="009C519F" w:rsidRDefault="000C793A" w:rsidP="00E75494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rFonts w:cs="Arial"/>
          <w:szCs w:val="24"/>
        </w:rPr>
      </w:pPr>
      <w:r w:rsidRPr="009C519F">
        <w:rPr>
          <w:rFonts w:cs="Arial"/>
          <w:szCs w:val="24"/>
        </w:rPr>
        <w:t xml:space="preserve">- the current version of the funding strategy statement, the statement of Investment </w:t>
      </w:r>
      <w:r w:rsidR="009C519F" w:rsidRPr="009C519F">
        <w:rPr>
          <w:rFonts w:cs="Arial"/>
          <w:szCs w:val="24"/>
        </w:rPr>
        <w:t>p</w:t>
      </w:r>
      <w:r w:rsidRPr="009C519F">
        <w:rPr>
          <w:rFonts w:cs="Arial"/>
          <w:szCs w:val="24"/>
        </w:rPr>
        <w:t>rinciples and communications policy and any other information</w:t>
      </w:r>
    </w:p>
    <w:p w:rsidR="000C793A" w:rsidRPr="009C519F" w:rsidRDefault="000C793A" w:rsidP="00E75494">
      <w:pPr>
        <w:tabs>
          <w:tab w:val="left" w:pos="284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9C519F">
        <w:rPr>
          <w:rFonts w:cs="Arial"/>
          <w:szCs w:val="24"/>
        </w:rPr>
        <w:t xml:space="preserve">  </w:t>
      </w:r>
      <w:proofErr w:type="gramStart"/>
      <w:r w:rsidRPr="009C519F">
        <w:rPr>
          <w:rFonts w:cs="Arial"/>
          <w:szCs w:val="24"/>
        </w:rPr>
        <w:t>the</w:t>
      </w:r>
      <w:proofErr w:type="gramEnd"/>
      <w:r w:rsidRPr="009C519F">
        <w:rPr>
          <w:rFonts w:cs="Arial"/>
          <w:szCs w:val="24"/>
        </w:rPr>
        <w:t xml:space="preserve"> authority considers appropriate.</w:t>
      </w:r>
    </w:p>
    <w:p w:rsidR="00772BBA" w:rsidRPr="00E75494" w:rsidRDefault="000C793A" w:rsidP="00E75494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9C519F">
        <w:rPr>
          <w:rFonts w:cs="Arial"/>
          <w:szCs w:val="24"/>
        </w:rPr>
        <w:lastRenderedPageBreak/>
        <w:t xml:space="preserve">The terms of reference of the Pension Fund Committee </w:t>
      </w:r>
      <w:r w:rsidR="00E85446">
        <w:rPr>
          <w:rFonts w:cs="Arial"/>
          <w:szCs w:val="24"/>
        </w:rPr>
        <w:t>requires the Committee</w:t>
      </w:r>
      <w:r w:rsidRPr="009C519F">
        <w:rPr>
          <w:rFonts w:cs="Arial"/>
          <w:szCs w:val="24"/>
        </w:rPr>
        <w:t xml:space="preserve"> to approve the</w:t>
      </w:r>
      <w:r w:rsidR="00E75494">
        <w:rPr>
          <w:rFonts w:cs="Arial"/>
          <w:szCs w:val="24"/>
        </w:rPr>
        <w:t xml:space="preserve"> </w:t>
      </w:r>
      <w:r w:rsidRPr="009C519F">
        <w:rPr>
          <w:rFonts w:cs="Arial"/>
          <w:szCs w:val="24"/>
        </w:rPr>
        <w:t xml:space="preserve">annual report </w:t>
      </w:r>
      <w:r w:rsidR="00E75494">
        <w:rPr>
          <w:rFonts w:cs="Arial"/>
          <w:szCs w:val="24"/>
        </w:rPr>
        <w:t>to be</w:t>
      </w:r>
      <w:r w:rsidRPr="009C519F">
        <w:rPr>
          <w:rFonts w:cs="Arial"/>
          <w:szCs w:val="24"/>
        </w:rPr>
        <w:t xml:space="preserve"> submitted to Full Council</w:t>
      </w:r>
      <w:r>
        <w:rPr>
          <w:rFonts w:ascii="TT3F8o00" w:hAnsi="TT3F8o00" w:cs="TT3F8o00"/>
          <w:szCs w:val="24"/>
        </w:rPr>
        <w:t>.</w:t>
      </w:r>
    </w:p>
    <w:p w:rsidR="00772BBA" w:rsidRDefault="00772BBA">
      <w:pPr>
        <w:pStyle w:val="Heading1"/>
      </w:pPr>
    </w:p>
    <w:p w:rsidR="009C519F" w:rsidRPr="009C519F" w:rsidRDefault="009C519F" w:rsidP="00E75494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9C519F">
        <w:rPr>
          <w:rFonts w:cs="Arial"/>
          <w:szCs w:val="24"/>
        </w:rPr>
        <w:t>A copy of the Lancashire County Pension Fund Annual Report for the year ended 31</w:t>
      </w:r>
      <w:r w:rsidR="00E75494">
        <w:rPr>
          <w:rFonts w:cs="Arial"/>
          <w:szCs w:val="24"/>
        </w:rPr>
        <w:t xml:space="preserve"> </w:t>
      </w:r>
      <w:r w:rsidRPr="009C519F">
        <w:rPr>
          <w:rFonts w:cs="Arial"/>
          <w:szCs w:val="24"/>
        </w:rPr>
        <w:t>March 201</w:t>
      </w:r>
      <w:r>
        <w:rPr>
          <w:rFonts w:cs="Arial"/>
          <w:szCs w:val="24"/>
        </w:rPr>
        <w:t>5</w:t>
      </w:r>
      <w:r w:rsidRPr="009C519F">
        <w:rPr>
          <w:rFonts w:cs="Arial"/>
          <w:szCs w:val="24"/>
        </w:rPr>
        <w:t xml:space="preserve"> is attached at Appendix ‘A’. The Annual Report includes the following</w:t>
      </w:r>
      <w:r w:rsidR="00E75494">
        <w:rPr>
          <w:rFonts w:cs="Arial"/>
          <w:szCs w:val="24"/>
        </w:rPr>
        <w:t xml:space="preserve"> </w:t>
      </w:r>
      <w:r w:rsidRPr="009C519F">
        <w:rPr>
          <w:rFonts w:cs="Arial"/>
          <w:szCs w:val="24"/>
        </w:rPr>
        <w:t>sections:</w:t>
      </w:r>
    </w:p>
    <w:p w:rsidR="009C519F" w:rsidRPr="009C519F" w:rsidRDefault="009C519F" w:rsidP="00E75494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9C519F" w:rsidRPr="009C519F" w:rsidRDefault="009C519F" w:rsidP="00E75494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9C519F">
        <w:rPr>
          <w:rFonts w:cs="Arial"/>
          <w:b/>
          <w:szCs w:val="24"/>
        </w:rPr>
        <w:t>An overview of the management and financial performance of the Fund</w:t>
      </w:r>
    </w:p>
    <w:p w:rsidR="00EB2857" w:rsidRPr="009C519F" w:rsidRDefault="009C519F" w:rsidP="00E75494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9C519F">
        <w:rPr>
          <w:rFonts w:cs="Arial"/>
          <w:szCs w:val="24"/>
        </w:rPr>
        <w:t xml:space="preserve">This highlights </w:t>
      </w:r>
      <w:r w:rsidR="00EB2857">
        <w:rPr>
          <w:rFonts w:cs="Arial"/>
          <w:szCs w:val="24"/>
        </w:rPr>
        <w:t xml:space="preserve">both </w:t>
      </w:r>
      <w:r w:rsidRPr="009C519F">
        <w:rPr>
          <w:rFonts w:cs="Arial"/>
          <w:szCs w:val="24"/>
        </w:rPr>
        <w:t xml:space="preserve">the </w:t>
      </w:r>
      <w:r w:rsidR="00EB2857">
        <w:rPr>
          <w:rFonts w:cs="Arial"/>
          <w:szCs w:val="24"/>
        </w:rPr>
        <w:t xml:space="preserve">challenges and changes that have impacted on the Fund </w:t>
      </w:r>
      <w:r w:rsidRPr="009C519F">
        <w:rPr>
          <w:rFonts w:cs="Arial"/>
          <w:szCs w:val="24"/>
        </w:rPr>
        <w:t>during the year</w:t>
      </w:r>
      <w:r w:rsidR="009E4673">
        <w:rPr>
          <w:rFonts w:cs="Arial"/>
          <w:szCs w:val="24"/>
        </w:rPr>
        <w:t xml:space="preserve"> 2014/15.</w:t>
      </w:r>
    </w:p>
    <w:p w:rsidR="009C519F" w:rsidRPr="009C519F" w:rsidRDefault="009C519F" w:rsidP="00E75494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9C519F" w:rsidRPr="009C519F" w:rsidRDefault="009C519F" w:rsidP="00E75494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9C519F">
        <w:rPr>
          <w:rFonts w:cs="Arial"/>
          <w:b/>
          <w:szCs w:val="24"/>
        </w:rPr>
        <w:t>Governance of the Fund</w:t>
      </w:r>
    </w:p>
    <w:p w:rsidR="009C519F" w:rsidRDefault="009C519F" w:rsidP="00E75494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9C519F">
        <w:rPr>
          <w:rFonts w:cs="Arial"/>
          <w:szCs w:val="24"/>
        </w:rPr>
        <w:t>This highlights compliance or otherwise with the guidance given by the Secretary of</w:t>
      </w:r>
      <w:r w:rsidR="00E75494">
        <w:rPr>
          <w:rFonts w:cs="Arial"/>
          <w:szCs w:val="24"/>
        </w:rPr>
        <w:t xml:space="preserve"> </w:t>
      </w:r>
      <w:r w:rsidRPr="009C519F">
        <w:rPr>
          <w:rFonts w:cs="Arial"/>
          <w:szCs w:val="24"/>
        </w:rPr>
        <w:t>State.</w:t>
      </w:r>
    </w:p>
    <w:p w:rsidR="009C519F" w:rsidRPr="009C519F" w:rsidRDefault="009C519F" w:rsidP="00E75494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9C519F" w:rsidRPr="009C519F" w:rsidRDefault="009C519F" w:rsidP="00E75494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9C519F">
        <w:rPr>
          <w:rFonts w:cs="Arial"/>
          <w:b/>
          <w:szCs w:val="24"/>
        </w:rPr>
        <w:t>Administration of the Fund</w:t>
      </w:r>
    </w:p>
    <w:p w:rsidR="009C519F" w:rsidRDefault="009C519F" w:rsidP="00E75494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9C519F">
        <w:rPr>
          <w:rFonts w:cs="Arial"/>
          <w:szCs w:val="24"/>
        </w:rPr>
        <w:t>An update on issues arising from the administration of the fund during the year,</w:t>
      </w:r>
      <w:r w:rsidR="00E75494">
        <w:rPr>
          <w:rFonts w:cs="Arial"/>
          <w:szCs w:val="24"/>
        </w:rPr>
        <w:t xml:space="preserve"> </w:t>
      </w:r>
      <w:r w:rsidRPr="009C519F">
        <w:rPr>
          <w:rFonts w:cs="Arial"/>
          <w:szCs w:val="24"/>
        </w:rPr>
        <w:t xml:space="preserve">including any changes to the administration regulations. </w:t>
      </w:r>
    </w:p>
    <w:p w:rsidR="009C519F" w:rsidRPr="009C519F" w:rsidRDefault="009C519F" w:rsidP="00E75494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9C519F" w:rsidRPr="009C519F" w:rsidRDefault="009C519F" w:rsidP="00E75494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9C519F">
        <w:rPr>
          <w:rFonts w:cs="Arial"/>
          <w:b/>
          <w:szCs w:val="24"/>
        </w:rPr>
        <w:t>Knowledge and skills framework</w:t>
      </w:r>
    </w:p>
    <w:p w:rsidR="009C519F" w:rsidRDefault="009C519F" w:rsidP="00E75494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9C519F">
        <w:rPr>
          <w:rFonts w:cs="Arial"/>
          <w:szCs w:val="24"/>
        </w:rPr>
        <w:t>A summary of the framework and approach used to ensure that the right knowledge</w:t>
      </w:r>
      <w:r w:rsidR="00E75494">
        <w:rPr>
          <w:rFonts w:cs="Arial"/>
          <w:szCs w:val="24"/>
        </w:rPr>
        <w:t xml:space="preserve"> </w:t>
      </w:r>
      <w:r w:rsidRPr="009C519F">
        <w:rPr>
          <w:rFonts w:cs="Arial"/>
          <w:szCs w:val="24"/>
        </w:rPr>
        <w:t>and skills mix exists to meet the financial management needs of the pension fund.</w:t>
      </w:r>
      <w:r w:rsidR="00E75494">
        <w:rPr>
          <w:rFonts w:cs="Arial"/>
          <w:szCs w:val="24"/>
        </w:rPr>
        <w:t xml:space="preserve"> </w:t>
      </w:r>
      <w:r w:rsidRPr="009C519F">
        <w:rPr>
          <w:rFonts w:cs="Arial"/>
          <w:szCs w:val="24"/>
        </w:rPr>
        <w:t>Reference is also made to the Lancashire County Pension Fund Training Plan</w:t>
      </w:r>
      <w:r w:rsidR="00E75494">
        <w:rPr>
          <w:rFonts w:cs="Arial"/>
          <w:szCs w:val="24"/>
        </w:rPr>
        <w:t xml:space="preserve"> </w:t>
      </w:r>
      <w:r w:rsidRPr="009C519F">
        <w:rPr>
          <w:rFonts w:cs="Arial"/>
          <w:szCs w:val="24"/>
        </w:rPr>
        <w:t>agreed on 29 November 2013 and complying with the Public Service Pension Act</w:t>
      </w:r>
      <w:r w:rsidR="00E75494">
        <w:rPr>
          <w:rFonts w:cs="Arial"/>
          <w:szCs w:val="24"/>
        </w:rPr>
        <w:t xml:space="preserve"> </w:t>
      </w:r>
      <w:r w:rsidRPr="009C519F">
        <w:rPr>
          <w:rFonts w:cs="Arial"/>
          <w:szCs w:val="24"/>
        </w:rPr>
        <w:t>2013.</w:t>
      </w:r>
    </w:p>
    <w:p w:rsidR="009C519F" w:rsidRPr="009C519F" w:rsidRDefault="009C519F" w:rsidP="009C519F">
      <w:pPr>
        <w:autoSpaceDE w:val="0"/>
        <w:autoSpaceDN w:val="0"/>
        <w:adjustRightInd w:val="0"/>
        <w:rPr>
          <w:rFonts w:cs="Arial"/>
          <w:szCs w:val="24"/>
        </w:rPr>
      </w:pPr>
    </w:p>
    <w:p w:rsidR="009C519F" w:rsidRPr="009C519F" w:rsidRDefault="009C519F" w:rsidP="009C519F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9C519F">
        <w:rPr>
          <w:rFonts w:cs="Arial"/>
          <w:b/>
          <w:szCs w:val="24"/>
        </w:rPr>
        <w:t>Investment policy and performance</w:t>
      </w:r>
    </w:p>
    <w:p w:rsidR="009C519F" w:rsidRPr="009C519F" w:rsidRDefault="009C519F" w:rsidP="009C519F">
      <w:pPr>
        <w:autoSpaceDE w:val="0"/>
        <w:autoSpaceDN w:val="0"/>
        <w:adjustRightInd w:val="0"/>
        <w:rPr>
          <w:rFonts w:cs="Arial"/>
          <w:szCs w:val="24"/>
        </w:rPr>
      </w:pPr>
      <w:r w:rsidRPr="009C519F">
        <w:rPr>
          <w:rFonts w:cs="Arial"/>
          <w:szCs w:val="24"/>
        </w:rPr>
        <w:t>A summary of the investment activity during the year and an analysis of performance</w:t>
      </w:r>
    </w:p>
    <w:p w:rsidR="009C519F" w:rsidRDefault="009C519F" w:rsidP="00E75494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9C519F">
        <w:rPr>
          <w:rFonts w:cs="Arial"/>
          <w:szCs w:val="24"/>
        </w:rPr>
        <w:t>of the investments of the Fund.</w:t>
      </w:r>
    </w:p>
    <w:p w:rsidR="009C519F" w:rsidRPr="009C519F" w:rsidRDefault="009C519F" w:rsidP="009C519F">
      <w:pPr>
        <w:autoSpaceDE w:val="0"/>
        <w:autoSpaceDN w:val="0"/>
        <w:adjustRightInd w:val="0"/>
        <w:rPr>
          <w:rFonts w:cs="Arial"/>
          <w:szCs w:val="24"/>
        </w:rPr>
      </w:pPr>
    </w:p>
    <w:p w:rsidR="009C519F" w:rsidRPr="009C519F" w:rsidRDefault="009C519F" w:rsidP="009C519F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9C519F">
        <w:rPr>
          <w:rFonts w:cs="Arial"/>
          <w:b/>
          <w:szCs w:val="24"/>
        </w:rPr>
        <w:t>The accounts and financial statements</w:t>
      </w:r>
    </w:p>
    <w:p w:rsidR="009C519F" w:rsidRPr="009C519F" w:rsidRDefault="009C519F" w:rsidP="00E75494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9C519F">
        <w:rPr>
          <w:rFonts w:cs="Arial"/>
          <w:szCs w:val="24"/>
        </w:rPr>
        <w:t>The draft accounts and financial statements of the pension fund approved by the</w:t>
      </w:r>
      <w:r w:rsidR="00E7549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Interim Director of Financ</w:t>
      </w:r>
      <w:r w:rsidR="00EB2857">
        <w:rPr>
          <w:rFonts w:cs="Arial"/>
          <w:szCs w:val="24"/>
        </w:rPr>
        <w:t>ial Resources</w:t>
      </w:r>
      <w:r w:rsidRPr="009C519F">
        <w:rPr>
          <w:rFonts w:cs="Arial"/>
          <w:szCs w:val="24"/>
        </w:rPr>
        <w:t xml:space="preserve"> on 2</w:t>
      </w:r>
      <w:r w:rsidR="00C224B6">
        <w:rPr>
          <w:rFonts w:cs="Arial"/>
          <w:szCs w:val="24"/>
        </w:rPr>
        <w:t>9</w:t>
      </w:r>
      <w:r w:rsidRPr="009C519F">
        <w:rPr>
          <w:rFonts w:cs="Arial"/>
          <w:szCs w:val="24"/>
        </w:rPr>
        <w:t xml:space="preserve"> June 201</w:t>
      </w:r>
      <w:r>
        <w:rPr>
          <w:rFonts w:cs="Arial"/>
          <w:szCs w:val="24"/>
        </w:rPr>
        <w:t>5</w:t>
      </w:r>
      <w:r w:rsidRPr="009C519F">
        <w:rPr>
          <w:rFonts w:cs="Arial"/>
          <w:szCs w:val="24"/>
        </w:rPr>
        <w:t xml:space="preserve"> are shown in the County Council’s Statement of</w:t>
      </w:r>
      <w:r>
        <w:rPr>
          <w:rFonts w:cs="Arial"/>
          <w:szCs w:val="24"/>
        </w:rPr>
        <w:t xml:space="preserve"> </w:t>
      </w:r>
      <w:r w:rsidRPr="009C519F">
        <w:rPr>
          <w:rFonts w:cs="Arial"/>
          <w:szCs w:val="24"/>
        </w:rPr>
        <w:t xml:space="preserve">Accounts and also in the Pension Fund Annual Report. The accounts </w:t>
      </w:r>
      <w:r>
        <w:rPr>
          <w:rFonts w:cs="Arial"/>
          <w:szCs w:val="24"/>
        </w:rPr>
        <w:t>have</w:t>
      </w:r>
      <w:r w:rsidRPr="009C519F">
        <w:rPr>
          <w:rFonts w:cs="Arial"/>
          <w:szCs w:val="24"/>
        </w:rPr>
        <w:t xml:space="preserve"> be</w:t>
      </w:r>
      <w:r>
        <w:rPr>
          <w:rFonts w:cs="Arial"/>
          <w:szCs w:val="24"/>
        </w:rPr>
        <w:t>en</w:t>
      </w:r>
      <w:r w:rsidRPr="009C519F">
        <w:rPr>
          <w:rFonts w:cs="Arial"/>
          <w:szCs w:val="24"/>
        </w:rPr>
        <w:t xml:space="preserve"> audited by the external auditor and the auditor’s opinion, </w:t>
      </w:r>
      <w:r>
        <w:rPr>
          <w:rFonts w:cs="Arial"/>
          <w:szCs w:val="24"/>
        </w:rPr>
        <w:t>wil</w:t>
      </w:r>
      <w:r w:rsidRPr="009C519F">
        <w:rPr>
          <w:rFonts w:cs="Arial"/>
          <w:szCs w:val="24"/>
        </w:rPr>
        <w:t>l be included in the published</w:t>
      </w:r>
      <w:r>
        <w:rPr>
          <w:rFonts w:cs="Arial"/>
          <w:szCs w:val="24"/>
        </w:rPr>
        <w:t xml:space="preserve"> </w:t>
      </w:r>
      <w:r w:rsidR="00EB2857">
        <w:rPr>
          <w:rFonts w:cs="Arial"/>
          <w:szCs w:val="24"/>
        </w:rPr>
        <w:t>Annual Report</w:t>
      </w:r>
      <w:r w:rsidRPr="009C519F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9C519F" w:rsidRPr="009C519F" w:rsidRDefault="009C519F" w:rsidP="009C519F"/>
    <w:p w:rsidR="00EB2857" w:rsidRPr="00EB2857" w:rsidRDefault="00EB2857" w:rsidP="00EB285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EB2857">
        <w:rPr>
          <w:rFonts w:cs="Arial"/>
          <w:b/>
          <w:szCs w:val="24"/>
        </w:rPr>
        <w:t>Actuarial valuation</w:t>
      </w:r>
    </w:p>
    <w:p w:rsidR="00EB2857" w:rsidRDefault="00EB2857" w:rsidP="00E75494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EB2857">
        <w:rPr>
          <w:rFonts w:cs="Arial"/>
          <w:szCs w:val="24"/>
        </w:rPr>
        <w:t>A summary of the latest actuarial valuation carried out at March 201</w:t>
      </w:r>
      <w:r w:rsidR="00C224B6">
        <w:rPr>
          <w:rFonts w:cs="Arial"/>
          <w:szCs w:val="24"/>
        </w:rPr>
        <w:t>3</w:t>
      </w:r>
      <w:r w:rsidRPr="00EB2857">
        <w:rPr>
          <w:rFonts w:cs="Arial"/>
          <w:szCs w:val="24"/>
        </w:rPr>
        <w:t xml:space="preserve"> and applicable</w:t>
      </w:r>
      <w:r w:rsidR="00E75494">
        <w:rPr>
          <w:rFonts w:cs="Arial"/>
          <w:szCs w:val="24"/>
        </w:rPr>
        <w:t xml:space="preserve"> </w:t>
      </w:r>
      <w:r w:rsidRPr="00EB2857">
        <w:rPr>
          <w:rFonts w:cs="Arial"/>
          <w:szCs w:val="24"/>
        </w:rPr>
        <w:t>for the three years commencing 1 April 201</w:t>
      </w:r>
      <w:r w:rsidR="00C224B6">
        <w:rPr>
          <w:rFonts w:cs="Arial"/>
          <w:szCs w:val="24"/>
        </w:rPr>
        <w:t>4</w:t>
      </w:r>
      <w:r w:rsidRPr="00EB2857">
        <w:rPr>
          <w:rFonts w:cs="Arial"/>
          <w:szCs w:val="24"/>
        </w:rPr>
        <w:t>.</w:t>
      </w:r>
    </w:p>
    <w:p w:rsidR="00EB2857" w:rsidRPr="00EB2857" w:rsidRDefault="00EB2857" w:rsidP="00EB2857">
      <w:pPr>
        <w:autoSpaceDE w:val="0"/>
        <w:autoSpaceDN w:val="0"/>
        <w:adjustRightInd w:val="0"/>
        <w:rPr>
          <w:rFonts w:cs="Arial"/>
          <w:szCs w:val="24"/>
        </w:rPr>
      </w:pPr>
    </w:p>
    <w:p w:rsidR="00EB2857" w:rsidRPr="00EB2857" w:rsidRDefault="00EB2857" w:rsidP="00EB285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EB2857">
        <w:rPr>
          <w:rFonts w:cs="Arial"/>
          <w:b/>
          <w:szCs w:val="24"/>
        </w:rPr>
        <w:t>Standing documents</w:t>
      </w:r>
    </w:p>
    <w:p w:rsidR="00EB2857" w:rsidRPr="00E75494" w:rsidRDefault="00EB2857" w:rsidP="00E75494">
      <w:pPr>
        <w:autoSpaceDE w:val="0"/>
        <w:autoSpaceDN w:val="0"/>
        <w:adjustRightInd w:val="0"/>
        <w:jc w:val="both"/>
        <w:rPr>
          <w:rStyle w:val="Hyperlink"/>
          <w:rFonts w:cs="Arial"/>
          <w:color w:val="auto"/>
          <w:szCs w:val="24"/>
          <w:u w:val="none"/>
        </w:rPr>
      </w:pPr>
      <w:r w:rsidRPr="00EB2857">
        <w:rPr>
          <w:rFonts w:cs="Arial"/>
          <w:szCs w:val="24"/>
        </w:rPr>
        <w:t>The following standing policy statements are referred to in the Annual Report as</w:t>
      </w:r>
      <w:r w:rsidR="00E75494">
        <w:rPr>
          <w:rFonts w:cs="Arial"/>
          <w:szCs w:val="24"/>
        </w:rPr>
        <w:t xml:space="preserve"> </w:t>
      </w:r>
      <w:r w:rsidRPr="00EB2857">
        <w:rPr>
          <w:rFonts w:cs="Arial"/>
          <w:szCs w:val="24"/>
        </w:rPr>
        <w:t xml:space="preserve">available from the Pension Fund and from its web-site at </w:t>
      </w:r>
      <w:r w:rsidR="0006172F">
        <w:rPr>
          <w:rFonts w:cs="Arial"/>
          <w:szCs w:val="24"/>
        </w:rPr>
        <w:fldChar w:fldCharType="begin"/>
      </w:r>
      <w:r w:rsidR="0006172F">
        <w:rPr>
          <w:rFonts w:cs="Arial"/>
          <w:szCs w:val="24"/>
        </w:rPr>
        <w:instrText xml:space="preserve"> HYPERLINK "http://www.yourpensionservice.org.uk" </w:instrText>
      </w:r>
      <w:r w:rsidR="0006172F">
        <w:rPr>
          <w:rFonts w:cs="Arial"/>
          <w:szCs w:val="24"/>
        </w:rPr>
        <w:fldChar w:fldCharType="separate"/>
      </w:r>
      <w:r w:rsidRPr="0006172F">
        <w:rPr>
          <w:rStyle w:val="Hyperlink"/>
          <w:rFonts w:cs="Arial"/>
          <w:szCs w:val="24"/>
        </w:rPr>
        <w:t>Your Pension</w:t>
      </w:r>
      <w:bookmarkStart w:id="0" w:name="_GoBack"/>
      <w:bookmarkEnd w:id="0"/>
      <w:r w:rsidRPr="0006172F">
        <w:rPr>
          <w:rStyle w:val="Hyperlink"/>
          <w:rFonts w:cs="Arial"/>
          <w:szCs w:val="24"/>
        </w:rPr>
        <w:t xml:space="preserve"> Service -</w:t>
      </w:r>
    </w:p>
    <w:p w:rsidR="00EB2857" w:rsidRPr="00EB2857" w:rsidRDefault="00EB2857" w:rsidP="00EB2857">
      <w:pPr>
        <w:autoSpaceDE w:val="0"/>
        <w:autoSpaceDN w:val="0"/>
        <w:adjustRightInd w:val="0"/>
        <w:rPr>
          <w:rFonts w:cs="Arial"/>
          <w:szCs w:val="24"/>
        </w:rPr>
      </w:pPr>
      <w:r w:rsidRPr="0006172F">
        <w:rPr>
          <w:rStyle w:val="Hyperlink"/>
          <w:rFonts w:cs="Arial"/>
          <w:szCs w:val="24"/>
        </w:rPr>
        <w:t>Lancashire Fund Information</w:t>
      </w:r>
      <w:r w:rsidR="0006172F">
        <w:rPr>
          <w:rFonts w:cs="Arial"/>
          <w:szCs w:val="24"/>
        </w:rPr>
        <w:fldChar w:fldCharType="end"/>
      </w:r>
    </w:p>
    <w:p w:rsidR="00EB2857" w:rsidRPr="00EB2857" w:rsidRDefault="00EB2857" w:rsidP="00EB2857">
      <w:pPr>
        <w:autoSpaceDE w:val="0"/>
        <w:autoSpaceDN w:val="0"/>
        <w:adjustRightInd w:val="0"/>
        <w:rPr>
          <w:rFonts w:cs="Arial"/>
          <w:szCs w:val="24"/>
        </w:rPr>
      </w:pPr>
    </w:p>
    <w:p w:rsidR="00EB2857" w:rsidRPr="00EB2857" w:rsidRDefault="00EB2857" w:rsidP="00EB2857">
      <w:pPr>
        <w:autoSpaceDE w:val="0"/>
        <w:autoSpaceDN w:val="0"/>
        <w:adjustRightInd w:val="0"/>
        <w:rPr>
          <w:rFonts w:cs="Arial"/>
          <w:szCs w:val="24"/>
        </w:rPr>
      </w:pPr>
      <w:r w:rsidRPr="00EB2857">
        <w:rPr>
          <w:rFonts w:cs="Arial"/>
          <w:szCs w:val="24"/>
        </w:rPr>
        <w:t>• The Annual Governance Statement</w:t>
      </w:r>
    </w:p>
    <w:p w:rsidR="00EB2857" w:rsidRPr="00EB2857" w:rsidRDefault="00EB2857" w:rsidP="00EB2857">
      <w:pPr>
        <w:autoSpaceDE w:val="0"/>
        <w:autoSpaceDN w:val="0"/>
        <w:adjustRightInd w:val="0"/>
        <w:rPr>
          <w:rFonts w:cs="Arial"/>
          <w:szCs w:val="24"/>
        </w:rPr>
      </w:pPr>
      <w:r w:rsidRPr="00EB2857">
        <w:rPr>
          <w:rFonts w:cs="Arial"/>
          <w:szCs w:val="24"/>
        </w:rPr>
        <w:t>• The Governance Policy Statement</w:t>
      </w:r>
    </w:p>
    <w:p w:rsidR="00EB2857" w:rsidRPr="00EB2857" w:rsidRDefault="00EB2857" w:rsidP="00EB2857">
      <w:pPr>
        <w:autoSpaceDE w:val="0"/>
        <w:autoSpaceDN w:val="0"/>
        <w:adjustRightInd w:val="0"/>
        <w:rPr>
          <w:rFonts w:cs="Arial"/>
          <w:szCs w:val="24"/>
        </w:rPr>
      </w:pPr>
      <w:r w:rsidRPr="00EB2857">
        <w:rPr>
          <w:rFonts w:cs="Arial"/>
          <w:szCs w:val="24"/>
        </w:rPr>
        <w:t>• The Communication Policy Statement</w:t>
      </w:r>
    </w:p>
    <w:p w:rsidR="0006172F" w:rsidRDefault="00EB2857" w:rsidP="0006172F">
      <w:pPr>
        <w:autoSpaceDE w:val="0"/>
        <w:autoSpaceDN w:val="0"/>
        <w:adjustRightInd w:val="0"/>
        <w:rPr>
          <w:rFonts w:cs="Arial"/>
          <w:szCs w:val="24"/>
        </w:rPr>
      </w:pPr>
      <w:r w:rsidRPr="00EB2857">
        <w:rPr>
          <w:rFonts w:cs="Arial"/>
          <w:szCs w:val="24"/>
        </w:rPr>
        <w:t>• The Funding Strategy Statement</w:t>
      </w:r>
    </w:p>
    <w:p w:rsidR="009C519F" w:rsidRDefault="00EB2857" w:rsidP="0006172F">
      <w:pPr>
        <w:autoSpaceDE w:val="0"/>
        <w:autoSpaceDN w:val="0"/>
        <w:adjustRightInd w:val="0"/>
      </w:pPr>
      <w:r w:rsidRPr="00EB2857">
        <w:rPr>
          <w:rFonts w:ascii="TT3FAo00" w:hAnsi="TT3FAo00" w:cs="TT3FAo00"/>
          <w:color w:val="000000"/>
          <w:szCs w:val="24"/>
        </w:rPr>
        <w:t xml:space="preserve">• </w:t>
      </w:r>
      <w:r w:rsidRPr="00EB2857">
        <w:rPr>
          <w:rFonts w:ascii="TT3F8o00" w:hAnsi="TT3F8o00" w:cs="TT3F8o00"/>
          <w:color w:val="000000"/>
          <w:szCs w:val="24"/>
        </w:rPr>
        <w:t>The Statement of Investment Principles</w:t>
      </w:r>
    </w:p>
    <w:p w:rsidR="003E6A45" w:rsidRPr="0006172F" w:rsidRDefault="003E6A45">
      <w:pPr>
        <w:pStyle w:val="Heading1"/>
        <w:rPr>
          <w:rFonts w:cs="Arial"/>
          <w:szCs w:val="24"/>
        </w:rPr>
      </w:pPr>
      <w:r w:rsidRPr="0006172F">
        <w:rPr>
          <w:rFonts w:cs="Arial"/>
          <w:szCs w:val="24"/>
        </w:rPr>
        <w:lastRenderedPageBreak/>
        <w:t>Consultations</w:t>
      </w:r>
    </w:p>
    <w:p w:rsidR="00E75494" w:rsidRDefault="00E75494">
      <w:pPr>
        <w:pStyle w:val="Header"/>
        <w:rPr>
          <w:rFonts w:cs="Arial"/>
          <w:szCs w:val="24"/>
        </w:rPr>
      </w:pPr>
    </w:p>
    <w:p w:rsidR="003E6A45" w:rsidRPr="00E75494" w:rsidRDefault="0006172F">
      <w:pPr>
        <w:pStyle w:val="Header"/>
        <w:rPr>
          <w:rFonts w:cs="Arial"/>
          <w:szCs w:val="24"/>
        </w:rPr>
      </w:pPr>
      <w:r w:rsidRPr="00E75494">
        <w:rPr>
          <w:rFonts w:cs="Arial"/>
          <w:szCs w:val="24"/>
        </w:rPr>
        <w:t xml:space="preserve">The Investment Panel </w:t>
      </w:r>
      <w:r w:rsidR="00E75494" w:rsidRPr="00E75494">
        <w:rPr>
          <w:rFonts w:cs="Arial"/>
          <w:szCs w:val="24"/>
        </w:rPr>
        <w:t>is</w:t>
      </w:r>
      <w:r w:rsidRPr="00E75494">
        <w:rPr>
          <w:rFonts w:cs="Arial"/>
          <w:szCs w:val="24"/>
        </w:rPr>
        <w:t xml:space="preserve"> consulted on all investment policy issues.</w:t>
      </w:r>
    </w:p>
    <w:p w:rsidR="00C434D1" w:rsidRPr="00E75494" w:rsidRDefault="00C434D1" w:rsidP="00772BBA">
      <w:pPr>
        <w:rPr>
          <w:rFonts w:cs="Arial"/>
          <w:szCs w:val="24"/>
        </w:rPr>
      </w:pPr>
    </w:p>
    <w:p w:rsidR="00772BBA" w:rsidRPr="00E75494" w:rsidRDefault="003E6A45" w:rsidP="00772BBA">
      <w:pPr>
        <w:rPr>
          <w:rFonts w:cs="Arial"/>
        </w:rPr>
      </w:pPr>
      <w:r w:rsidRPr="00E75494">
        <w:rPr>
          <w:rFonts w:cs="Arial"/>
          <w:b/>
        </w:rPr>
        <w:t>Implications</w:t>
      </w:r>
      <w:r w:rsidRPr="00E75494">
        <w:rPr>
          <w:rFonts w:cs="Arial"/>
        </w:rPr>
        <w:t xml:space="preserve">: </w:t>
      </w:r>
    </w:p>
    <w:p w:rsidR="00E75494" w:rsidRPr="00E75494" w:rsidRDefault="00E75494" w:rsidP="00772BBA">
      <w:pPr>
        <w:rPr>
          <w:rFonts w:cs="Arial"/>
          <w:szCs w:val="24"/>
        </w:rPr>
      </w:pPr>
    </w:p>
    <w:p w:rsidR="00772BBA" w:rsidRPr="00E75494" w:rsidRDefault="0006172F" w:rsidP="00772BBA">
      <w:pPr>
        <w:rPr>
          <w:rFonts w:cs="Arial"/>
        </w:rPr>
      </w:pPr>
      <w:r w:rsidRPr="00E75494">
        <w:rPr>
          <w:rFonts w:cs="Arial"/>
          <w:szCs w:val="24"/>
        </w:rPr>
        <w:t>This item has the following implications, as indicated:</w:t>
      </w:r>
    </w:p>
    <w:p w:rsidR="009B61F1" w:rsidRPr="00E75494" w:rsidRDefault="009B61F1" w:rsidP="00772BBA">
      <w:pPr>
        <w:rPr>
          <w:rFonts w:cs="Arial"/>
          <w:b/>
        </w:rPr>
      </w:pPr>
    </w:p>
    <w:p w:rsidR="00772BBA" w:rsidRPr="00E75494" w:rsidRDefault="00772BBA" w:rsidP="00772BBA">
      <w:pPr>
        <w:rPr>
          <w:rFonts w:cs="Arial"/>
          <w:b/>
        </w:rPr>
      </w:pPr>
      <w:r w:rsidRPr="00E75494">
        <w:rPr>
          <w:rFonts w:cs="Arial"/>
          <w:b/>
        </w:rPr>
        <w:t>Risk management</w:t>
      </w:r>
    </w:p>
    <w:p w:rsidR="00E75494" w:rsidRPr="00E75494" w:rsidRDefault="00E75494" w:rsidP="0006172F">
      <w:pPr>
        <w:autoSpaceDE w:val="0"/>
        <w:autoSpaceDN w:val="0"/>
        <w:adjustRightInd w:val="0"/>
        <w:rPr>
          <w:rFonts w:cs="Arial"/>
          <w:szCs w:val="24"/>
        </w:rPr>
      </w:pPr>
    </w:p>
    <w:p w:rsidR="0006172F" w:rsidRPr="00E75494" w:rsidRDefault="0006172F" w:rsidP="0006172F">
      <w:pPr>
        <w:autoSpaceDE w:val="0"/>
        <w:autoSpaceDN w:val="0"/>
        <w:adjustRightInd w:val="0"/>
        <w:rPr>
          <w:rFonts w:cs="Arial"/>
          <w:szCs w:val="24"/>
        </w:rPr>
      </w:pPr>
      <w:r w:rsidRPr="00E75494">
        <w:rPr>
          <w:rFonts w:cs="Arial"/>
          <w:szCs w:val="24"/>
        </w:rPr>
        <w:t>The policy on risk is outlined in the Funding Strategy Statement and the Statement of</w:t>
      </w:r>
    </w:p>
    <w:p w:rsidR="00772BBA" w:rsidRPr="00E75494" w:rsidRDefault="0006172F" w:rsidP="00E75494">
      <w:pPr>
        <w:jc w:val="both"/>
        <w:rPr>
          <w:rFonts w:cs="Arial"/>
        </w:rPr>
      </w:pPr>
      <w:r w:rsidRPr="00E75494">
        <w:rPr>
          <w:rFonts w:cs="Arial"/>
          <w:szCs w:val="24"/>
        </w:rPr>
        <w:t>Investment Principles.</w:t>
      </w:r>
    </w:p>
    <w:p w:rsidR="003E6A45" w:rsidRDefault="003E6A45">
      <w:pPr>
        <w:pStyle w:val="Heading5"/>
        <w:rPr>
          <w:rFonts w:ascii="Arial" w:hAnsi="Arial"/>
        </w:rPr>
      </w:pPr>
    </w:p>
    <w:p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:rsidR="003E6A45" w:rsidRDefault="003E6A45"/>
    <w:tbl>
      <w:tblPr>
        <w:tblStyle w:val="TableGrid"/>
        <w:tblW w:w="9209" w:type="dxa"/>
        <w:tblInd w:w="-108" w:type="dxa"/>
        <w:tblLook w:val="04A0" w:firstRow="1" w:lastRow="0" w:firstColumn="1" w:lastColumn="0" w:noHBand="0" w:noVBand="1"/>
      </w:tblPr>
      <w:tblGrid>
        <w:gridCol w:w="2977"/>
        <w:gridCol w:w="3119"/>
        <w:gridCol w:w="3113"/>
      </w:tblGrid>
      <w:tr w:rsidR="0006172F" w:rsidRPr="00E75494" w:rsidTr="00E7549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6172F" w:rsidRPr="00E75494" w:rsidRDefault="0006172F" w:rsidP="0006172F">
            <w:pPr>
              <w:rPr>
                <w:rFonts w:cs="Arial"/>
              </w:rPr>
            </w:pPr>
            <w:r w:rsidRPr="00E75494">
              <w:rPr>
                <w:rFonts w:cs="Arial"/>
                <w:szCs w:val="24"/>
              </w:rPr>
              <w:t xml:space="preserve">Paper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6172F" w:rsidRPr="00E75494" w:rsidRDefault="0006172F" w:rsidP="0006172F">
            <w:pPr>
              <w:rPr>
                <w:rFonts w:cs="Arial"/>
              </w:rPr>
            </w:pPr>
            <w:r w:rsidRPr="00E75494">
              <w:rPr>
                <w:rFonts w:cs="Arial"/>
              </w:rPr>
              <w:t>Date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06172F" w:rsidRPr="00E75494" w:rsidRDefault="0006172F" w:rsidP="00C224B6">
            <w:pPr>
              <w:rPr>
                <w:rFonts w:cs="Arial"/>
              </w:rPr>
            </w:pPr>
            <w:r w:rsidRPr="00E75494">
              <w:rPr>
                <w:rFonts w:cs="Arial"/>
              </w:rPr>
              <w:t>Contact</w:t>
            </w:r>
            <w:r w:rsidR="00E75494">
              <w:rPr>
                <w:rFonts w:cs="Arial"/>
              </w:rPr>
              <w:t>/Tel</w:t>
            </w:r>
          </w:p>
          <w:p w:rsidR="00C224B6" w:rsidRPr="00E75494" w:rsidRDefault="00C224B6" w:rsidP="00C224B6">
            <w:pPr>
              <w:rPr>
                <w:rFonts w:cs="Arial"/>
              </w:rPr>
            </w:pPr>
          </w:p>
        </w:tc>
      </w:tr>
      <w:tr w:rsidR="0006172F" w:rsidTr="00E7549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6172F" w:rsidRPr="00E75494" w:rsidRDefault="00CE12F5" w:rsidP="00C224B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6172F" w:rsidRPr="00E75494" w:rsidRDefault="0006172F" w:rsidP="0006172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06172F" w:rsidRPr="00E75494" w:rsidRDefault="0006172F" w:rsidP="0006172F">
            <w:pPr>
              <w:rPr>
                <w:rFonts w:cs="Arial"/>
              </w:rPr>
            </w:pPr>
          </w:p>
        </w:tc>
      </w:tr>
      <w:tr w:rsidR="0006172F" w:rsidTr="00E7549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6172F" w:rsidRPr="00E75494" w:rsidRDefault="0006172F" w:rsidP="0006172F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6172F" w:rsidRPr="00E75494" w:rsidRDefault="0006172F" w:rsidP="0006172F">
            <w:pPr>
              <w:rPr>
                <w:rFonts w:cs="Arial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06172F" w:rsidRPr="00E75494" w:rsidRDefault="0006172F" w:rsidP="00E75494">
            <w:pPr>
              <w:rPr>
                <w:rFonts w:cs="Arial"/>
              </w:rPr>
            </w:pPr>
          </w:p>
        </w:tc>
      </w:tr>
    </w:tbl>
    <w:p w:rsidR="00C224B6" w:rsidRPr="00CE12F5" w:rsidRDefault="00C224B6" w:rsidP="00C224B6">
      <w:pPr>
        <w:autoSpaceDE w:val="0"/>
        <w:autoSpaceDN w:val="0"/>
        <w:adjustRightInd w:val="0"/>
        <w:rPr>
          <w:rFonts w:cs="Arial"/>
          <w:szCs w:val="24"/>
        </w:rPr>
      </w:pPr>
      <w:r w:rsidRPr="00CE12F5">
        <w:rPr>
          <w:rFonts w:cs="Arial"/>
          <w:szCs w:val="24"/>
        </w:rPr>
        <w:t>Reason for inclusion in Part II, if appropriate</w:t>
      </w:r>
    </w:p>
    <w:p w:rsidR="00E75494" w:rsidRDefault="00E75494" w:rsidP="00C224B6">
      <w:pPr>
        <w:rPr>
          <w:rFonts w:ascii="TT3F8o00" w:hAnsi="TT3F8o00" w:cs="TT3F8o00"/>
          <w:szCs w:val="24"/>
        </w:rPr>
      </w:pPr>
    </w:p>
    <w:p w:rsidR="00C224B6" w:rsidRDefault="00C224B6" w:rsidP="00C224B6">
      <w:r>
        <w:rPr>
          <w:rFonts w:ascii="TT3F8o00" w:hAnsi="TT3F8o00" w:cs="TT3F8o00"/>
          <w:szCs w:val="24"/>
        </w:rPr>
        <w:t>N/A</w:t>
      </w:r>
    </w:p>
    <w:sectPr w:rsidR="00C224B6" w:rsidSect="009C519F">
      <w:footerReference w:type="default" r:id="rId8"/>
      <w:footerReference w:type="first" r:id="rId9"/>
      <w:type w:val="continuous"/>
      <w:pgSz w:w="11907" w:h="16840" w:code="9"/>
      <w:pgMar w:top="1440" w:right="1275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292" w:rsidRDefault="00A31292">
      <w:r>
        <w:separator/>
      </w:r>
    </w:p>
  </w:endnote>
  <w:endnote w:type="continuationSeparator" w:id="0">
    <w:p w:rsidR="00A31292" w:rsidRDefault="00A3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3F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F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3E6A45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3E6A45" w:rsidRDefault="003E6A45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3E6A45" w:rsidRDefault="003E6A45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3E6A45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3E6A45" w:rsidRDefault="00F34989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8650"/>
                <wp:effectExtent l="0" t="0" r="0" b="0"/>
                <wp:docPr id="3" name="Picture 3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6A45" w:rsidRDefault="003E6A45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292" w:rsidRDefault="00A31292">
      <w:r>
        <w:separator/>
      </w:r>
    </w:p>
  </w:footnote>
  <w:footnote w:type="continuationSeparator" w:id="0">
    <w:p w:rsidR="00A31292" w:rsidRDefault="00A3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F2804"/>
    <w:multiLevelType w:val="hybridMultilevel"/>
    <w:tmpl w:val="9336EF68"/>
    <w:lvl w:ilvl="0" w:tplc="B6685A5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5"/>
    <w:rsid w:val="0006172F"/>
    <w:rsid w:val="00095995"/>
    <w:rsid w:val="000C793A"/>
    <w:rsid w:val="001210BC"/>
    <w:rsid w:val="0014061B"/>
    <w:rsid w:val="00173615"/>
    <w:rsid w:val="002567CA"/>
    <w:rsid w:val="0028461B"/>
    <w:rsid w:val="002B11AF"/>
    <w:rsid w:val="00354CAC"/>
    <w:rsid w:val="00357954"/>
    <w:rsid w:val="00370EF9"/>
    <w:rsid w:val="003E6A45"/>
    <w:rsid w:val="003F22D9"/>
    <w:rsid w:val="0044710C"/>
    <w:rsid w:val="004B504C"/>
    <w:rsid w:val="00516812"/>
    <w:rsid w:val="00581BB4"/>
    <w:rsid w:val="00621B00"/>
    <w:rsid w:val="00722A73"/>
    <w:rsid w:val="00772BBA"/>
    <w:rsid w:val="007A7734"/>
    <w:rsid w:val="007E6ABE"/>
    <w:rsid w:val="007E7A9F"/>
    <w:rsid w:val="0080397F"/>
    <w:rsid w:val="0080523A"/>
    <w:rsid w:val="00853A96"/>
    <w:rsid w:val="008A05C6"/>
    <w:rsid w:val="008A5E88"/>
    <w:rsid w:val="009A2045"/>
    <w:rsid w:val="009B3418"/>
    <w:rsid w:val="009B61F1"/>
    <w:rsid w:val="009C519F"/>
    <w:rsid w:val="009E4673"/>
    <w:rsid w:val="00A31292"/>
    <w:rsid w:val="00A65A6E"/>
    <w:rsid w:val="00AA178A"/>
    <w:rsid w:val="00AA39BC"/>
    <w:rsid w:val="00AE1ED4"/>
    <w:rsid w:val="00AE51C5"/>
    <w:rsid w:val="00B11AB6"/>
    <w:rsid w:val="00B328CD"/>
    <w:rsid w:val="00B53C9F"/>
    <w:rsid w:val="00B67789"/>
    <w:rsid w:val="00B9078E"/>
    <w:rsid w:val="00BB08CC"/>
    <w:rsid w:val="00C20DC0"/>
    <w:rsid w:val="00C224B6"/>
    <w:rsid w:val="00C273E7"/>
    <w:rsid w:val="00C434D1"/>
    <w:rsid w:val="00CD5239"/>
    <w:rsid w:val="00CE12F5"/>
    <w:rsid w:val="00E75494"/>
    <w:rsid w:val="00E85446"/>
    <w:rsid w:val="00EA45E5"/>
    <w:rsid w:val="00EB2857"/>
    <w:rsid w:val="00F34989"/>
    <w:rsid w:val="00FB3BCC"/>
    <w:rsid w:val="00FB4776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21035-36E6-4749-B107-3D149CF7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customStyle="1" w:styleId="arial11">
    <w:name w:val="arial11"/>
    <w:basedOn w:val="Normal"/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72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6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igail.leech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10</TotalTime>
  <Pages>3</Pages>
  <Words>682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> 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>August 2009</dc:description>
  <cp:lastModifiedBy>Gorman, Dave</cp:lastModifiedBy>
  <cp:revision>5</cp:revision>
  <cp:lastPrinted>2014-09-11T09:07:00Z</cp:lastPrinted>
  <dcterms:created xsi:type="dcterms:W3CDTF">2015-09-17T10:36:00Z</dcterms:created>
  <dcterms:modified xsi:type="dcterms:W3CDTF">2015-09-17T12:07:00Z</dcterms:modified>
</cp:coreProperties>
</file>