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2549B6">
      <w:pPr>
        <w:rPr>
          <w:b/>
        </w:rPr>
      </w:pPr>
      <w:r>
        <w:rPr>
          <w:b/>
        </w:rPr>
        <w:t>Pension Fund Committee</w:t>
      </w:r>
    </w:p>
    <w:p w:rsidR="003E6A45" w:rsidRDefault="003E6A45">
      <w:r>
        <w:t xml:space="preserve">Meeting to be held on </w:t>
      </w:r>
      <w:r w:rsidR="00F81F6E">
        <w:t>30</w:t>
      </w:r>
      <w:r w:rsidR="005C1F89">
        <w:t xml:space="preserve"> </w:t>
      </w:r>
      <w:r w:rsidR="00F81F6E">
        <w:t>September</w:t>
      </w:r>
      <w:r w:rsidR="005C1F89">
        <w:t xml:space="preserve"> 2015</w:t>
      </w:r>
    </w:p>
    <w:p w:rsidR="00146B7F" w:rsidRDefault="00146B7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801A57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</w:p>
    <w:p w:rsidR="003E6A45" w:rsidRDefault="002549B6">
      <w:pPr>
        <w:rPr>
          <w:b/>
        </w:rPr>
      </w:pPr>
      <w:r>
        <w:rPr>
          <w:b/>
        </w:rPr>
        <w:t>Lancashire County Pension Fund Risk Register</w:t>
      </w:r>
    </w:p>
    <w:p w:rsidR="003E6A45" w:rsidRDefault="002549B6">
      <w:pPr>
        <w:ind w:left="709" w:hanging="709"/>
      </w:pPr>
      <w:r>
        <w:t xml:space="preserve">(Appendix 'A' refers) </w:t>
      </w:r>
    </w:p>
    <w:p w:rsidR="003E6A45" w:rsidRDefault="003E6A45"/>
    <w:p w:rsidR="003E6A45" w:rsidRDefault="003E6A45">
      <w:r>
        <w:t>Contact for further information:</w:t>
      </w:r>
    </w:p>
    <w:p w:rsidR="003E6A45" w:rsidRDefault="002549B6">
      <w:r>
        <w:t>Andrew Fox</w:t>
      </w:r>
      <w:r w:rsidR="003E6A45">
        <w:t xml:space="preserve">, </w:t>
      </w:r>
      <w:r>
        <w:t>(01772</w:t>
      </w:r>
      <w:r w:rsidR="00146B7F">
        <w:t>)</w:t>
      </w:r>
      <w:r>
        <w:t xml:space="preserve"> 535916</w:t>
      </w:r>
      <w:r w:rsidR="003E6A45">
        <w:t xml:space="preserve">, </w:t>
      </w:r>
      <w:r w:rsidR="00146B7F">
        <w:t xml:space="preserve">Head of Service, </w:t>
      </w:r>
      <w:r w:rsidR="00873EB3">
        <w:t>Policy and Compliance</w:t>
      </w:r>
    </w:p>
    <w:p w:rsidR="00772BBA" w:rsidRDefault="001327F6">
      <w:hyperlink r:id="rId7" w:history="1">
        <w:r w:rsidR="00146B7F" w:rsidRPr="00E05605">
          <w:rPr>
            <w:rStyle w:val="Hyperlink"/>
          </w:rPr>
          <w:t>andrew.fox@lancashire.gov.uk</w:t>
        </w:r>
      </w:hyperlink>
      <w:r w:rsidR="00146B7F">
        <w:t xml:space="preserve"> </w:t>
      </w:r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/>
          <w:p w:rsidR="003E6A45" w:rsidRPr="00146B7F" w:rsidRDefault="00E2318B" w:rsidP="00146B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46B7F">
              <w:rPr>
                <w:rFonts w:cs="Arial"/>
                <w:szCs w:val="24"/>
              </w:rPr>
              <w:t>Lancashire County Council</w:t>
            </w:r>
            <w:r w:rsidR="00146B7F">
              <w:rPr>
                <w:rFonts w:cs="Arial"/>
                <w:szCs w:val="24"/>
              </w:rPr>
              <w:t>,</w:t>
            </w:r>
            <w:r w:rsidRPr="00146B7F">
              <w:rPr>
                <w:rFonts w:cs="Arial"/>
                <w:szCs w:val="24"/>
              </w:rPr>
              <w:t xml:space="preserve"> as administering authority of </w:t>
            </w:r>
            <w:r w:rsidR="00167BB9" w:rsidRPr="00146B7F">
              <w:rPr>
                <w:rFonts w:cs="Arial"/>
                <w:szCs w:val="24"/>
              </w:rPr>
              <w:t xml:space="preserve">the </w:t>
            </w:r>
            <w:r w:rsidRPr="00146B7F">
              <w:rPr>
                <w:rFonts w:cs="Arial"/>
                <w:szCs w:val="24"/>
              </w:rPr>
              <w:t>Lancashire County Pension</w:t>
            </w:r>
            <w:r w:rsidR="00801A57" w:rsidRPr="00146B7F">
              <w:rPr>
                <w:rFonts w:cs="Arial"/>
                <w:szCs w:val="24"/>
              </w:rPr>
              <w:t xml:space="preserve"> </w:t>
            </w:r>
            <w:r w:rsidRPr="00146B7F">
              <w:rPr>
                <w:rFonts w:cs="Arial"/>
                <w:szCs w:val="24"/>
              </w:rPr>
              <w:t>Fund</w:t>
            </w:r>
            <w:r w:rsidR="00146B7F">
              <w:rPr>
                <w:rFonts w:cs="Arial"/>
                <w:szCs w:val="24"/>
              </w:rPr>
              <w:t>,</w:t>
            </w:r>
            <w:r w:rsidRPr="00146B7F">
              <w:rPr>
                <w:rFonts w:cs="Arial"/>
                <w:szCs w:val="24"/>
              </w:rPr>
              <w:t xml:space="preserve"> has responsibility for ensuring that there is effective risk management in place</w:t>
            </w:r>
            <w:r w:rsidR="00167BB9" w:rsidRPr="00146B7F">
              <w:rPr>
                <w:rFonts w:cs="Arial"/>
                <w:szCs w:val="24"/>
              </w:rPr>
              <w:t xml:space="preserve"> </w:t>
            </w:r>
            <w:r w:rsidRPr="00146B7F">
              <w:rPr>
                <w:rFonts w:cs="Arial"/>
                <w:szCs w:val="24"/>
              </w:rPr>
              <w:t>in relation to the operations of the Fund. This requirement is reflected in both the</w:t>
            </w:r>
            <w:r w:rsidR="00167BB9" w:rsidRPr="00146B7F">
              <w:rPr>
                <w:rFonts w:cs="Arial"/>
                <w:szCs w:val="24"/>
              </w:rPr>
              <w:t xml:space="preserve"> </w:t>
            </w:r>
            <w:r w:rsidRPr="00146B7F">
              <w:rPr>
                <w:rFonts w:cs="Arial"/>
                <w:szCs w:val="24"/>
              </w:rPr>
              <w:t>investment regulations and guidance issued by the Chartered Institute of Public</w:t>
            </w:r>
            <w:r w:rsidR="00801A57" w:rsidRPr="00146B7F">
              <w:rPr>
                <w:rFonts w:cs="Arial"/>
                <w:szCs w:val="24"/>
              </w:rPr>
              <w:t xml:space="preserve"> </w:t>
            </w:r>
            <w:r w:rsidRPr="00146B7F">
              <w:rPr>
                <w:rFonts w:cs="Arial"/>
                <w:szCs w:val="24"/>
              </w:rPr>
              <w:t>Finance and Accountancy (CIPFA).</w:t>
            </w:r>
          </w:p>
          <w:p w:rsidR="00E2318B" w:rsidRPr="00146B7F" w:rsidRDefault="00E2318B" w:rsidP="00146B7F">
            <w:pPr>
              <w:jc w:val="both"/>
              <w:rPr>
                <w:rFonts w:cs="Arial"/>
                <w:szCs w:val="24"/>
              </w:rPr>
            </w:pPr>
          </w:p>
          <w:p w:rsidR="00E70EC7" w:rsidRPr="00146B7F" w:rsidRDefault="00E2318B" w:rsidP="00146B7F">
            <w:pPr>
              <w:jc w:val="both"/>
              <w:rPr>
                <w:rFonts w:cs="Arial"/>
                <w:szCs w:val="24"/>
              </w:rPr>
            </w:pPr>
            <w:r w:rsidRPr="00146B7F">
              <w:rPr>
                <w:rFonts w:cs="Arial"/>
                <w:szCs w:val="24"/>
              </w:rPr>
              <w:t xml:space="preserve">The Lancashire County Pension Fund Risk Register was </w:t>
            </w:r>
            <w:r w:rsidR="00D62A7B" w:rsidRPr="00146B7F">
              <w:rPr>
                <w:rFonts w:cs="Arial"/>
                <w:szCs w:val="24"/>
              </w:rPr>
              <w:t>las</w:t>
            </w:r>
            <w:r w:rsidR="0087624E" w:rsidRPr="00146B7F">
              <w:rPr>
                <w:rFonts w:cs="Arial"/>
                <w:szCs w:val="24"/>
              </w:rPr>
              <w:t>t reviewed by the Committee on 27</w:t>
            </w:r>
            <w:r w:rsidR="00D62A7B" w:rsidRPr="00146B7F">
              <w:rPr>
                <w:rFonts w:cs="Arial"/>
                <w:szCs w:val="24"/>
              </w:rPr>
              <w:t xml:space="preserve"> </w:t>
            </w:r>
            <w:r w:rsidR="0087624E" w:rsidRPr="00146B7F">
              <w:rPr>
                <w:rFonts w:cs="Arial"/>
                <w:szCs w:val="24"/>
              </w:rPr>
              <w:t>March 2015</w:t>
            </w:r>
            <w:r w:rsidR="00D62A7B" w:rsidRPr="00146B7F">
              <w:rPr>
                <w:rFonts w:cs="Arial"/>
                <w:szCs w:val="24"/>
              </w:rPr>
              <w:t xml:space="preserve">.  It has previously been indicated that </w:t>
            </w:r>
            <w:r w:rsidR="00801A57" w:rsidRPr="00146B7F">
              <w:rPr>
                <w:rFonts w:cs="Arial"/>
                <w:szCs w:val="24"/>
              </w:rPr>
              <w:t>updates to the risk register would be provided</w:t>
            </w:r>
            <w:r w:rsidR="00393F44" w:rsidRPr="00146B7F">
              <w:rPr>
                <w:rFonts w:cs="Arial"/>
                <w:szCs w:val="24"/>
              </w:rPr>
              <w:t xml:space="preserve"> to the </w:t>
            </w:r>
            <w:r w:rsidR="008E3AEA" w:rsidRPr="00146B7F">
              <w:rPr>
                <w:rFonts w:cs="Arial"/>
                <w:szCs w:val="24"/>
              </w:rPr>
              <w:t>C</w:t>
            </w:r>
            <w:r w:rsidR="00393F44" w:rsidRPr="00146B7F">
              <w:rPr>
                <w:rFonts w:cs="Arial"/>
                <w:szCs w:val="24"/>
              </w:rPr>
              <w:t>ommittee</w:t>
            </w:r>
            <w:r w:rsidR="00801A57" w:rsidRPr="00146B7F">
              <w:rPr>
                <w:rFonts w:cs="Arial"/>
                <w:szCs w:val="24"/>
              </w:rPr>
              <w:t xml:space="preserve"> at six monthly intervals.</w:t>
            </w:r>
          </w:p>
          <w:p w:rsidR="002C283A" w:rsidRPr="00146B7F" w:rsidRDefault="002C283A" w:rsidP="00146B7F">
            <w:pPr>
              <w:jc w:val="both"/>
              <w:rPr>
                <w:rFonts w:cs="Arial"/>
                <w:szCs w:val="24"/>
              </w:rPr>
            </w:pPr>
          </w:p>
          <w:p w:rsidR="00E2318B" w:rsidRPr="00146B7F" w:rsidRDefault="002C283A" w:rsidP="00146B7F">
            <w:pPr>
              <w:jc w:val="both"/>
              <w:rPr>
                <w:rFonts w:cs="Arial"/>
                <w:szCs w:val="24"/>
              </w:rPr>
            </w:pPr>
            <w:r w:rsidRPr="00146B7F">
              <w:rPr>
                <w:rFonts w:cs="Arial"/>
                <w:szCs w:val="24"/>
              </w:rPr>
              <w:t xml:space="preserve">Accordingly, the risk register has been reviewed by risk owners in order for any new risks to be identified, and for details of existing risks to be confirmed or amended </w:t>
            </w:r>
            <w:r w:rsidR="00E2318B" w:rsidRPr="00146B7F">
              <w:rPr>
                <w:rFonts w:cs="Arial"/>
                <w:szCs w:val="24"/>
              </w:rPr>
              <w:t>in order to ensure that, where possible, appropriate controls are in place.</w:t>
            </w:r>
          </w:p>
          <w:p w:rsidR="002C283A" w:rsidRPr="00146B7F" w:rsidRDefault="002C283A" w:rsidP="00146B7F">
            <w:pPr>
              <w:jc w:val="both"/>
              <w:rPr>
                <w:rFonts w:cs="Arial"/>
                <w:szCs w:val="24"/>
              </w:rPr>
            </w:pPr>
          </w:p>
          <w:p w:rsidR="002C283A" w:rsidRPr="00146B7F" w:rsidRDefault="002C283A" w:rsidP="00146B7F">
            <w:pPr>
              <w:jc w:val="both"/>
              <w:rPr>
                <w:rFonts w:cs="Arial"/>
              </w:rPr>
            </w:pPr>
            <w:r w:rsidRPr="00146B7F">
              <w:rPr>
                <w:rFonts w:cs="Arial"/>
                <w:szCs w:val="24"/>
              </w:rPr>
              <w:t>Details of the areas currently designated as 'high' risk are separately identified</w:t>
            </w:r>
            <w:r w:rsidR="00873EB3" w:rsidRPr="00146B7F">
              <w:rPr>
                <w:rFonts w:cs="Arial"/>
                <w:szCs w:val="24"/>
              </w:rPr>
              <w:t xml:space="preserve"> and appear at the front of the register</w:t>
            </w:r>
            <w:r w:rsidRPr="00146B7F">
              <w:rPr>
                <w:rFonts w:cs="Arial"/>
                <w:szCs w:val="24"/>
              </w:rPr>
              <w:t>.</w:t>
            </w:r>
            <w:r w:rsidR="007C715B" w:rsidRPr="00146B7F">
              <w:rPr>
                <w:rFonts w:cs="Arial"/>
                <w:szCs w:val="24"/>
              </w:rPr>
              <w:t xml:space="preserve">  </w:t>
            </w:r>
          </w:p>
          <w:p w:rsidR="003E6A45" w:rsidRPr="00146B7F" w:rsidRDefault="003E6A45" w:rsidP="00146B7F">
            <w:pPr>
              <w:jc w:val="both"/>
              <w:rPr>
                <w:rFonts w:cs="Arial"/>
              </w:rPr>
            </w:pPr>
          </w:p>
          <w:p w:rsidR="003E6A45" w:rsidRPr="00146B7F" w:rsidRDefault="003E6A45" w:rsidP="00146B7F">
            <w:pPr>
              <w:pStyle w:val="Heading5"/>
              <w:jc w:val="both"/>
              <w:rPr>
                <w:rFonts w:ascii="Arial" w:hAnsi="Arial" w:cs="Arial"/>
                <w:b w:val="0"/>
                <w:u w:val="none"/>
              </w:rPr>
            </w:pPr>
            <w:r w:rsidRPr="00146B7F">
              <w:rPr>
                <w:rFonts w:ascii="Arial" w:hAnsi="Arial" w:cs="Arial"/>
                <w:u w:val="none"/>
              </w:rPr>
              <w:t>Recommendation</w:t>
            </w:r>
          </w:p>
          <w:p w:rsidR="003E6A45" w:rsidRPr="00146B7F" w:rsidRDefault="003E6A45" w:rsidP="00146B7F">
            <w:pPr>
              <w:jc w:val="both"/>
              <w:rPr>
                <w:rFonts w:cs="Arial"/>
              </w:rPr>
            </w:pPr>
          </w:p>
          <w:p w:rsidR="003E6A45" w:rsidRPr="00146B7F" w:rsidRDefault="00873EB3" w:rsidP="00146B7F">
            <w:pPr>
              <w:jc w:val="both"/>
              <w:rPr>
                <w:rFonts w:cs="Arial"/>
              </w:rPr>
            </w:pPr>
            <w:r w:rsidRPr="00146B7F">
              <w:rPr>
                <w:rFonts w:cs="Arial"/>
              </w:rPr>
              <w:t>The Committee is asked to note</w:t>
            </w:r>
            <w:r w:rsidR="00E2318B" w:rsidRPr="00146B7F">
              <w:rPr>
                <w:rFonts w:cs="Arial"/>
              </w:rPr>
              <w:t xml:space="preserve"> the upda</w:t>
            </w:r>
            <w:r w:rsidR="00E70EC7" w:rsidRPr="00146B7F">
              <w:rPr>
                <w:rFonts w:cs="Arial"/>
              </w:rPr>
              <w:t>ted Risk Register s</w:t>
            </w:r>
            <w:r w:rsidR="00146B7F">
              <w:rPr>
                <w:rFonts w:cs="Arial"/>
              </w:rPr>
              <w:t>et out</w:t>
            </w:r>
            <w:r w:rsidR="00E70EC7" w:rsidRPr="00146B7F">
              <w:rPr>
                <w:rFonts w:cs="Arial"/>
              </w:rPr>
              <w:t xml:space="preserve"> at</w:t>
            </w:r>
            <w:r w:rsidRPr="00146B7F">
              <w:rPr>
                <w:rFonts w:cs="Arial"/>
              </w:rPr>
              <w:t xml:space="preserve"> Appendix </w:t>
            </w:r>
            <w:r w:rsidR="00146B7F">
              <w:rPr>
                <w:rFonts w:cs="Arial"/>
              </w:rPr>
              <w:t>'</w:t>
            </w:r>
            <w:r w:rsidRPr="00146B7F">
              <w:rPr>
                <w:rFonts w:cs="Arial"/>
              </w:rPr>
              <w:t>A</w:t>
            </w:r>
            <w:r w:rsidR="00146B7F">
              <w:rPr>
                <w:rFonts w:cs="Arial"/>
              </w:rPr>
              <w:t>'</w:t>
            </w:r>
            <w:r w:rsidRPr="00146B7F">
              <w:rPr>
                <w:rFonts w:cs="Arial"/>
              </w:rPr>
              <w:t>.</w:t>
            </w:r>
          </w:p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D76EA6" w:rsidRPr="00146B7F" w:rsidRDefault="00D76EA6" w:rsidP="00146B7F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Risk management is the practice of identifying, analysing and controlling in the most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effective manner all threats to the achievement of the strategic objectives and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operational activities of the organisation.</w:t>
      </w:r>
    </w:p>
    <w:p w:rsidR="00D76EA6" w:rsidRPr="00146B7F" w:rsidRDefault="00D76EA6" w:rsidP="00146B7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772BBA" w:rsidRPr="00146B7F" w:rsidRDefault="00D76EA6" w:rsidP="00146B7F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146B7F">
        <w:rPr>
          <w:rFonts w:cs="Arial"/>
          <w:szCs w:val="24"/>
        </w:rPr>
        <w:t>It is not a process for avoiding or eliminating risk although that may be a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consequence of the risk mitigation measure deployed. A certain level of risk is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inevitable in achieving objectives, particularly in an operation such as the Pension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Fund which is exposed to a wide range of investment related risks but it must be</w:t>
      </w:r>
      <w:r w:rsidR="00801A57" w:rsidRPr="00146B7F">
        <w:rPr>
          <w:rFonts w:cs="Arial"/>
          <w:szCs w:val="24"/>
        </w:rPr>
        <w:t xml:space="preserve"> </w:t>
      </w:r>
      <w:r w:rsidRPr="00146B7F">
        <w:rPr>
          <w:rFonts w:cs="Arial"/>
          <w:szCs w:val="24"/>
        </w:rPr>
        <w:t>controlled.</w:t>
      </w:r>
    </w:p>
    <w:p w:rsidR="00D76EA6" w:rsidRDefault="00D76EA6" w:rsidP="00D76EA6"/>
    <w:p w:rsidR="00D76EA6" w:rsidRPr="00146B7F" w:rsidRDefault="00CD4D52" w:rsidP="00146B7F">
      <w:pPr>
        <w:jc w:val="both"/>
        <w:rPr>
          <w:rFonts w:cs="Arial"/>
        </w:rPr>
      </w:pPr>
      <w:r w:rsidRPr="00146B7F">
        <w:rPr>
          <w:rFonts w:cs="Arial"/>
        </w:rPr>
        <w:lastRenderedPageBreak/>
        <w:t>The Risk Register identifies</w:t>
      </w:r>
      <w:r w:rsidR="00D76EA6" w:rsidRPr="00146B7F">
        <w:rPr>
          <w:rFonts w:cs="Arial"/>
        </w:rPr>
        <w:t xml:space="preserve"> the following category of risk:</w:t>
      </w:r>
    </w:p>
    <w:p w:rsidR="00D76EA6" w:rsidRPr="00146B7F" w:rsidRDefault="00D76EA6" w:rsidP="00146B7F">
      <w:pPr>
        <w:jc w:val="both"/>
        <w:rPr>
          <w:rFonts w:cs="Arial"/>
        </w:rPr>
      </w:pPr>
    </w:p>
    <w:p w:rsidR="00D76EA6" w:rsidRPr="00146B7F" w:rsidRDefault="00D76EA6" w:rsidP="00146B7F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Investment and funding risk;</w:t>
      </w:r>
    </w:p>
    <w:p w:rsidR="00D76EA6" w:rsidRPr="00146B7F" w:rsidRDefault="00D76EA6" w:rsidP="00146B7F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Employer risk;</w:t>
      </w:r>
    </w:p>
    <w:p w:rsidR="00D76EA6" w:rsidRPr="00146B7F" w:rsidRDefault="00D76EA6" w:rsidP="00146B7F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Skill and resource risk;</w:t>
      </w:r>
    </w:p>
    <w:p w:rsidR="00D76EA6" w:rsidRPr="00146B7F" w:rsidRDefault="00D76EA6" w:rsidP="00146B7F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Governance and compliance risk;</w:t>
      </w:r>
    </w:p>
    <w:p w:rsidR="00D76EA6" w:rsidRPr="00146B7F" w:rsidRDefault="00D76EA6" w:rsidP="00146B7F">
      <w:pPr>
        <w:autoSpaceDE w:val="0"/>
        <w:autoSpaceDN w:val="0"/>
        <w:adjustRightInd w:val="0"/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Reputational risk; and</w:t>
      </w:r>
    </w:p>
    <w:p w:rsidR="00D76EA6" w:rsidRPr="00146B7F" w:rsidRDefault="00D76EA6" w:rsidP="00146B7F">
      <w:pPr>
        <w:ind w:left="72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• Administration risk.</w:t>
      </w:r>
    </w:p>
    <w:p w:rsidR="00D76EA6" w:rsidRPr="00146B7F" w:rsidRDefault="00D76EA6" w:rsidP="00146B7F">
      <w:pPr>
        <w:jc w:val="both"/>
        <w:rPr>
          <w:rFonts w:cs="Arial"/>
          <w:szCs w:val="24"/>
        </w:rPr>
      </w:pPr>
    </w:p>
    <w:p w:rsidR="00D76EA6" w:rsidRPr="00146B7F" w:rsidRDefault="00E70EC7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Each of the risks, in the</w:t>
      </w:r>
      <w:r w:rsidR="00D76EA6" w:rsidRPr="00146B7F">
        <w:rPr>
          <w:rFonts w:cs="Arial"/>
          <w:szCs w:val="24"/>
        </w:rPr>
        <w:t xml:space="preserve"> area</w:t>
      </w:r>
      <w:r w:rsidRPr="00146B7F">
        <w:rPr>
          <w:rFonts w:cs="Arial"/>
          <w:szCs w:val="24"/>
        </w:rPr>
        <w:t>s above, have been reviewed again by the allocated owners</w:t>
      </w:r>
      <w:r w:rsidR="00D76EA6" w:rsidRPr="00146B7F">
        <w:rPr>
          <w:rFonts w:cs="Arial"/>
          <w:szCs w:val="24"/>
        </w:rPr>
        <w:t xml:space="preserve"> in terms of its impact on the Fund as a whole, on the fund employers, and on the reputation of the Pension Fund Committee and Lancashire County Council as administering authority.  Assessment has also been given to the likelihood of the risk.</w:t>
      </w:r>
      <w:r w:rsidRPr="00146B7F">
        <w:rPr>
          <w:rFonts w:cs="Arial"/>
          <w:szCs w:val="24"/>
        </w:rPr>
        <w:t xml:space="preserve">  </w:t>
      </w:r>
    </w:p>
    <w:p w:rsidR="00E70EC7" w:rsidRPr="00146B7F" w:rsidRDefault="00E70EC7" w:rsidP="00146B7F">
      <w:pPr>
        <w:jc w:val="both"/>
        <w:rPr>
          <w:rFonts w:cs="Arial"/>
          <w:szCs w:val="24"/>
        </w:rPr>
      </w:pPr>
    </w:p>
    <w:p w:rsidR="00E70EC7" w:rsidRPr="00146B7F" w:rsidRDefault="00E70EC7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 xml:space="preserve">The impact and likelihood has then been scored on a scale of one </w:t>
      </w:r>
      <w:r w:rsidR="002D715B" w:rsidRPr="00146B7F">
        <w:rPr>
          <w:rFonts w:cs="Arial"/>
          <w:szCs w:val="24"/>
        </w:rPr>
        <w:t>to four (one being low risk,</w:t>
      </w:r>
      <w:r w:rsidRPr="00146B7F">
        <w:rPr>
          <w:rFonts w:cs="Arial"/>
          <w:szCs w:val="24"/>
        </w:rPr>
        <w:t xml:space="preserve"> four </w:t>
      </w:r>
      <w:r w:rsidR="002D715B" w:rsidRPr="00146B7F">
        <w:rPr>
          <w:rFonts w:cs="Arial"/>
          <w:szCs w:val="24"/>
        </w:rPr>
        <w:t xml:space="preserve">being </w:t>
      </w:r>
      <w:r w:rsidRPr="00146B7F">
        <w:rPr>
          <w:rFonts w:cs="Arial"/>
          <w:szCs w:val="24"/>
        </w:rPr>
        <w:t>high risk) in order to assess whether the overall risk</w:t>
      </w:r>
      <w:r w:rsidR="00146B7F">
        <w:rPr>
          <w:rFonts w:cs="Arial"/>
          <w:szCs w:val="24"/>
        </w:rPr>
        <w:t xml:space="preserve"> level is low, medium or high. </w:t>
      </w:r>
      <w:r w:rsidRPr="00146B7F">
        <w:rPr>
          <w:rFonts w:cs="Arial"/>
          <w:szCs w:val="24"/>
        </w:rPr>
        <w:t>The risk owners then assessed whether there are any mitigating factors in place which could reduce the level of risk, the risk score was then adjusted accordingly.</w:t>
      </w:r>
    </w:p>
    <w:p w:rsidR="00E70EC7" w:rsidRPr="00146B7F" w:rsidRDefault="00E70EC7" w:rsidP="00146B7F">
      <w:pPr>
        <w:jc w:val="both"/>
        <w:rPr>
          <w:rFonts w:cs="Arial"/>
          <w:szCs w:val="24"/>
        </w:rPr>
      </w:pPr>
    </w:p>
    <w:p w:rsidR="005D4458" w:rsidRPr="00146B7F" w:rsidRDefault="00801A57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 xml:space="preserve">Accordingly, </w:t>
      </w:r>
      <w:r w:rsidR="002D715B" w:rsidRPr="00146B7F">
        <w:rPr>
          <w:rFonts w:cs="Arial"/>
          <w:szCs w:val="24"/>
        </w:rPr>
        <w:t xml:space="preserve">the </w:t>
      </w:r>
      <w:r w:rsidR="00167BB9" w:rsidRPr="00146B7F">
        <w:rPr>
          <w:rFonts w:cs="Arial"/>
          <w:szCs w:val="24"/>
        </w:rPr>
        <w:t>r</w:t>
      </w:r>
      <w:r w:rsidR="002D715B" w:rsidRPr="00146B7F">
        <w:rPr>
          <w:rFonts w:cs="Arial"/>
          <w:szCs w:val="24"/>
        </w:rPr>
        <w:t xml:space="preserve">isk </w:t>
      </w:r>
      <w:r w:rsidR="00167BB9" w:rsidRPr="00146B7F">
        <w:rPr>
          <w:rFonts w:cs="Arial"/>
          <w:szCs w:val="24"/>
        </w:rPr>
        <w:t>r</w:t>
      </w:r>
      <w:r w:rsidR="002D715B" w:rsidRPr="00146B7F">
        <w:rPr>
          <w:rFonts w:cs="Arial"/>
          <w:szCs w:val="24"/>
        </w:rPr>
        <w:t>egister was updated and</w:t>
      </w:r>
      <w:r w:rsidR="00E70EC7" w:rsidRPr="00146B7F">
        <w:rPr>
          <w:rFonts w:cs="Arial"/>
          <w:szCs w:val="24"/>
        </w:rPr>
        <w:t xml:space="preserve"> can be found at Appendix </w:t>
      </w:r>
      <w:r w:rsidR="00146B7F">
        <w:rPr>
          <w:rFonts w:cs="Arial"/>
          <w:szCs w:val="24"/>
        </w:rPr>
        <w:t>'</w:t>
      </w:r>
      <w:r w:rsidR="00E70EC7" w:rsidRPr="00146B7F">
        <w:rPr>
          <w:rFonts w:cs="Arial"/>
          <w:szCs w:val="24"/>
        </w:rPr>
        <w:t>A</w:t>
      </w:r>
      <w:r w:rsidR="00146B7F">
        <w:rPr>
          <w:rFonts w:cs="Arial"/>
          <w:szCs w:val="24"/>
        </w:rPr>
        <w:t>'</w:t>
      </w:r>
      <w:r w:rsidR="00E70EC7" w:rsidRPr="00146B7F">
        <w:rPr>
          <w:rFonts w:cs="Arial"/>
          <w:szCs w:val="24"/>
        </w:rPr>
        <w:t xml:space="preserve">. </w:t>
      </w:r>
      <w:r w:rsidR="00B96B58" w:rsidRPr="00146B7F">
        <w:rPr>
          <w:rFonts w:cs="Arial"/>
          <w:szCs w:val="24"/>
        </w:rPr>
        <w:t xml:space="preserve">The register has been reordered in order that the 'high' risk </w:t>
      </w:r>
      <w:r w:rsidR="00873EB3" w:rsidRPr="00146B7F">
        <w:rPr>
          <w:rFonts w:cs="Arial"/>
          <w:szCs w:val="24"/>
        </w:rPr>
        <w:t>areas are shown at the front</w:t>
      </w:r>
      <w:r w:rsidR="00B96B58" w:rsidRPr="00146B7F">
        <w:rPr>
          <w:rFonts w:cs="Arial"/>
          <w:szCs w:val="24"/>
        </w:rPr>
        <w:t xml:space="preserve"> of the document. </w:t>
      </w:r>
      <w:r w:rsidR="00E70EC7" w:rsidRPr="00146B7F">
        <w:rPr>
          <w:rFonts w:cs="Arial"/>
          <w:szCs w:val="24"/>
        </w:rPr>
        <w:t xml:space="preserve"> </w:t>
      </w:r>
    </w:p>
    <w:p w:rsidR="005D4458" w:rsidRPr="00146B7F" w:rsidRDefault="005D4458" w:rsidP="00146B7F">
      <w:pPr>
        <w:jc w:val="both"/>
        <w:rPr>
          <w:rFonts w:cs="Arial"/>
          <w:szCs w:val="24"/>
          <w:highlight w:val="yellow"/>
        </w:rPr>
      </w:pPr>
    </w:p>
    <w:p w:rsidR="002C283A" w:rsidRPr="00146B7F" w:rsidRDefault="00CD4D52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 xml:space="preserve">The review </w:t>
      </w:r>
      <w:r w:rsidR="005D4458" w:rsidRPr="00146B7F">
        <w:rPr>
          <w:rFonts w:cs="Arial"/>
          <w:szCs w:val="24"/>
        </w:rPr>
        <w:t xml:space="preserve">did not identify any new risks however, the existing risk relating to the requirement to establish a </w:t>
      </w:r>
      <w:r w:rsidR="00146B7F">
        <w:rPr>
          <w:rFonts w:cs="Arial"/>
          <w:szCs w:val="24"/>
        </w:rPr>
        <w:t xml:space="preserve">Local </w:t>
      </w:r>
      <w:r w:rsidR="005D4458" w:rsidRPr="00146B7F">
        <w:rPr>
          <w:rFonts w:cs="Arial"/>
          <w:szCs w:val="24"/>
        </w:rPr>
        <w:t>Pension Board was removed as this has now been successfully established.</w:t>
      </w:r>
    </w:p>
    <w:p w:rsidR="0039636B" w:rsidRPr="00146B7F" w:rsidRDefault="0039636B" w:rsidP="00146B7F">
      <w:pPr>
        <w:jc w:val="both"/>
        <w:rPr>
          <w:rFonts w:cs="Arial"/>
          <w:szCs w:val="24"/>
        </w:rPr>
      </w:pPr>
    </w:p>
    <w:p w:rsidR="00130CF4" w:rsidRPr="00146B7F" w:rsidRDefault="00130CF4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The following risks are currently designated as 'high':</w:t>
      </w:r>
    </w:p>
    <w:p w:rsidR="00130CF4" w:rsidRPr="00146B7F" w:rsidRDefault="00130CF4" w:rsidP="00146B7F">
      <w:pPr>
        <w:jc w:val="both"/>
        <w:rPr>
          <w:rFonts w:cs="Arial"/>
          <w:szCs w:val="24"/>
        </w:rPr>
      </w:pPr>
    </w:p>
    <w:p w:rsidR="00130CF4" w:rsidRPr="00146B7F" w:rsidRDefault="00873EB3" w:rsidP="00146B7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I004 – Falling share prices and therefore asset value</w:t>
      </w:r>
      <w:r w:rsidR="00AE7F59" w:rsidRPr="00146B7F">
        <w:rPr>
          <w:rFonts w:cs="Arial"/>
          <w:szCs w:val="24"/>
        </w:rPr>
        <w:t>;</w:t>
      </w:r>
    </w:p>
    <w:p w:rsidR="00873EB3" w:rsidRPr="00146B7F" w:rsidRDefault="00873EB3" w:rsidP="00146B7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I007 – Liability Risk – Inflation</w:t>
      </w:r>
      <w:r w:rsidR="00146B7F">
        <w:rPr>
          <w:rFonts w:cs="Arial"/>
          <w:szCs w:val="24"/>
        </w:rPr>
        <w:t>/</w:t>
      </w:r>
      <w:r w:rsidRPr="00146B7F">
        <w:rPr>
          <w:rFonts w:cs="Arial"/>
          <w:szCs w:val="24"/>
        </w:rPr>
        <w:t>Deflation;</w:t>
      </w:r>
    </w:p>
    <w:p w:rsidR="00873EB3" w:rsidRPr="00146B7F" w:rsidRDefault="00873EB3" w:rsidP="00146B7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I009 – Liability Risk – Longevity;</w:t>
      </w:r>
    </w:p>
    <w:p w:rsidR="00873EB3" w:rsidRPr="00146B7F" w:rsidRDefault="00873EB3" w:rsidP="00146B7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>I012 – Liability Risk – LGPS Regulations</w:t>
      </w:r>
    </w:p>
    <w:p w:rsidR="00873EB3" w:rsidRPr="00146B7F" w:rsidRDefault="00146B7F" w:rsidP="00146B7F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I001 – Asset/</w:t>
      </w:r>
      <w:r w:rsidR="00873EB3" w:rsidRPr="00146B7F">
        <w:rPr>
          <w:rFonts w:cs="Arial"/>
          <w:szCs w:val="24"/>
        </w:rPr>
        <w:t>Liability mismatch</w:t>
      </w:r>
    </w:p>
    <w:p w:rsidR="00130CF4" w:rsidRPr="00146B7F" w:rsidRDefault="00130CF4" w:rsidP="00146B7F">
      <w:pPr>
        <w:jc w:val="both"/>
        <w:rPr>
          <w:rFonts w:cs="Arial"/>
          <w:szCs w:val="24"/>
        </w:rPr>
      </w:pPr>
    </w:p>
    <w:p w:rsidR="00E70EC7" w:rsidRPr="00146B7F" w:rsidRDefault="00E70EC7" w:rsidP="00146B7F">
      <w:pPr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 xml:space="preserve">The </w:t>
      </w:r>
      <w:r w:rsidR="009108AA" w:rsidRPr="00146B7F">
        <w:rPr>
          <w:rFonts w:cs="Arial"/>
          <w:szCs w:val="24"/>
        </w:rPr>
        <w:t>r</w:t>
      </w:r>
      <w:r w:rsidRPr="00146B7F">
        <w:rPr>
          <w:rFonts w:cs="Arial"/>
          <w:szCs w:val="24"/>
        </w:rPr>
        <w:t xml:space="preserve">isk </w:t>
      </w:r>
      <w:r w:rsidR="009108AA" w:rsidRPr="00146B7F">
        <w:rPr>
          <w:rFonts w:cs="Arial"/>
          <w:szCs w:val="24"/>
        </w:rPr>
        <w:t>r</w:t>
      </w:r>
      <w:r w:rsidRPr="00146B7F">
        <w:rPr>
          <w:rFonts w:cs="Arial"/>
          <w:szCs w:val="24"/>
        </w:rPr>
        <w:t>egister will continue to be reviewed on a regular basis.</w:t>
      </w:r>
    </w:p>
    <w:p w:rsidR="00D76EA6" w:rsidRPr="00146B7F" w:rsidRDefault="00D76EA6" w:rsidP="00146B7F">
      <w:pPr>
        <w:jc w:val="both"/>
        <w:rPr>
          <w:rFonts w:cs="Arial"/>
        </w:rPr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3E6A45" w:rsidRDefault="008B05D4">
      <w:r>
        <w:t>N/A</w:t>
      </w:r>
    </w:p>
    <w:p w:rsidR="008B05D4" w:rsidRDefault="008B05D4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772BBA" w:rsidRDefault="00772BBA" w:rsidP="00772BBA"/>
    <w:p w:rsidR="008B05D4" w:rsidRPr="00146B7F" w:rsidRDefault="008B05D4" w:rsidP="00146B7F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146B7F">
        <w:rPr>
          <w:rFonts w:cs="Arial"/>
          <w:szCs w:val="24"/>
        </w:rPr>
        <w:t xml:space="preserve">The Pension Fund Committee is the body charged with exercising the County Council's responsibilities as administering authority of the Pension Fund, and </w:t>
      </w:r>
      <w:r w:rsidRPr="00146B7F">
        <w:rPr>
          <w:rFonts w:cs="Arial"/>
          <w:szCs w:val="24"/>
        </w:rPr>
        <w:lastRenderedPageBreak/>
        <w:t>accordingly takes the responsibility for ensuring that there is effective risk management over those operations.</w:t>
      </w:r>
    </w:p>
    <w:p w:rsidR="008B05D4" w:rsidRPr="00146B7F" w:rsidRDefault="008B05D4" w:rsidP="00146B7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E6A45" w:rsidRPr="00146B7F" w:rsidRDefault="008B05D4" w:rsidP="00146B7F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146B7F">
        <w:rPr>
          <w:rFonts w:cs="Arial"/>
          <w:szCs w:val="24"/>
        </w:rPr>
        <w:t xml:space="preserve">The register </w:t>
      </w:r>
      <w:r w:rsidR="00374996">
        <w:rPr>
          <w:rFonts w:cs="Arial"/>
          <w:szCs w:val="24"/>
        </w:rPr>
        <w:t>set out</w:t>
      </w:r>
      <w:r w:rsidRPr="00146B7F">
        <w:rPr>
          <w:rFonts w:cs="Arial"/>
          <w:szCs w:val="24"/>
        </w:rPr>
        <w:t xml:space="preserve"> a</w:t>
      </w:r>
      <w:r w:rsidR="00146B7F">
        <w:rPr>
          <w:rFonts w:cs="Arial"/>
          <w:szCs w:val="24"/>
        </w:rPr>
        <w:t>t</w:t>
      </w:r>
      <w:r w:rsidRPr="00146B7F">
        <w:rPr>
          <w:rFonts w:cs="Arial"/>
          <w:szCs w:val="24"/>
        </w:rPr>
        <w:t xml:space="preserve"> Appendix </w:t>
      </w:r>
      <w:r w:rsidR="00146B7F">
        <w:rPr>
          <w:rFonts w:cs="Arial"/>
          <w:szCs w:val="24"/>
        </w:rPr>
        <w:t>'</w:t>
      </w:r>
      <w:r w:rsidRPr="00146B7F">
        <w:rPr>
          <w:rFonts w:cs="Arial"/>
          <w:szCs w:val="24"/>
        </w:rPr>
        <w:t>A</w:t>
      </w:r>
      <w:r w:rsidR="00146B7F">
        <w:rPr>
          <w:rFonts w:cs="Arial"/>
          <w:szCs w:val="24"/>
        </w:rPr>
        <w:t>'</w:t>
      </w:r>
      <w:r w:rsidRPr="00146B7F">
        <w:rPr>
          <w:rFonts w:cs="Arial"/>
          <w:szCs w:val="24"/>
        </w:rPr>
        <w:t xml:space="preserve"> seeks to assess specific risks relating to Lancashire County Pension Fund and introduce a measure of consistency into the risk assessment process.</w:t>
      </w:r>
    </w:p>
    <w:p w:rsidR="008B05D4" w:rsidRPr="008B05D4" w:rsidRDefault="008B05D4" w:rsidP="008B05D4">
      <w:pPr>
        <w:autoSpaceDE w:val="0"/>
        <w:autoSpaceDN w:val="0"/>
        <w:adjustRightInd w:val="0"/>
        <w:rPr>
          <w:rFonts w:ascii="TT3F6E50o00" w:hAnsi="TT3F6E50o00" w:cs="TT3F6E50o00"/>
          <w:szCs w:val="24"/>
        </w:rPr>
      </w:pP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 w:rsidTr="00374996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3E6A45" w:rsidRDefault="003E6A45" w:rsidP="001327F6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bookmarkStart w:id="0" w:name="_GoBack"/>
            <w:bookmarkEnd w:id="0"/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 w:rsidTr="00374996">
        <w:tc>
          <w:tcPr>
            <w:tcW w:w="3227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74996" w:rsidRPr="00374996" w:rsidRDefault="00374996" w:rsidP="00374996">
            <w:r>
              <w:t>N/A</w:t>
            </w:r>
          </w:p>
          <w:p w:rsidR="003E6A45" w:rsidRDefault="003E6A45"/>
        </w:tc>
        <w:tc>
          <w:tcPr>
            <w:tcW w:w="2775" w:type="dxa"/>
          </w:tcPr>
          <w:p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:rsidR="003E6A45" w:rsidRDefault="003E6A45"/>
        </w:tc>
        <w:tc>
          <w:tcPr>
            <w:tcW w:w="3178" w:type="dxa"/>
          </w:tcPr>
          <w:p w:rsidR="003E6A45" w:rsidRDefault="003E6A45"/>
          <w:p w:rsidR="003E6A45" w:rsidRDefault="003E6A45"/>
        </w:tc>
      </w:tr>
      <w:tr w:rsidR="003E6A45" w:rsidTr="00374996">
        <w:tc>
          <w:tcPr>
            <w:tcW w:w="9180" w:type="dxa"/>
            <w:gridSpan w:val="3"/>
          </w:tcPr>
          <w:p w:rsidR="003E6A45" w:rsidRDefault="003E6A45">
            <w:r>
              <w:t>Reason for inclusion in Part II, if appropriate</w:t>
            </w:r>
          </w:p>
          <w:p w:rsidR="003E6A45" w:rsidRDefault="003E6A45"/>
          <w:p w:rsidR="003E6A45" w:rsidRDefault="009108AA">
            <w:r>
              <w:t xml:space="preserve">N/A </w:t>
            </w:r>
          </w:p>
          <w:p w:rsidR="003E6A45" w:rsidRDefault="003E6A45"/>
        </w:tc>
      </w:tr>
    </w:tbl>
    <w:p w:rsidR="003E6A45" w:rsidRDefault="003E6A45"/>
    <w:sectPr w:rsidR="003E6A45" w:rsidSect="00556611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57" w:rsidRDefault="00801A57">
      <w:r>
        <w:separator/>
      </w:r>
    </w:p>
  </w:endnote>
  <w:endnote w:type="continuationSeparator" w:id="0">
    <w:p w:rsidR="00801A57" w:rsidRDefault="008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F6E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01A5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801A57" w:rsidRDefault="00801A5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801A57" w:rsidRDefault="00801A57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01A5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801A57" w:rsidRDefault="00C421DF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1A57" w:rsidRDefault="00801A57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57" w:rsidRDefault="00801A57">
      <w:r>
        <w:separator/>
      </w:r>
    </w:p>
  </w:footnote>
  <w:footnote w:type="continuationSeparator" w:id="0">
    <w:p w:rsidR="00801A57" w:rsidRDefault="0080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479"/>
    <w:multiLevelType w:val="hybridMultilevel"/>
    <w:tmpl w:val="14D6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138E"/>
    <w:multiLevelType w:val="hybridMultilevel"/>
    <w:tmpl w:val="A632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34C2A"/>
    <w:rsid w:val="00101012"/>
    <w:rsid w:val="00130CF4"/>
    <w:rsid w:val="001327F6"/>
    <w:rsid w:val="00146B7F"/>
    <w:rsid w:val="00167BB9"/>
    <w:rsid w:val="002549B6"/>
    <w:rsid w:val="0028461B"/>
    <w:rsid w:val="002B11AF"/>
    <w:rsid w:val="002C283A"/>
    <w:rsid w:val="002D715B"/>
    <w:rsid w:val="002D72C0"/>
    <w:rsid w:val="00354CAC"/>
    <w:rsid w:val="00357954"/>
    <w:rsid w:val="00374996"/>
    <w:rsid w:val="00393F44"/>
    <w:rsid w:val="0039636B"/>
    <w:rsid w:val="003E6A45"/>
    <w:rsid w:val="0044710C"/>
    <w:rsid w:val="0052271B"/>
    <w:rsid w:val="0054252A"/>
    <w:rsid w:val="00556611"/>
    <w:rsid w:val="00581BB4"/>
    <w:rsid w:val="005C1F89"/>
    <w:rsid w:val="005D4458"/>
    <w:rsid w:val="00621B00"/>
    <w:rsid w:val="00647FDC"/>
    <w:rsid w:val="00772BBA"/>
    <w:rsid w:val="007C715B"/>
    <w:rsid w:val="007E7A9F"/>
    <w:rsid w:val="008009AC"/>
    <w:rsid w:val="00801A57"/>
    <w:rsid w:val="00812D86"/>
    <w:rsid w:val="00845C4D"/>
    <w:rsid w:val="00873EB3"/>
    <w:rsid w:val="0087624E"/>
    <w:rsid w:val="008A5E88"/>
    <w:rsid w:val="008B05D4"/>
    <w:rsid w:val="008C2EA3"/>
    <w:rsid w:val="008E3AEA"/>
    <w:rsid w:val="009108AA"/>
    <w:rsid w:val="009B3418"/>
    <w:rsid w:val="009B61F1"/>
    <w:rsid w:val="00A702FB"/>
    <w:rsid w:val="00AE7F59"/>
    <w:rsid w:val="00B67789"/>
    <w:rsid w:val="00B949C9"/>
    <w:rsid w:val="00B96B58"/>
    <w:rsid w:val="00BB08CC"/>
    <w:rsid w:val="00C20DC0"/>
    <w:rsid w:val="00C421DF"/>
    <w:rsid w:val="00CC4084"/>
    <w:rsid w:val="00CD4D52"/>
    <w:rsid w:val="00CD5239"/>
    <w:rsid w:val="00D62A7B"/>
    <w:rsid w:val="00D76EA6"/>
    <w:rsid w:val="00E2318B"/>
    <w:rsid w:val="00E70EC7"/>
    <w:rsid w:val="00EA0AD7"/>
    <w:rsid w:val="00EA45E5"/>
    <w:rsid w:val="00F81F6E"/>
    <w:rsid w:val="00FD26DF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89D23547-2B6B-463C-ABAE-09CC1DD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6611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556611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556611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556611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611"/>
  </w:style>
  <w:style w:type="paragraph" w:customStyle="1" w:styleId="arial11">
    <w:name w:val="arial11"/>
    <w:basedOn w:val="Normal"/>
    <w:rsid w:val="00556611"/>
  </w:style>
  <w:style w:type="paragraph" w:styleId="BodyText">
    <w:name w:val="Body Text"/>
    <w:basedOn w:val="Normal"/>
    <w:rsid w:val="00556611"/>
  </w:style>
  <w:style w:type="paragraph" w:styleId="Footer">
    <w:name w:val="footer"/>
    <w:basedOn w:val="Normal"/>
    <w:rsid w:val="005566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6611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w.fox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13</TotalTime>
  <Pages>3</Pages>
  <Words>662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Gorman, Dave</cp:lastModifiedBy>
  <cp:revision>4</cp:revision>
  <cp:lastPrinted>2002-09-23T10:55:00Z</cp:lastPrinted>
  <dcterms:created xsi:type="dcterms:W3CDTF">2015-09-16T08:36:00Z</dcterms:created>
  <dcterms:modified xsi:type="dcterms:W3CDTF">2015-09-18T11:33:00Z</dcterms:modified>
</cp:coreProperties>
</file>