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E3D22" w14:textId="77777777" w:rsidR="003E6A45" w:rsidRDefault="00E66C74">
      <w:pPr>
        <w:rPr>
          <w:b/>
        </w:rPr>
      </w:pPr>
      <w:r>
        <w:rPr>
          <w:b/>
        </w:rPr>
        <w:t>Pension Fund Committee</w:t>
      </w:r>
    </w:p>
    <w:p w14:paraId="7EFC1EEF" w14:textId="77777777" w:rsidR="003E6A45" w:rsidRDefault="003E6A45">
      <w:r>
        <w:t xml:space="preserve">Meeting to be held on </w:t>
      </w:r>
      <w:r w:rsidR="003750EA">
        <w:t xml:space="preserve">30 September </w:t>
      </w:r>
      <w:r w:rsidR="00E66C74">
        <w:t>2015</w:t>
      </w:r>
    </w:p>
    <w:p w14:paraId="293BB202" w14:textId="77777777"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14:paraId="1D21494E" w14:textId="77777777">
        <w:tc>
          <w:tcPr>
            <w:tcW w:w="3260" w:type="dxa"/>
          </w:tcPr>
          <w:p w14:paraId="7228C1E0" w14:textId="77777777" w:rsidR="003E6A45" w:rsidRDefault="003E6A45">
            <w:pPr>
              <w:pStyle w:val="BodyText"/>
            </w:pPr>
            <w:r>
              <w:t>Electoral Division affected:</w:t>
            </w:r>
          </w:p>
          <w:p w14:paraId="20A2B5B3" w14:textId="77777777" w:rsidR="003E6A45" w:rsidRDefault="00E66C74">
            <w:pPr>
              <w:rPr>
                <w:u w:val="single"/>
              </w:rPr>
            </w:pPr>
            <w:r>
              <w:t>None</w:t>
            </w:r>
          </w:p>
        </w:tc>
      </w:tr>
    </w:tbl>
    <w:p w14:paraId="2105EE6F" w14:textId="77777777" w:rsidR="003E6A45" w:rsidRDefault="003E6A45">
      <w:pPr>
        <w:rPr>
          <w:u w:val="single"/>
        </w:rPr>
      </w:pPr>
    </w:p>
    <w:p w14:paraId="7B98DB88" w14:textId="77777777" w:rsidR="003E6A45" w:rsidRPr="00C16213" w:rsidRDefault="00E66C74">
      <w:pPr>
        <w:rPr>
          <w:b/>
        </w:rPr>
      </w:pPr>
      <w:r w:rsidRPr="00C16213">
        <w:rPr>
          <w:b/>
        </w:rPr>
        <w:t xml:space="preserve">Responsible Investment </w:t>
      </w:r>
    </w:p>
    <w:p w14:paraId="69F2292F" w14:textId="77777777" w:rsidR="003E6A45" w:rsidRDefault="003E6A45"/>
    <w:p w14:paraId="0A22D78E" w14:textId="77777777" w:rsidR="003E6A45" w:rsidRDefault="003E6A45">
      <w:r>
        <w:t>Contact for further information:</w:t>
      </w:r>
    </w:p>
    <w:p w14:paraId="75B41024" w14:textId="7F7D5D14" w:rsidR="003E6A45" w:rsidRDefault="00E66C74">
      <w:r>
        <w:t>Andrew Fox</w:t>
      </w:r>
      <w:r w:rsidR="003E6A45">
        <w:t xml:space="preserve">, </w:t>
      </w:r>
      <w:r>
        <w:t>(01772) 535916</w:t>
      </w:r>
      <w:r w:rsidR="003E6A45">
        <w:t xml:space="preserve">, </w:t>
      </w:r>
      <w:r w:rsidR="005F586C">
        <w:t xml:space="preserve">Head of Service, </w:t>
      </w:r>
      <w:r w:rsidR="004B4721">
        <w:t>Policy and Compliance</w:t>
      </w:r>
    </w:p>
    <w:p w14:paraId="17DC1FB4" w14:textId="6B479042" w:rsidR="00772BBA" w:rsidRDefault="00083200">
      <w:hyperlink r:id="rId7" w:history="1">
        <w:r w:rsidR="00BF39FB" w:rsidRPr="00E05605">
          <w:rPr>
            <w:rStyle w:val="Hyperlink"/>
          </w:rPr>
          <w:t>andrew.fox@lancashire.gov.uk</w:t>
        </w:r>
      </w:hyperlink>
      <w:r w:rsidR="00BF39FB">
        <w:t xml:space="preserve">  </w:t>
      </w:r>
      <w:r w:rsidR="005F586C">
        <w:t xml:space="preserve"> </w:t>
      </w:r>
    </w:p>
    <w:p w14:paraId="72B90225" w14:textId="77777777"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14:paraId="25A6A52F" w14:textId="77777777">
        <w:tc>
          <w:tcPr>
            <w:tcW w:w="9180" w:type="dxa"/>
          </w:tcPr>
          <w:p w14:paraId="3E9449C4" w14:textId="77777777" w:rsidR="003E6A45" w:rsidRDefault="003E6A45" w:rsidP="00F514A8">
            <w:pPr>
              <w:pStyle w:val="Heading6"/>
              <w:spacing w:before="120"/>
              <w:rPr>
                <w:rFonts w:ascii="Arial" w:hAnsi="Arial"/>
              </w:rPr>
            </w:pPr>
            <w:r>
              <w:rPr>
                <w:rFonts w:ascii="Arial" w:hAnsi="Arial"/>
              </w:rPr>
              <w:t>Executive Summary</w:t>
            </w:r>
          </w:p>
          <w:p w14:paraId="59DEB5A6" w14:textId="77777777" w:rsidR="003E6A45" w:rsidRDefault="003E6A45" w:rsidP="005F586C">
            <w:pPr>
              <w:jc w:val="both"/>
            </w:pPr>
          </w:p>
          <w:p w14:paraId="4FEB8C27" w14:textId="791225CF" w:rsidR="007676C9" w:rsidRPr="009E5798" w:rsidRDefault="00087174" w:rsidP="005F586C">
            <w:pPr>
              <w:jc w:val="both"/>
              <w:rPr>
                <w:color w:val="000000" w:themeColor="text1"/>
              </w:rPr>
            </w:pPr>
            <w:r w:rsidRPr="009E5798">
              <w:rPr>
                <w:color w:val="000000" w:themeColor="text1"/>
              </w:rPr>
              <w:t>Responsible Investment</w:t>
            </w:r>
            <w:r w:rsidR="00DA16AB">
              <w:rPr>
                <w:color w:val="000000" w:themeColor="text1"/>
              </w:rPr>
              <w:t xml:space="preserve"> </w:t>
            </w:r>
            <w:r w:rsidR="004B4721">
              <w:rPr>
                <w:color w:val="000000" w:themeColor="text1"/>
              </w:rPr>
              <w:t xml:space="preserve">(RI) </w:t>
            </w:r>
            <w:r w:rsidR="00DA16AB">
              <w:rPr>
                <w:color w:val="000000" w:themeColor="text1"/>
              </w:rPr>
              <w:t>i</w:t>
            </w:r>
            <w:r w:rsidR="00E56119">
              <w:rPr>
                <w:color w:val="000000" w:themeColor="text1"/>
              </w:rPr>
              <w:t xml:space="preserve">s </w:t>
            </w:r>
            <w:r w:rsidR="00A97B3B">
              <w:rPr>
                <w:color w:val="000000" w:themeColor="text1"/>
              </w:rPr>
              <w:t>the</w:t>
            </w:r>
            <w:r w:rsidR="003750EA">
              <w:rPr>
                <w:color w:val="000000" w:themeColor="text1"/>
              </w:rPr>
              <w:t xml:space="preserve"> work stream </w:t>
            </w:r>
            <w:r w:rsidR="001A0BBE">
              <w:rPr>
                <w:color w:val="000000" w:themeColor="text1"/>
              </w:rPr>
              <w:t xml:space="preserve">which </w:t>
            </w:r>
            <w:r w:rsidR="003750EA">
              <w:rPr>
                <w:color w:val="000000" w:themeColor="text1"/>
              </w:rPr>
              <w:t>encompasses</w:t>
            </w:r>
            <w:r w:rsidR="001A0BBE">
              <w:rPr>
                <w:color w:val="000000" w:themeColor="text1"/>
              </w:rPr>
              <w:t xml:space="preserve"> </w:t>
            </w:r>
            <w:r w:rsidR="009E5798">
              <w:rPr>
                <w:color w:val="000000" w:themeColor="text1"/>
              </w:rPr>
              <w:t>activit</w:t>
            </w:r>
            <w:r w:rsidR="00854CB6">
              <w:rPr>
                <w:color w:val="000000" w:themeColor="text1"/>
              </w:rPr>
              <w:t>ies</w:t>
            </w:r>
            <w:r w:rsidR="00923FAA">
              <w:rPr>
                <w:color w:val="000000" w:themeColor="text1"/>
              </w:rPr>
              <w:t xml:space="preserve"> </w:t>
            </w:r>
            <w:r w:rsidR="009E5798">
              <w:rPr>
                <w:color w:val="000000" w:themeColor="text1"/>
              </w:rPr>
              <w:t xml:space="preserve">associated with </w:t>
            </w:r>
            <w:r w:rsidR="00513494">
              <w:rPr>
                <w:color w:val="000000" w:themeColor="text1"/>
              </w:rPr>
              <w:t>the Fund</w:t>
            </w:r>
            <w:r w:rsidRPr="009E5798">
              <w:rPr>
                <w:color w:val="000000" w:themeColor="text1"/>
              </w:rPr>
              <w:t xml:space="preserve"> </w:t>
            </w:r>
            <w:r w:rsidR="00513494">
              <w:rPr>
                <w:color w:val="000000" w:themeColor="text1"/>
              </w:rPr>
              <w:t xml:space="preserve">fulfilling its </w:t>
            </w:r>
            <w:r w:rsidRPr="009E5798">
              <w:rPr>
                <w:color w:val="000000" w:themeColor="text1"/>
              </w:rPr>
              <w:t>commitment to being a good asset owner</w:t>
            </w:r>
            <w:r w:rsidR="007676C9" w:rsidRPr="009E5798">
              <w:rPr>
                <w:color w:val="000000" w:themeColor="text1"/>
              </w:rPr>
              <w:t>.</w:t>
            </w:r>
          </w:p>
          <w:p w14:paraId="1A6C8EC2" w14:textId="77777777" w:rsidR="007676C9" w:rsidRPr="009E5798" w:rsidRDefault="007676C9" w:rsidP="005F586C">
            <w:pPr>
              <w:jc w:val="both"/>
              <w:rPr>
                <w:color w:val="000000" w:themeColor="text1"/>
              </w:rPr>
            </w:pPr>
          </w:p>
          <w:p w14:paraId="51AD731B" w14:textId="2435ACD5" w:rsidR="00D85165" w:rsidRDefault="009E5798" w:rsidP="005F586C">
            <w:pPr>
              <w:jc w:val="both"/>
              <w:rPr>
                <w:color w:val="000000" w:themeColor="text1"/>
              </w:rPr>
            </w:pPr>
            <w:r>
              <w:rPr>
                <w:color w:val="000000" w:themeColor="text1"/>
              </w:rPr>
              <w:t>T</w:t>
            </w:r>
            <w:r w:rsidR="00D85165">
              <w:rPr>
                <w:color w:val="000000" w:themeColor="text1"/>
              </w:rPr>
              <w:t>his</w:t>
            </w:r>
            <w:r w:rsidR="00E56119">
              <w:rPr>
                <w:color w:val="000000" w:themeColor="text1"/>
              </w:rPr>
              <w:t xml:space="preserve"> report </w:t>
            </w:r>
            <w:r w:rsidR="00513494">
              <w:rPr>
                <w:color w:val="000000" w:themeColor="text1"/>
              </w:rPr>
              <w:t>provides</w:t>
            </w:r>
            <w:r w:rsidR="00344D8F">
              <w:rPr>
                <w:color w:val="000000" w:themeColor="text1"/>
              </w:rPr>
              <w:t xml:space="preserve"> </w:t>
            </w:r>
            <w:r w:rsidR="0056105E">
              <w:rPr>
                <w:color w:val="000000" w:themeColor="text1"/>
              </w:rPr>
              <w:t xml:space="preserve">the Pension Fund Committee with its regular </w:t>
            </w:r>
            <w:r w:rsidR="00923FAA">
              <w:rPr>
                <w:color w:val="000000" w:themeColor="text1"/>
              </w:rPr>
              <w:t xml:space="preserve">update </w:t>
            </w:r>
            <w:r w:rsidR="00513494">
              <w:rPr>
                <w:color w:val="000000" w:themeColor="text1"/>
              </w:rPr>
              <w:t xml:space="preserve">on </w:t>
            </w:r>
            <w:r w:rsidR="00D85165">
              <w:rPr>
                <w:color w:val="000000" w:themeColor="text1"/>
              </w:rPr>
              <w:t xml:space="preserve">matters </w:t>
            </w:r>
            <w:r w:rsidR="001501EC">
              <w:rPr>
                <w:color w:val="000000" w:themeColor="text1"/>
              </w:rPr>
              <w:t xml:space="preserve">falling </w:t>
            </w:r>
            <w:r w:rsidR="00A97B3B">
              <w:rPr>
                <w:color w:val="000000" w:themeColor="text1"/>
              </w:rPr>
              <w:t xml:space="preserve">within the RI work stream </w:t>
            </w:r>
            <w:r w:rsidR="00D85165">
              <w:rPr>
                <w:color w:val="000000" w:themeColor="text1"/>
              </w:rPr>
              <w:t>including</w:t>
            </w:r>
            <w:r w:rsidR="0056105E">
              <w:rPr>
                <w:color w:val="000000" w:themeColor="text1"/>
              </w:rPr>
              <w:t>:</w:t>
            </w:r>
            <w:r w:rsidR="00D85165">
              <w:rPr>
                <w:color w:val="000000" w:themeColor="text1"/>
              </w:rPr>
              <w:t xml:space="preserve"> </w:t>
            </w:r>
          </w:p>
          <w:p w14:paraId="0625A95B" w14:textId="77777777" w:rsidR="00D85165" w:rsidRDefault="00D85165" w:rsidP="005F586C">
            <w:pPr>
              <w:jc w:val="both"/>
              <w:rPr>
                <w:color w:val="000000" w:themeColor="text1"/>
              </w:rPr>
            </w:pPr>
          </w:p>
          <w:p w14:paraId="6DDEB3AA" w14:textId="5A3ED9B9" w:rsidR="00D85165" w:rsidRPr="00D85165" w:rsidRDefault="0056105E" w:rsidP="005F586C">
            <w:pPr>
              <w:pStyle w:val="ListParagraph"/>
              <w:numPr>
                <w:ilvl w:val="0"/>
                <w:numId w:val="18"/>
              </w:numPr>
              <w:jc w:val="both"/>
              <w:rPr>
                <w:color w:val="000000" w:themeColor="text1"/>
              </w:rPr>
            </w:pPr>
            <w:r>
              <w:rPr>
                <w:color w:val="000000" w:themeColor="text1"/>
              </w:rPr>
              <w:t xml:space="preserve">Quarterly reports from </w:t>
            </w:r>
            <w:r w:rsidR="00D85165" w:rsidRPr="00D85165">
              <w:rPr>
                <w:color w:val="000000" w:themeColor="text1"/>
              </w:rPr>
              <w:t xml:space="preserve"> </w:t>
            </w:r>
          </w:p>
          <w:p w14:paraId="17B261F0" w14:textId="77777777" w:rsidR="00A97B3B" w:rsidRDefault="007676C9" w:rsidP="005F586C">
            <w:pPr>
              <w:pStyle w:val="ListParagraph"/>
              <w:numPr>
                <w:ilvl w:val="0"/>
                <w:numId w:val="19"/>
              </w:numPr>
              <w:jc w:val="both"/>
              <w:rPr>
                <w:color w:val="000000" w:themeColor="text1"/>
              </w:rPr>
            </w:pPr>
            <w:r w:rsidRPr="00D85165">
              <w:rPr>
                <w:color w:val="000000" w:themeColor="text1"/>
              </w:rPr>
              <w:t xml:space="preserve">Pensions and Investment Research Consultants Ltd (PIRC) </w:t>
            </w:r>
          </w:p>
          <w:p w14:paraId="139F7606" w14:textId="495F0F82" w:rsidR="00923FAA" w:rsidRPr="00D85165" w:rsidRDefault="0056105E" w:rsidP="005F586C">
            <w:pPr>
              <w:pStyle w:val="ListParagraph"/>
              <w:ind w:left="1440"/>
              <w:jc w:val="both"/>
              <w:rPr>
                <w:color w:val="000000" w:themeColor="text1"/>
              </w:rPr>
            </w:pPr>
            <w:r>
              <w:rPr>
                <w:color w:val="000000" w:themeColor="text1"/>
              </w:rPr>
              <w:t>P</w:t>
            </w:r>
            <w:r w:rsidR="00215FB1" w:rsidRPr="00D85165">
              <w:rPr>
                <w:color w:val="000000" w:themeColor="text1"/>
              </w:rPr>
              <w:t>rovide</w:t>
            </w:r>
            <w:r>
              <w:rPr>
                <w:color w:val="000000" w:themeColor="text1"/>
              </w:rPr>
              <w:t>r of</w:t>
            </w:r>
            <w:r w:rsidR="00923FAA" w:rsidRPr="00D85165">
              <w:rPr>
                <w:color w:val="000000" w:themeColor="text1"/>
              </w:rPr>
              <w:t xml:space="preserve"> </w:t>
            </w:r>
            <w:r w:rsidR="00344D8F" w:rsidRPr="00D85165">
              <w:rPr>
                <w:color w:val="000000" w:themeColor="text1"/>
              </w:rPr>
              <w:t>p</w:t>
            </w:r>
            <w:r w:rsidR="00DA16AB" w:rsidRPr="00D85165">
              <w:rPr>
                <w:color w:val="000000" w:themeColor="text1"/>
              </w:rPr>
              <w:t xml:space="preserve">roxy voting </w:t>
            </w:r>
            <w:r w:rsidR="00923FAA" w:rsidRPr="00D85165">
              <w:rPr>
                <w:color w:val="000000" w:themeColor="text1"/>
              </w:rPr>
              <w:t xml:space="preserve">and governance services </w:t>
            </w:r>
          </w:p>
          <w:p w14:paraId="6278C262" w14:textId="77777777" w:rsidR="00A97B3B" w:rsidRDefault="007676C9" w:rsidP="005F586C">
            <w:pPr>
              <w:pStyle w:val="ListParagraph"/>
              <w:numPr>
                <w:ilvl w:val="0"/>
                <w:numId w:val="19"/>
              </w:numPr>
              <w:jc w:val="both"/>
              <w:rPr>
                <w:color w:val="000000" w:themeColor="text1"/>
              </w:rPr>
            </w:pPr>
            <w:r w:rsidRPr="00923FAA">
              <w:rPr>
                <w:color w:val="000000" w:themeColor="text1"/>
              </w:rPr>
              <w:t xml:space="preserve">Local Authority Pension Fund Forum (LAPFF) </w:t>
            </w:r>
          </w:p>
          <w:p w14:paraId="677F81FE" w14:textId="0202EAA9" w:rsidR="00FE6FCE" w:rsidRPr="00D85165" w:rsidRDefault="0056105E" w:rsidP="005F586C">
            <w:pPr>
              <w:pStyle w:val="ListParagraph"/>
              <w:ind w:left="1440"/>
              <w:jc w:val="both"/>
              <w:rPr>
                <w:color w:val="000000" w:themeColor="text1"/>
              </w:rPr>
            </w:pPr>
            <w:r>
              <w:rPr>
                <w:color w:val="000000" w:themeColor="text1"/>
              </w:rPr>
              <w:t>Provider of</w:t>
            </w:r>
            <w:r w:rsidR="00215FB1">
              <w:rPr>
                <w:color w:val="000000" w:themeColor="text1"/>
              </w:rPr>
              <w:t xml:space="preserve"> </w:t>
            </w:r>
            <w:r w:rsidR="004D42A0" w:rsidRPr="00923FAA">
              <w:rPr>
                <w:color w:val="000000" w:themeColor="text1"/>
              </w:rPr>
              <w:t>engagement</w:t>
            </w:r>
            <w:r w:rsidR="00EA3F9A" w:rsidRPr="00923FAA">
              <w:rPr>
                <w:color w:val="000000" w:themeColor="text1"/>
              </w:rPr>
              <w:t xml:space="preserve"> </w:t>
            </w:r>
            <w:r>
              <w:rPr>
                <w:color w:val="000000" w:themeColor="text1"/>
              </w:rPr>
              <w:t xml:space="preserve">and governance </w:t>
            </w:r>
            <w:r w:rsidR="00215FB1">
              <w:rPr>
                <w:color w:val="000000" w:themeColor="text1"/>
              </w:rPr>
              <w:t>services</w:t>
            </w:r>
          </w:p>
          <w:p w14:paraId="21AAE7DC" w14:textId="484163BF" w:rsidR="00530670" w:rsidRPr="00D85165" w:rsidRDefault="00D85165" w:rsidP="005F586C">
            <w:pPr>
              <w:pStyle w:val="ListParagraph"/>
              <w:numPr>
                <w:ilvl w:val="0"/>
                <w:numId w:val="18"/>
              </w:numPr>
              <w:jc w:val="both"/>
              <w:rPr>
                <w:color w:val="000000" w:themeColor="text1"/>
              </w:rPr>
            </w:pPr>
            <w:r w:rsidRPr="00D85165">
              <w:rPr>
                <w:color w:val="000000" w:themeColor="text1"/>
              </w:rPr>
              <w:t xml:space="preserve">Details </w:t>
            </w:r>
            <w:r>
              <w:rPr>
                <w:color w:val="000000" w:themeColor="text1"/>
              </w:rPr>
              <w:t xml:space="preserve">of </w:t>
            </w:r>
            <w:r w:rsidR="00FE6FCE" w:rsidRPr="00D85165">
              <w:rPr>
                <w:color w:val="000000" w:themeColor="text1"/>
              </w:rPr>
              <w:t>litigation</w:t>
            </w:r>
            <w:r w:rsidR="00DA16AB" w:rsidRPr="00D85165">
              <w:rPr>
                <w:color w:val="000000" w:themeColor="text1"/>
              </w:rPr>
              <w:t xml:space="preserve"> cases</w:t>
            </w:r>
            <w:r w:rsidR="00EA3F9A" w:rsidRPr="00D85165">
              <w:rPr>
                <w:color w:val="000000" w:themeColor="text1"/>
              </w:rPr>
              <w:t xml:space="preserve"> </w:t>
            </w:r>
            <w:r w:rsidR="00DA16AB" w:rsidRPr="00D85165">
              <w:rPr>
                <w:color w:val="000000" w:themeColor="text1"/>
              </w:rPr>
              <w:t xml:space="preserve">in which the </w:t>
            </w:r>
            <w:r w:rsidR="00EA3F9A" w:rsidRPr="00D85165">
              <w:rPr>
                <w:color w:val="000000" w:themeColor="text1"/>
              </w:rPr>
              <w:t xml:space="preserve">Fund </w:t>
            </w:r>
            <w:r w:rsidR="00DA16AB" w:rsidRPr="00D85165">
              <w:rPr>
                <w:color w:val="000000" w:themeColor="text1"/>
              </w:rPr>
              <w:t xml:space="preserve">has </w:t>
            </w:r>
            <w:r w:rsidRPr="00D85165">
              <w:rPr>
                <w:color w:val="000000" w:themeColor="text1"/>
              </w:rPr>
              <w:t xml:space="preserve">a potential </w:t>
            </w:r>
            <w:r w:rsidR="00DA16AB" w:rsidRPr="00D85165">
              <w:rPr>
                <w:color w:val="000000" w:themeColor="text1"/>
              </w:rPr>
              <w:t>interest</w:t>
            </w:r>
            <w:r w:rsidR="004B4721">
              <w:rPr>
                <w:color w:val="000000" w:themeColor="text1"/>
              </w:rPr>
              <w:t>;</w:t>
            </w:r>
            <w:r w:rsidR="00DA16AB" w:rsidRPr="00D85165">
              <w:rPr>
                <w:color w:val="000000" w:themeColor="text1"/>
              </w:rPr>
              <w:t xml:space="preserve"> </w:t>
            </w:r>
          </w:p>
          <w:p w14:paraId="08667688" w14:textId="0F9C5F72" w:rsidR="00656773" w:rsidRPr="00530670" w:rsidRDefault="00656773" w:rsidP="005F586C">
            <w:pPr>
              <w:pStyle w:val="ListParagraph"/>
              <w:numPr>
                <w:ilvl w:val="0"/>
                <w:numId w:val="16"/>
              </w:numPr>
              <w:jc w:val="both"/>
              <w:rPr>
                <w:color w:val="000000" w:themeColor="text1"/>
              </w:rPr>
            </w:pPr>
            <w:r>
              <w:rPr>
                <w:color w:val="000000" w:themeColor="text1"/>
              </w:rPr>
              <w:t>Other matters of news and note relating to Responsible Investment</w:t>
            </w:r>
            <w:r w:rsidR="004B4721">
              <w:rPr>
                <w:color w:val="000000" w:themeColor="text1"/>
              </w:rPr>
              <w:t>;</w:t>
            </w:r>
          </w:p>
          <w:p w14:paraId="348D9CB1" w14:textId="7D064FB5" w:rsidR="00923FAA" w:rsidRDefault="000A2FA4" w:rsidP="005F586C">
            <w:pPr>
              <w:pStyle w:val="ListParagraph"/>
              <w:numPr>
                <w:ilvl w:val="0"/>
                <w:numId w:val="16"/>
              </w:numPr>
              <w:jc w:val="both"/>
              <w:rPr>
                <w:color w:val="000000" w:themeColor="text1"/>
              </w:rPr>
            </w:pPr>
            <w:r>
              <w:rPr>
                <w:color w:val="000000" w:themeColor="text1"/>
              </w:rPr>
              <w:t xml:space="preserve">Progress </w:t>
            </w:r>
            <w:r w:rsidR="00484F9D" w:rsidRPr="00530670">
              <w:rPr>
                <w:color w:val="000000" w:themeColor="text1"/>
              </w:rPr>
              <w:t>against</w:t>
            </w:r>
            <w:r w:rsidR="00E56119" w:rsidRPr="00530670">
              <w:rPr>
                <w:color w:val="000000" w:themeColor="text1"/>
              </w:rPr>
              <w:t xml:space="preserve"> </w:t>
            </w:r>
            <w:r w:rsidR="001501EC">
              <w:rPr>
                <w:color w:val="000000" w:themeColor="text1"/>
              </w:rPr>
              <w:t xml:space="preserve">the </w:t>
            </w:r>
            <w:r>
              <w:rPr>
                <w:color w:val="000000" w:themeColor="text1"/>
              </w:rPr>
              <w:t xml:space="preserve">priorities </w:t>
            </w:r>
            <w:r w:rsidR="00D85165">
              <w:rPr>
                <w:color w:val="000000" w:themeColor="text1"/>
              </w:rPr>
              <w:t xml:space="preserve">identified </w:t>
            </w:r>
            <w:r w:rsidR="009E5798" w:rsidRPr="00530670">
              <w:rPr>
                <w:color w:val="000000" w:themeColor="text1"/>
              </w:rPr>
              <w:t xml:space="preserve">by the </w:t>
            </w:r>
            <w:r w:rsidR="00087174" w:rsidRPr="00530670">
              <w:rPr>
                <w:color w:val="000000" w:themeColor="text1"/>
              </w:rPr>
              <w:t>Member Working Group</w:t>
            </w:r>
            <w:r w:rsidR="009E5798" w:rsidRPr="00530670">
              <w:rPr>
                <w:color w:val="000000" w:themeColor="text1"/>
              </w:rPr>
              <w:t xml:space="preserve"> on Responsible </w:t>
            </w:r>
            <w:r w:rsidR="00EA3F9A" w:rsidRPr="00530670">
              <w:rPr>
                <w:color w:val="000000" w:themeColor="text1"/>
              </w:rPr>
              <w:t>Investment</w:t>
            </w:r>
            <w:r w:rsidR="004B4721">
              <w:rPr>
                <w:color w:val="000000" w:themeColor="text1"/>
              </w:rPr>
              <w:t>.</w:t>
            </w:r>
          </w:p>
          <w:p w14:paraId="37C10DDD" w14:textId="77777777" w:rsidR="00923FAA" w:rsidRPr="00530670" w:rsidRDefault="00923FAA" w:rsidP="005F586C">
            <w:pPr>
              <w:pStyle w:val="ListParagraph"/>
              <w:jc w:val="both"/>
              <w:rPr>
                <w:color w:val="000000" w:themeColor="text1"/>
              </w:rPr>
            </w:pPr>
          </w:p>
          <w:p w14:paraId="2CCF52E3" w14:textId="77777777" w:rsidR="005F586C" w:rsidRDefault="003E6A45" w:rsidP="005F586C">
            <w:pPr>
              <w:pStyle w:val="Heading5"/>
              <w:jc w:val="both"/>
              <w:rPr>
                <w:rFonts w:ascii="Arial" w:hAnsi="Arial"/>
                <w:color w:val="000000" w:themeColor="text1"/>
                <w:u w:val="none"/>
              </w:rPr>
            </w:pPr>
            <w:r w:rsidRPr="000F2400">
              <w:rPr>
                <w:rFonts w:ascii="Arial" w:hAnsi="Arial"/>
                <w:color w:val="000000" w:themeColor="text1"/>
                <w:u w:val="none"/>
              </w:rPr>
              <w:t>Recommendation</w:t>
            </w:r>
          </w:p>
          <w:p w14:paraId="5C7E68D8" w14:textId="77777777" w:rsidR="005F586C" w:rsidRDefault="005F586C" w:rsidP="005F586C">
            <w:pPr>
              <w:pStyle w:val="Heading5"/>
              <w:jc w:val="both"/>
              <w:rPr>
                <w:rFonts w:ascii="Arial" w:hAnsi="Arial"/>
                <w:color w:val="000000" w:themeColor="text1"/>
                <w:u w:val="none"/>
              </w:rPr>
            </w:pPr>
          </w:p>
          <w:p w14:paraId="527F473E" w14:textId="77777777" w:rsidR="005F586C" w:rsidRDefault="005F586C" w:rsidP="005F586C">
            <w:pPr>
              <w:tabs>
                <w:tab w:val="left" w:pos="8928"/>
              </w:tabs>
            </w:pPr>
            <w:r>
              <w:t>The Committee is asked to note the report and the feedback presented.</w:t>
            </w:r>
          </w:p>
          <w:p w14:paraId="5FC50D93" w14:textId="77777777" w:rsidR="0042193C" w:rsidRDefault="0042193C" w:rsidP="005F586C">
            <w:pPr>
              <w:pStyle w:val="Heading5"/>
              <w:jc w:val="both"/>
            </w:pPr>
          </w:p>
        </w:tc>
      </w:tr>
    </w:tbl>
    <w:p w14:paraId="13EDD198" w14:textId="77777777" w:rsidR="00532C8A" w:rsidRDefault="00532C8A" w:rsidP="00772BBA">
      <w:pPr>
        <w:rPr>
          <w:b/>
        </w:rPr>
      </w:pPr>
    </w:p>
    <w:p w14:paraId="258E6C6B" w14:textId="77777777" w:rsidR="00772BBA" w:rsidRDefault="00772BBA" w:rsidP="00772BBA">
      <w:pPr>
        <w:rPr>
          <w:b/>
        </w:rPr>
      </w:pPr>
      <w:r>
        <w:rPr>
          <w:b/>
        </w:rPr>
        <w:t xml:space="preserve">Background and Advice </w:t>
      </w:r>
    </w:p>
    <w:p w14:paraId="63E20130" w14:textId="77777777" w:rsidR="0042193C" w:rsidRDefault="0042193C" w:rsidP="0042193C">
      <w:pPr>
        <w:rPr>
          <w:color w:val="00B050"/>
        </w:rPr>
      </w:pPr>
    </w:p>
    <w:p w14:paraId="705470BE" w14:textId="0C8BA519" w:rsidR="00FA1D91" w:rsidRPr="005F586C" w:rsidRDefault="0077194A" w:rsidP="005F586C">
      <w:pPr>
        <w:autoSpaceDE w:val="0"/>
        <w:autoSpaceDN w:val="0"/>
        <w:adjustRightInd w:val="0"/>
        <w:jc w:val="both"/>
        <w:rPr>
          <w:rFonts w:cs="Arial"/>
          <w:color w:val="000000" w:themeColor="text1"/>
          <w:szCs w:val="24"/>
        </w:rPr>
      </w:pPr>
      <w:r w:rsidRPr="005F586C">
        <w:rPr>
          <w:rFonts w:cs="Arial"/>
          <w:color w:val="000000" w:themeColor="text1"/>
        </w:rPr>
        <w:t xml:space="preserve">Lancashire County Pension </w:t>
      </w:r>
      <w:r w:rsidR="0042193C" w:rsidRPr="005F586C">
        <w:rPr>
          <w:rFonts w:cs="Arial"/>
          <w:color w:val="000000" w:themeColor="text1"/>
        </w:rPr>
        <w:t xml:space="preserve">Fund </w:t>
      </w:r>
      <w:r w:rsidR="005F586C">
        <w:rPr>
          <w:rFonts w:cs="Arial"/>
          <w:color w:val="000000" w:themeColor="text1"/>
        </w:rPr>
        <w:t xml:space="preserve">(LCPF) </w:t>
      </w:r>
      <w:r w:rsidR="0042193C" w:rsidRPr="005F586C">
        <w:rPr>
          <w:rFonts w:cs="Arial"/>
          <w:color w:val="000000" w:themeColor="text1"/>
        </w:rPr>
        <w:t xml:space="preserve">aspires to be a good asset owner and is </w:t>
      </w:r>
      <w:r w:rsidR="001A0BBE" w:rsidRPr="005F586C">
        <w:rPr>
          <w:rFonts w:cs="Arial"/>
          <w:color w:val="000000" w:themeColor="text1"/>
        </w:rPr>
        <w:t xml:space="preserve">in the process of </w:t>
      </w:r>
      <w:r w:rsidR="00E56119" w:rsidRPr="005F586C">
        <w:rPr>
          <w:rFonts w:cs="Arial"/>
          <w:color w:val="000000" w:themeColor="text1"/>
        </w:rPr>
        <w:t xml:space="preserve">reviewing and </w:t>
      </w:r>
      <w:r w:rsidR="0042193C" w:rsidRPr="005F586C">
        <w:rPr>
          <w:rFonts w:cs="Arial"/>
          <w:color w:val="000000" w:themeColor="text1"/>
        </w:rPr>
        <w:t>develop</w:t>
      </w:r>
      <w:r w:rsidR="001A0BBE" w:rsidRPr="005F586C">
        <w:rPr>
          <w:rFonts w:cs="Arial"/>
          <w:color w:val="000000" w:themeColor="text1"/>
        </w:rPr>
        <w:t>ing</w:t>
      </w:r>
      <w:r w:rsidR="0042193C" w:rsidRPr="005F586C">
        <w:rPr>
          <w:rFonts w:cs="Arial"/>
          <w:color w:val="000000" w:themeColor="text1"/>
        </w:rPr>
        <w:t xml:space="preserve"> its </w:t>
      </w:r>
      <w:r w:rsidR="001A0BBE" w:rsidRPr="005F586C">
        <w:rPr>
          <w:rFonts w:cs="Arial"/>
          <w:color w:val="000000" w:themeColor="text1"/>
        </w:rPr>
        <w:t>approach to Responsible I</w:t>
      </w:r>
      <w:r w:rsidR="0042193C" w:rsidRPr="005F586C">
        <w:rPr>
          <w:rFonts w:cs="Arial"/>
          <w:color w:val="000000" w:themeColor="text1"/>
        </w:rPr>
        <w:t>nvestment</w:t>
      </w:r>
      <w:r w:rsidR="00FA1D91" w:rsidRPr="005F586C">
        <w:rPr>
          <w:rFonts w:cs="Arial"/>
          <w:color w:val="000000" w:themeColor="text1"/>
        </w:rPr>
        <w:t xml:space="preserve"> </w:t>
      </w:r>
      <w:r w:rsidR="005F4072" w:rsidRPr="005F586C">
        <w:rPr>
          <w:rFonts w:cs="Arial"/>
          <w:color w:val="000000" w:themeColor="text1"/>
        </w:rPr>
        <w:t xml:space="preserve">(RI) </w:t>
      </w:r>
      <w:r w:rsidR="00FA1D91" w:rsidRPr="005F586C">
        <w:rPr>
          <w:rFonts w:cs="Arial"/>
          <w:color w:val="000000" w:themeColor="text1"/>
        </w:rPr>
        <w:t xml:space="preserve">in line with the following definition </w:t>
      </w:r>
      <w:r w:rsidR="001E1892" w:rsidRPr="005F586C">
        <w:rPr>
          <w:rFonts w:cs="Arial"/>
          <w:color w:val="000000" w:themeColor="text1"/>
        </w:rPr>
        <w:t>from</w:t>
      </w:r>
      <w:r w:rsidR="00FA1D91" w:rsidRPr="005F586C">
        <w:rPr>
          <w:rFonts w:cs="Arial"/>
          <w:color w:val="000000" w:themeColor="text1"/>
        </w:rPr>
        <w:t xml:space="preserve"> </w:t>
      </w:r>
      <w:r w:rsidR="00FA1D91" w:rsidRPr="005F586C">
        <w:rPr>
          <w:rFonts w:cs="Arial"/>
          <w:color w:val="000000" w:themeColor="text1"/>
          <w:szCs w:val="24"/>
        </w:rPr>
        <w:t>the National Association of Pension Funds (NAPF):</w:t>
      </w:r>
    </w:p>
    <w:p w14:paraId="72760ED9" w14:textId="77777777" w:rsidR="00FA1D91" w:rsidRPr="005F586C" w:rsidRDefault="00FA1D91" w:rsidP="005F586C">
      <w:pPr>
        <w:autoSpaceDE w:val="0"/>
        <w:autoSpaceDN w:val="0"/>
        <w:adjustRightInd w:val="0"/>
        <w:jc w:val="both"/>
        <w:rPr>
          <w:rFonts w:cs="Arial"/>
          <w:color w:val="000000" w:themeColor="text1"/>
          <w:szCs w:val="24"/>
        </w:rPr>
      </w:pPr>
    </w:p>
    <w:p w14:paraId="36249557" w14:textId="77777777" w:rsidR="00FA1D91" w:rsidRPr="005F586C" w:rsidRDefault="00FA1D91" w:rsidP="005F586C">
      <w:pPr>
        <w:autoSpaceDE w:val="0"/>
        <w:autoSpaceDN w:val="0"/>
        <w:adjustRightInd w:val="0"/>
        <w:jc w:val="both"/>
        <w:rPr>
          <w:rFonts w:cs="Arial"/>
          <w:i/>
          <w:color w:val="000000" w:themeColor="text1"/>
          <w:szCs w:val="24"/>
        </w:rPr>
      </w:pPr>
      <w:r w:rsidRPr="005F586C">
        <w:rPr>
          <w:rFonts w:cs="Arial"/>
          <w:i/>
          <w:color w:val="000000" w:themeColor="text1"/>
          <w:szCs w:val="24"/>
        </w:rPr>
        <w:t>Responsible Investment is an investment approach in which investors recognise the importance of the long-term health and stability of the market as a whole; seeking to incorporate material extra-financial factors alongside other financial performance and strategic assessments within investment decisions; and utilise ownership rights and responsibilities attached to assets to protect and enhance shareholder value over the long term – primarily through voting and engagement.</w:t>
      </w:r>
    </w:p>
    <w:p w14:paraId="348203D9" w14:textId="77777777" w:rsidR="00FA1D91" w:rsidRPr="005F586C" w:rsidRDefault="00FA1D91" w:rsidP="005F586C">
      <w:pPr>
        <w:jc w:val="both"/>
        <w:rPr>
          <w:rFonts w:cs="Arial"/>
          <w:color w:val="00B050"/>
        </w:rPr>
      </w:pPr>
    </w:p>
    <w:p w14:paraId="260CE542" w14:textId="21BE6477" w:rsidR="00D97286" w:rsidRDefault="004F481F" w:rsidP="005F586C">
      <w:pPr>
        <w:jc w:val="both"/>
        <w:rPr>
          <w:rFonts w:cs="Arial"/>
          <w:color w:val="000000" w:themeColor="text1"/>
        </w:rPr>
      </w:pPr>
      <w:r w:rsidRPr="005F586C">
        <w:rPr>
          <w:rFonts w:cs="Arial"/>
          <w:color w:val="000000" w:themeColor="text1"/>
        </w:rPr>
        <w:t xml:space="preserve">The Fund's </w:t>
      </w:r>
      <w:r w:rsidR="0085737C" w:rsidRPr="005F586C">
        <w:rPr>
          <w:rFonts w:cs="Arial"/>
          <w:color w:val="000000" w:themeColor="text1"/>
        </w:rPr>
        <w:t xml:space="preserve">current </w:t>
      </w:r>
      <w:r w:rsidRPr="005F586C">
        <w:rPr>
          <w:rFonts w:cs="Arial"/>
          <w:color w:val="000000" w:themeColor="text1"/>
        </w:rPr>
        <w:t xml:space="preserve">approach </w:t>
      </w:r>
      <w:r w:rsidR="00224A72" w:rsidRPr="005F586C">
        <w:rPr>
          <w:rFonts w:cs="Arial"/>
          <w:color w:val="000000" w:themeColor="text1"/>
        </w:rPr>
        <w:t xml:space="preserve">to </w:t>
      </w:r>
      <w:r w:rsidR="005F4072" w:rsidRPr="005F586C">
        <w:rPr>
          <w:rFonts w:cs="Arial"/>
          <w:color w:val="000000" w:themeColor="text1"/>
        </w:rPr>
        <w:t>RI</w:t>
      </w:r>
      <w:r w:rsidR="00224A72" w:rsidRPr="005F586C">
        <w:rPr>
          <w:rFonts w:cs="Arial"/>
          <w:color w:val="000000" w:themeColor="text1"/>
        </w:rPr>
        <w:t xml:space="preserve"> </w:t>
      </w:r>
      <w:r w:rsidR="00E56119" w:rsidRPr="005F586C">
        <w:rPr>
          <w:rFonts w:cs="Arial"/>
          <w:color w:val="000000" w:themeColor="text1"/>
        </w:rPr>
        <w:t xml:space="preserve">is </w:t>
      </w:r>
      <w:r w:rsidR="0063102C" w:rsidRPr="005F586C">
        <w:rPr>
          <w:rFonts w:cs="Arial"/>
          <w:color w:val="000000" w:themeColor="text1"/>
        </w:rPr>
        <w:t xml:space="preserve">set out </w:t>
      </w:r>
      <w:r w:rsidR="00F709C8" w:rsidRPr="005F586C">
        <w:rPr>
          <w:rFonts w:cs="Arial"/>
          <w:color w:val="000000" w:themeColor="text1"/>
        </w:rPr>
        <w:t>within its</w:t>
      </w:r>
      <w:r w:rsidR="0063102C" w:rsidRPr="005F586C">
        <w:rPr>
          <w:rFonts w:cs="Arial"/>
          <w:color w:val="000000" w:themeColor="text1"/>
        </w:rPr>
        <w:t xml:space="preserve"> </w:t>
      </w:r>
      <w:r w:rsidR="00EB60B3" w:rsidRPr="005F586C">
        <w:rPr>
          <w:rFonts w:cs="Arial"/>
          <w:color w:val="000000" w:themeColor="text1"/>
        </w:rPr>
        <w:t>Stateme</w:t>
      </w:r>
      <w:r w:rsidR="0085737C" w:rsidRPr="005F586C">
        <w:rPr>
          <w:rFonts w:cs="Arial"/>
          <w:color w:val="000000" w:themeColor="text1"/>
        </w:rPr>
        <w:t xml:space="preserve">nt of Investment Principles </w:t>
      </w:r>
      <w:r w:rsidR="001A4D59" w:rsidRPr="005F586C">
        <w:rPr>
          <w:rFonts w:cs="Arial"/>
          <w:color w:val="000000" w:themeColor="text1"/>
        </w:rPr>
        <w:t xml:space="preserve">and </w:t>
      </w:r>
      <w:r w:rsidR="00224A72" w:rsidRPr="005F586C">
        <w:rPr>
          <w:rFonts w:cs="Arial"/>
          <w:color w:val="000000" w:themeColor="text1"/>
        </w:rPr>
        <w:t>features</w:t>
      </w:r>
      <w:r w:rsidR="00595438" w:rsidRPr="005F586C">
        <w:rPr>
          <w:rFonts w:cs="Arial"/>
          <w:color w:val="000000" w:themeColor="text1"/>
        </w:rPr>
        <w:t xml:space="preserve"> </w:t>
      </w:r>
      <w:r w:rsidR="0061698C" w:rsidRPr="005F586C">
        <w:rPr>
          <w:rFonts w:cs="Arial"/>
          <w:color w:val="000000" w:themeColor="text1"/>
        </w:rPr>
        <w:t xml:space="preserve">four </w:t>
      </w:r>
      <w:r w:rsidR="00B33EB4" w:rsidRPr="005F586C">
        <w:rPr>
          <w:rFonts w:cs="Arial"/>
          <w:color w:val="000000" w:themeColor="text1"/>
        </w:rPr>
        <w:t xml:space="preserve">key </w:t>
      </w:r>
      <w:r w:rsidR="00595438" w:rsidRPr="005F586C">
        <w:rPr>
          <w:rFonts w:cs="Arial"/>
          <w:color w:val="000000" w:themeColor="text1"/>
        </w:rPr>
        <w:t xml:space="preserve">strands of </w:t>
      </w:r>
      <w:r w:rsidR="0061698C" w:rsidRPr="005F586C">
        <w:rPr>
          <w:rFonts w:cs="Arial"/>
          <w:color w:val="000000" w:themeColor="text1"/>
        </w:rPr>
        <w:t>activity</w:t>
      </w:r>
      <w:r w:rsidR="00595438" w:rsidRPr="005F586C">
        <w:rPr>
          <w:rFonts w:cs="Arial"/>
          <w:color w:val="000000" w:themeColor="text1"/>
        </w:rPr>
        <w:t>:</w:t>
      </w:r>
      <w:r w:rsidR="0061698C" w:rsidRPr="005F586C">
        <w:rPr>
          <w:rFonts w:cs="Arial"/>
          <w:color w:val="000000" w:themeColor="text1"/>
        </w:rPr>
        <w:t xml:space="preserve"> </w:t>
      </w:r>
    </w:p>
    <w:p w14:paraId="2534DA68" w14:textId="77777777" w:rsidR="00BF39FB" w:rsidRPr="005F586C" w:rsidRDefault="00BF39FB" w:rsidP="005F586C">
      <w:pPr>
        <w:jc w:val="both"/>
        <w:rPr>
          <w:rFonts w:cs="Arial"/>
          <w:color w:val="000000" w:themeColor="text1"/>
        </w:rPr>
      </w:pPr>
    </w:p>
    <w:p w14:paraId="57C3E047" w14:textId="77777777" w:rsidR="00595438" w:rsidRPr="005F586C" w:rsidRDefault="00595438" w:rsidP="005F586C">
      <w:pPr>
        <w:pStyle w:val="ListParagraph"/>
        <w:numPr>
          <w:ilvl w:val="0"/>
          <w:numId w:val="9"/>
        </w:numPr>
        <w:ind w:left="426" w:hanging="426"/>
        <w:jc w:val="both"/>
        <w:rPr>
          <w:rFonts w:cs="Arial"/>
          <w:color w:val="000000" w:themeColor="text1"/>
        </w:rPr>
      </w:pPr>
      <w:r w:rsidRPr="005F586C">
        <w:rPr>
          <w:rFonts w:cs="Arial"/>
          <w:color w:val="000000" w:themeColor="text1"/>
        </w:rPr>
        <w:t>Voting Globally</w:t>
      </w:r>
    </w:p>
    <w:p w14:paraId="107FF2B1" w14:textId="77777777" w:rsidR="00595438" w:rsidRPr="005F586C" w:rsidRDefault="00595438" w:rsidP="005F586C">
      <w:pPr>
        <w:pStyle w:val="ListParagraph"/>
        <w:numPr>
          <w:ilvl w:val="0"/>
          <w:numId w:val="9"/>
        </w:numPr>
        <w:ind w:left="426" w:hanging="426"/>
        <w:jc w:val="both"/>
        <w:rPr>
          <w:rFonts w:cs="Arial"/>
          <w:color w:val="000000" w:themeColor="text1"/>
        </w:rPr>
      </w:pPr>
      <w:r w:rsidRPr="005F586C">
        <w:rPr>
          <w:rFonts w:cs="Arial"/>
          <w:color w:val="000000" w:themeColor="text1"/>
        </w:rPr>
        <w:t>Engagement Through Partnerships</w:t>
      </w:r>
    </w:p>
    <w:p w14:paraId="178E1D30" w14:textId="77777777" w:rsidR="00595438" w:rsidRPr="005F586C" w:rsidRDefault="00595438" w:rsidP="005F586C">
      <w:pPr>
        <w:pStyle w:val="ListParagraph"/>
        <w:numPr>
          <w:ilvl w:val="0"/>
          <w:numId w:val="9"/>
        </w:numPr>
        <w:ind w:left="426" w:hanging="426"/>
        <w:jc w:val="both"/>
        <w:rPr>
          <w:rFonts w:cs="Arial"/>
          <w:color w:val="000000" w:themeColor="text1"/>
        </w:rPr>
      </w:pPr>
      <w:r w:rsidRPr="005F586C">
        <w:rPr>
          <w:rFonts w:cs="Arial"/>
          <w:color w:val="000000" w:themeColor="text1"/>
        </w:rPr>
        <w:t>Shareholder Litigation</w:t>
      </w:r>
    </w:p>
    <w:p w14:paraId="42026658" w14:textId="77777777" w:rsidR="00595438" w:rsidRPr="005F586C" w:rsidRDefault="00595438" w:rsidP="005F586C">
      <w:pPr>
        <w:pStyle w:val="ListParagraph"/>
        <w:numPr>
          <w:ilvl w:val="0"/>
          <w:numId w:val="9"/>
        </w:numPr>
        <w:ind w:left="426" w:hanging="426"/>
        <w:jc w:val="both"/>
        <w:rPr>
          <w:rFonts w:cs="Arial"/>
          <w:color w:val="000000" w:themeColor="text1"/>
        </w:rPr>
      </w:pPr>
      <w:r w:rsidRPr="005F586C">
        <w:rPr>
          <w:rFonts w:cs="Arial"/>
          <w:color w:val="000000" w:themeColor="text1"/>
        </w:rPr>
        <w:t>Active Investing</w:t>
      </w:r>
    </w:p>
    <w:p w14:paraId="711D28BD" w14:textId="77777777" w:rsidR="00D97286" w:rsidRPr="005F586C" w:rsidRDefault="00D97286" w:rsidP="005F586C">
      <w:pPr>
        <w:jc w:val="both"/>
        <w:rPr>
          <w:rFonts w:cs="Arial"/>
          <w:color w:val="000000" w:themeColor="text1"/>
        </w:rPr>
      </w:pPr>
    </w:p>
    <w:p w14:paraId="06B0D4A6" w14:textId="116D4F6E" w:rsidR="00224A72" w:rsidRPr="005F586C" w:rsidRDefault="00224A72" w:rsidP="005F586C">
      <w:pPr>
        <w:jc w:val="both"/>
        <w:rPr>
          <w:rFonts w:cs="Arial"/>
          <w:color w:val="000000" w:themeColor="text1"/>
        </w:rPr>
      </w:pPr>
      <w:r w:rsidRPr="005F586C">
        <w:rPr>
          <w:rFonts w:cs="Arial"/>
          <w:color w:val="000000" w:themeColor="text1"/>
        </w:rPr>
        <w:t>Th</w:t>
      </w:r>
      <w:r w:rsidR="00444F4E" w:rsidRPr="005F586C">
        <w:rPr>
          <w:rFonts w:cs="Arial"/>
          <w:color w:val="000000" w:themeColor="text1"/>
        </w:rPr>
        <w:t>e</w:t>
      </w:r>
      <w:r w:rsidRPr="005F586C">
        <w:rPr>
          <w:rFonts w:cs="Arial"/>
          <w:color w:val="000000" w:themeColor="text1"/>
        </w:rPr>
        <w:t xml:space="preserve"> report </w:t>
      </w:r>
      <w:r w:rsidR="00444F4E" w:rsidRPr="005F586C">
        <w:rPr>
          <w:rFonts w:cs="Arial"/>
          <w:color w:val="000000" w:themeColor="text1"/>
        </w:rPr>
        <w:t xml:space="preserve">which follows </w:t>
      </w:r>
      <w:r w:rsidR="00EE4987" w:rsidRPr="005F586C">
        <w:rPr>
          <w:rFonts w:cs="Arial"/>
          <w:color w:val="000000" w:themeColor="text1"/>
        </w:rPr>
        <w:t>provides</w:t>
      </w:r>
      <w:r w:rsidR="00BB7455" w:rsidRPr="005F586C">
        <w:rPr>
          <w:rFonts w:cs="Arial"/>
          <w:color w:val="000000" w:themeColor="text1"/>
        </w:rPr>
        <w:t xml:space="preserve"> </w:t>
      </w:r>
      <w:r w:rsidR="00A10BD2" w:rsidRPr="005F586C">
        <w:rPr>
          <w:rFonts w:cs="Arial"/>
          <w:color w:val="000000" w:themeColor="text1"/>
        </w:rPr>
        <w:t xml:space="preserve">Committee </w:t>
      </w:r>
      <w:r w:rsidR="0056105E" w:rsidRPr="005F586C">
        <w:rPr>
          <w:rFonts w:cs="Arial"/>
          <w:color w:val="000000" w:themeColor="text1"/>
        </w:rPr>
        <w:t xml:space="preserve">members </w:t>
      </w:r>
      <w:r w:rsidR="00A10BD2" w:rsidRPr="005F586C">
        <w:rPr>
          <w:rFonts w:cs="Arial"/>
          <w:color w:val="000000" w:themeColor="text1"/>
        </w:rPr>
        <w:t xml:space="preserve">with </w:t>
      </w:r>
      <w:r w:rsidR="00EE4987" w:rsidRPr="005F586C">
        <w:rPr>
          <w:rFonts w:cs="Arial"/>
          <w:color w:val="000000" w:themeColor="text1"/>
        </w:rPr>
        <w:t>an</w:t>
      </w:r>
      <w:r w:rsidR="00BB7455" w:rsidRPr="005F586C">
        <w:rPr>
          <w:rFonts w:cs="Arial"/>
          <w:color w:val="000000" w:themeColor="text1"/>
        </w:rPr>
        <w:t xml:space="preserve"> update </w:t>
      </w:r>
      <w:r w:rsidR="00EE4987" w:rsidRPr="005F586C">
        <w:rPr>
          <w:rFonts w:cs="Arial"/>
          <w:color w:val="000000" w:themeColor="text1"/>
        </w:rPr>
        <w:t xml:space="preserve">on </w:t>
      </w:r>
      <w:r w:rsidR="00EB60B3" w:rsidRPr="005F586C">
        <w:rPr>
          <w:rFonts w:cs="Arial"/>
          <w:color w:val="000000" w:themeColor="text1"/>
        </w:rPr>
        <w:t xml:space="preserve">each </w:t>
      </w:r>
      <w:r w:rsidR="00BB3B41" w:rsidRPr="005F586C">
        <w:rPr>
          <w:rFonts w:cs="Arial"/>
          <w:color w:val="000000" w:themeColor="text1"/>
        </w:rPr>
        <w:t xml:space="preserve">of these </w:t>
      </w:r>
      <w:r w:rsidR="008B570C" w:rsidRPr="005F586C">
        <w:rPr>
          <w:rFonts w:cs="Arial"/>
          <w:color w:val="000000" w:themeColor="text1"/>
        </w:rPr>
        <w:t>strand</w:t>
      </w:r>
      <w:r w:rsidR="00BB3B41" w:rsidRPr="005F586C">
        <w:rPr>
          <w:rFonts w:cs="Arial"/>
          <w:color w:val="000000" w:themeColor="text1"/>
        </w:rPr>
        <w:t>s</w:t>
      </w:r>
      <w:r w:rsidR="00547D03" w:rsidRPr="005F586C">
        <w:rPr>
          <w:rFonts w:cs="Arial"/>
          <w:color w:val="000000" w:themeColor="text1"/>
        </w:rPr>
        <w:t xml:space="preserve"> </w:t>
      </w:r>
      <w:r w:rsidR="000A2FA4" w:rsidRPr="005F586C">
        <w:rPr>
          <w:rFonts w:cs="Arial"/>
          <w:color w:val="000000" w:themeColor="text1"/>
        </w:rPr>
        <w:t xml:space="preserve">and gives </w:t>
      </w:r>
      <w:r w:rsidR="00A10BD2" w:rsidRPr="005F586C">
        <w:rPr>
          <w:rFonts w:cs="Arial"/>
          <w:color w:val="000000" w:themeColor="text1"/>
        </w:rPr>
        <w:t>insight into</w:t>
      </w:r>
      <w:r w:rsidRPr="005F586C">
        <w:rPr>
          <w:rFonts w:cs="Arial"/>
          <w:color w:val="000000" w:themeColor="text1"/>
        </w:rPr>
        <w:t xml:space="preserve"> </w:t>
      </w:r>
      <w:r w:rsidR="00BB3B41" w:rsidRPr="005F586C">
        <w:rPr>
          <w:rFonts w:cs="Arial"/>
          <w:color w:val="000000" w:themeColor="text1"/>
        </w:rPr>
        <w:t xml:space="preserve">other </w:t>
      </w:r>
      <w:r w:rsidR="00547D03" w:rsidRPr="005F586C">
        <w:rPr>
          <w:rFonts w:cs="Arial"/>
          <w:color w:val="000000" w:themeColor="text1"/>
        </w:rPr>
        <w:t xml:space="preserve">matters of </w:t>
      </w:r>
      <w:r w:rsidRPr="005F586C">
        <w:rPr>
          <w:rFonts w:cs="Arial"/>
          <w:color w:val="000000" w:themeColor="text1"/>
        </w:rPr>
        <w:t>note</w:t>
      </w:r>
      <w:r w:rsidR="00EE4987" w:rsidRPr="005F586C">
        <w:rPr>
          <w:rFonts w:cs="Arial"/>
          <w:color w:val="000000" w:themeColor="text1"/>
        </w:rPr>
        <w:t xml:space="preserve"> within this </w:t>
      </w:r>
      <w:r w:rsidR="00DF4556" w:rsidRPr="005F586C">
        <w:rPr>
          <w:rFonts w:cs="Arial"/>
          <w:color w:val="000000" w:themeColor="text1"/>
        </w:rPr>
        <w:t xml:space="preserve">evolving </w:t>
      </w:r>
      <w:r w:rsidR="004E1A32" w:rsidRPr="005F586C">
        <w:rPr>
          <w:rFonts w:cs="Arial"/>
          <w:color w:val="000000" w:themeColor="text1"/>
        </w:rPr>
        <w:t>area of</w:t>
      </w:r>
      <w:r w:rsidR="00EE4987" w:rsidRPr="005F586C">
        <w:rPr>
          <w:rFonts w:cs="Arial"/>
          <w:color w:val="000000" w:themeColor="text1"/>
        </w:rPr>
        <w:t xml:space="preserve"> work.</w:t>
      </w:r>
    </w:p>
    <w:p w14:paraId="48DA8CB1" w14:textId="77777777" w:rsidR="00FE0105" w:rsidRPr="005F586C" w:rsidRDefault="00FE0105" w:rsidP="005F586C">
      <w:pPr>
        <w:jc w:val="both"/>
        <w:rPr>
          <w:rFonts w:cs="Arial"/>
          <w:color w:val="00B050"/>
        </w:rPr>
      </w:pPr>
    </w:p>
    <w:p w14:paraId="03543879" w14:textId="32269DB8" w:rsidR="00792A18" w:rsidRPr="005F586C" w:rsidRDefault="00FA1D91" w:rsidP="007449AB">
      <w:pPr>
        <w:pStyle w:val="ListParagraph"/>
        <w:numPr>
          <w:ilvl w:val="0"/>
          <w:numId w:val="22"/>
        </w:numPr>
        <w:jc w:val="both"/>
        <w:rPr>
          <w:rFonts w:cs="Arial"/>
          <w:b/>
          <w:color w:val="000000" w:themeColor="text1"/>
        </w:rPr>
      </w:pPr>
      <w:r w:rsidRPr="005F586C">
        <w:rPr>
          <w:rFonts w:cs="Arial"/>
          <w:b/>
          <w:color w:val="000000" w:themeColor="text1"/>
        </w:rPr>
        <w:t xml:space="preserve">Voting </w:t>
      </w:r>
      <w:r w:rsidR="00F22928" w:rsidRPr="005F586C">
        <w:rPr>
          <w:rFonts w:cs="Arial"/>
          <w:b/>
          <w:color w:val="000000" w:themeColor="text1"/>
        </w:rPr>
        <w:t>G</w:t>
      </w:r>
      <w:r w:rsidR="0042193C" w:rsidRPr="005F586C">
        <w:rPr>
          <w:rFonts w:cs="Arial"/>
          <w:b/>
          <w:color w:val="000000" w:themeColor="text1"/>
        </w:rPr>
        <w:t>loba</w:t>
      </w:r>
      <w:r w:rsidRPr="005F586C">
        <w:rPr>
          <w:rFonts w:cs="Arial"/>
          <w:b/>
          <w:color w:val="000000" w:themeColor="text1"/>
        </w:rPr>
        <w:t>l</w:t>
      </w:r>
      <w:r w:rsidR="0042193C" w:rsidRPr="005F586C">
        <w:rPr>
          <w:rFonts w:cs="Arial"/>
          <w:b/>
          <w:color w:val="000000" w:themeColor="text1"/>
        </w:rPr>
        <w:t>l</w:t>
      </w:r>
      <w:r w:rsidRPr="005F586C">
        <w:rPr>
          <w:rFonts w:cs="Arial"/>
          <w:b/>
          <w:color w:val="000000" w:themeColor="text1"/>
        </w:rPr>
        <w:t xml:space="preserve">y </w:t>
      </w:r>
    </w:p>
    <w:p w14:paraId="51072916" w14:textId="77777777" w:rsidR="00344D8F" w:rsidRPr="005F586C" w:rsidRDefault="00344D8F" w:rsidP="005F586C">
      <w:pPr>
        <w:autoSpaceDE w:val="0"/>
        <w:autoSpaceDN w:val="0"/>
        <w:adjustRightInd w:val="0"/>
        <w:jc w:val="both"/>
        <w:rPr>
          <w:rFonts w:cs="Arial"/>
          <w:color w:val="000000" w:themeColor="text1"/>
          <w:szCs w:val="24"/>
        </w:rPr>
      </w:pPr>
    </w:p>
    <w:p w14:paraId="1AC01480" w14:textId="6A7F29C1" w:rsidR="00E92DD7" w:rsidRPr="005F586C" w:rsidRDefault="00761FDC" w:rsidP="005F586C">
      <w:pPr>
        <w:autoSpaceDE w:val="0"/>
        <w:autoSpaceDN w:val="0"/>
        <w:adjustRightInd w:val="0"/>
        <w:jc w:val="both"/>
        <w:rPr>
          <w:rFonts w:cs="Arial"/>
          <w:color w:val="000000" w:themeColor="text1"/>
          <w:szCs w:val="24"/>
        </w:rPr>
      </w:pPr>
      <w:r w:rsidRPr="005F586C">
        <w:rPr>
          <w:rFonts w:cs="Arial"/>
          <w:color w:val="000000" w:themeColor="text1"/>
          <w:szCs w:val="24"/>
        </w:rPr>
        <w:t xml:space="preserve">Annual General Meetings (AGM) and Extraordinary General Meetings (EGM) </w:t>
      </w:r>
      <w:r w:rsidR="00965C48" w:rsidRPr="005F586C">
        <w:rPr>
          <w:rFonts w:cs="Arial"/>
          <w:color w:val="000000" w:themeColor="text1"/>
          <w:szCs w:val="24"/>
        </w:rPr>
        <w:t>provide</w:t>
      </w:r>
      <w:r w:rsidRPr="005F586C">
        <w:rPr>
          <w:rFonts w:cs="Arial"/>
          <w:color w:val="000000" w:themeColor="text1"/>
          <w:szCs w:val="24"/>
        </w:rPr>
        <w:t xml:space="preserve"> a </w:t>
      </w:r>
      <w:r w:rsidR="00121DBF" w:rsidRPr="005F586C">
        <w:rPr>
          <w:rFonts w:cs="Arial"/>
          <w:color w:val="000000" w:themeColor="text1"/>
          <w:szCs w:val="24"/>
        </w:rPr>
        <w:t>scheduled</w:t>
      </w:r>
      <w:r w:rsidRPr="005F586C">
        <w:rPr>
          <w:rFonts w:cs="Arial"/>
          <w:color w:val="000000" w:themeColor="text1"/>
          <w:szCs w:val="24"/>
        </w:rPr>
        <w:t xml:space="preserve"> </w:t>
      </w:r>
      <w:r w:rsidR="001F7689" w:rsidRPr="005F586C">
        <w:rPr>
          <w:rFonts w:cs="Arial"/>
          <w:color w:val="000000" w:themeColor="text1"/>
          <w:szCs w:val="24"/>
        </w:rPr>
        <w:t>occasion</w:t>
      </w:r>
      <w:r w:rsidRPr="005F586C">
        <w:rPr>
          <w:rFonts w:cs="Arial"/>
          <w:color w:val="000000" w:themeColor="text1"/>
          <w:szCs w:val="24"/>
        </w:rPr>
        <w:t xml:space="preserve"> for owners to </w:t>
      </w:r>
      <w:r w:rsidR="001501EC" w:rsidRPr="005F586C">
        <w:rPr>
          <w:rFonts w:cs="Arial"/>
          <w:color w:val="000000" w:themeColor="text1"/>
          <w:szCs w:val="24"/>
        </w:rPr>
        <w:t xml:space="preserve">formally engage with </w:t>
      </w:r>
      <w:r w:rsidRPr="005F586C">
        <w:rPr>
          <w:rFonts w:cs="Arial"/>
          <w:color w:val="000000" w:themeColor="text1"/>
          <w:szCs w:val="24"/>
        </w:rPr>
        <w:t>the Board</w:t>
      </w:r>
      <w:r w:rsidR="006F7E66" w:rsidRPr="005F586C">
        <w:rPr>
          <w:rFonts w:cs="Arial"/>
          <w:color w:val="000000" w:themeColor="text1"/>
          <w:szCs w:val="24"/>
        </w:rPr>
        <w:t>s</w:t>
      </w:r>
      <w:r w:rsidRPr="005F586C">
        <w:rPr>
          <w:rFonts w:cs="Arial"/>
          <w:color w:val="000000" w:themeColor="text1"/>
          <w:szCs w:val="24"/>
        </w:rPr>
        <w:t xml:space="preserve"> of </w:t>
      </w:r>
      <w:r w:rsidR="001501EC" w:rsidRPr="005F586C">
        <w:rPr>
          <w:rFonts w:cs="Arial"/>
          <w:color w:val="000000" w:themeColor="text1"/>
          <w:szCs w:val="24"/>
        </w:rPr>
        <w:t>investee companies</w:t>
      </w:r>
      <w:r w:rsidR="00A97B3B" w:rsidRPr="005F586C">
        <w:rPr>
          <w:rFonts w:cs="Arial"/>
          <w:color w:val="000000" w:themeColor="text1"/>
          <w:szCs w:val="24"/>
        </w:rPr>
        <w:t>, free from management intervention</w:t>
      </w:r>
      <w:r w:rsidR="00965C48" w:rsidRPr="005F586C">
        <w:rPr>
          <w:rFonts w:cs="Arial"/>
          <w:color w:val="000000" w:themeColor="text1"/>
          <w:szCs w:val="24"/>
        </w:rPr>
        <w:t xml:space="preserve">. </w:t>
      </w:r>
      <w:r w:rsidR="007D5456" w:rsidRPr="005F586C">
        <w:rPr>
          <w:rFonts w:cs="Arial"/>
          <w:color w:val="000000" w:themeColor="text1"/>
          <w:szCs w:val="24"/>
        </w:rPr>
        <w:t xml:space="preserve">Where </w:t>
      </w:r>
      <w:r w:rsidR="00121DBF" w:rsidRPr="005F586C">
        <w:rPr>
          <w:rFonts w:cs="Arial"/>
          <w:color w:val="000000" w:themeColor="text1"/>
          <w:szCs w:val="24"/>
        </w:rPr>
        <w:t xml:space="preserve">company </w:t>
      </w:r>
      <w:r w:rsidR="004219DD" w:rsidRPr="005F586C">
        <w:rPr>
          <w:rFonts w:cs="Arial"/>
          <w:color w:val="000000" w:themeColor="text1"/>
          <w:szCs w:val="24"/>
        </w:rPr>
        <w:t xml:space="preserve">resolutions </w:t>
      </w:r>
      <w:r w:rsidR="007D5456" w:rsidRPr="005F586C">
        <w:rPr>
          <w:rFonts w:cs="Arial"/>
          <w:color w:val="000000" w:themeColor="text1"/>
          <w:szCs w:val="24"/>
        </w:rPr>
        <w:t>reflect suboptimal risk management or weak corporate governance, casting votes which disagree with or withhold support is</w:t>
      </w:r>
      <w:r w:rsidR="00366B23" w:rsidRPr="005F586C">
        <w:rPr>
          <w:rFonts w:cs="Arial"/>
          <w:color w:val="000000" w:themeColor="text1"/>
          <w:szCs w:val="24"/>
        </w:rPr>
        <w:t xml:space="preserve"> </w:t>
      </w:r>
      <w:r w:rsidR="00B76050" w:rsidRPr="005F586C">
        <w:rPr>
          <w:rFonts w:cs="Arial"/>
          <w:color w:val="000000" w:themeColor="text1"/>
          <w:szCs w:val="24"/>
        </w:rPr>
        <w:t xml:space="preserve">a </w:t>
      </w:r>
      <w:r w:rsidR="00366B23" w:rsidRPr="005F586C">
        <w:rPr>
          <w:rFonts w:cs="Arial"/>
          <w:color w:val="000000" w:themeColor="text1"/>
          <w:szCs w:val="24"/>
        </w:rPr>
        <w:t>means to flag up concerns and seek to</w:t>
      </w:r>
      <w:r w:rsidR="00965C48" w:rsidRPr="005F586C">
        <w:rPr>
          <w:rFonts w:cs="Arial"/>
          <w:color w:val="000000" w:themeColor="text1"/>
          <w:szCs w:val="24"/>
        </w:rPr>
        <w:t xml:space="preserve"> </w:t>
      </w:r>
      <w:r w:rsidR="00121DBF" w:rsidRPr="005F586C">
        <w:rPr>
          <w:rFonts w:cs="Arial"/>
          <w:color w:val="000000" w:themeColor="text1"/>
          <w:szCs w:val="24"/>
        </w:rPr>
        <w:t xml:space="preserve">positively </w:t>
      </w:r>
      <w:r w:rsidR="00965C48" w:rsidRPr="005F586C">
        <w:rPr>
          <w:rFonts w:cs="Arial"/>
          <w:color w:val="000000" w:themeColor="text1"/>
          <w:szCs w:val="24"/>
        </w:rPr>
        <w:t xml:space="preserve">influence company behaviour. </w:t>
      </w:r>
      <w:r w:rsidR="00F408E6" w:rsidRPr="005F586C">
        <w:rPr>
          <w:rFonts w:cs="Arial"/>
          <w:color w:val="000000" w:themeColor="text1"/>
          <w:szCs w:val="24"/>
        </w:rPr>
        <w:t>T</w:t>
      </w:r>
      <w:r w:rsidR="00965C48" w:rsidRPr="005F586C">
        <w:rPr>
          <w:rFonts w:cs="Arial"/>
          <w:color w:val="000000" w:themeColor="text1"/>
          <w:szCs w:val="24"/>
        </w:rPr>
        <w:t xml:space="preserve">he option </w:t>
      </w:r>
      <w:r w:rsidR="00121DBF" w:rsidRPr="005F586C">
        <w:rPr>
          <w:rFonts w:cs="Arial"/>
          <w:color w:val="000000" w:themeColor="text1"/>
          <w:szCs w:val="24"/>
        </w:rPr>
        <w:t>to</w:t>
      </w:r>
      <w:r w:rsidR="00965C48" w:rsidRPr="005F586C">
        <w:rPr>
          <w:rFonts w:cs="Arial"/>
          <w:color w:val="000000" w:themeColor="text1"/>
          <w:szCs w:val="24"/>
        </w:rPr>
        <w:t xml:space="preserve"> </w:t>
      </w:r>
      <w:r w:rsidR="00121DBF" w:rsidRPr="005F586C">
        <w:rPr>
          <w:rFonts w:cs="Arial"/>
          <w:color w:val="000000" w:themeColor="text1"/>
          <w:szCs w:val="24"/>
        </w:rPr>
        <w:t>file</w:t>
      </w:r>
      <w:r w:rsidR="00875F87" w:rsidRPr="005F586C">
        <w:rPr>
          <w:rFonts w:cs="Arial"/>
          <w:color w:val="000000" w:themeColor="text1"/>
          <w:szCs w:val="24"/>
        </w:rPr>
        <w:t xml:space="preserve"> </w:t>
      </w:r>
      <w:r w:rsidR="00586BC3" w:rsidRPr="005F586C">
        <w:rPr>
          <w:rFonts w:cs="Arial"/>
          <w:color w:val="000000" w:themeColor="text1"/>
          <w:szCs w:val="24"/>
        </w:rPr>
        <w:t>sharehold</w:t>
      </w:r>
      <w:r w:rsidR="0029040C" w:rsidRPr="005F586C">
        <w:rPr>
          <w:rFonts w:cs="Arial"/>
          <w:color w:val="000000" w:themeColor="text1"/>
          <w:szCs w:val="24"/>
        </w:rPr>
        <w:t>er resolution</w:t>
      </w:r>
      <w:r w:rsidR="00A97B3B" w:rsidRPr="005F586C">
        <w:rPr>
          <w:rFonts w:cs="Arial"/>
          <w:color w:val="000000" w:themeColor="text1"/>
          <w:szCs w:val="24"/>
        </w:rPr>
        <w:t>s</w:t>
      </w:r>
      <w:r w:rsidR="00965C48" w:rsidRPr="005F586C">
        <w:rPr>
          <w:rFonts w:cs="Arial"/>
          <w:color w:val="000000" w:themeColor="text1"/>
          <w:szCs w:val="24"/>
        </w:rPr>
        <w:t xml:space="preserve"> </w:t>
      </w:r>
      <w:r w:rsidR="00F408E6" w:rsidRPr="005F586C">
        <w:rPr>
          <w:rFonts w:cs="Arial"/>
          <w:color w:val="000000" w:themeColor="text1"/>
          <w:szCs w:val="24"/>
        </w:rPr>
        <w:t>i</w:t>
      </w:r>
      <w:r w:rsidR="00366B23" w:rsidRPr="005F586C">
        <w:rPr>
          <w:rFonts w:cs="Arial"/>
          <w:color w:val="000000" w:themeColor="text1"/>
          <w:szCs w:val="24"/>
        </w:rPr>
        <w:t>s</w:t>
      </w:r>
      <w:r w:rsidR="00121DBF" w:rsidRPr="005F586C">
        <w:rPr>
          <w:rFonts w:cs="Arial"/>
          <w:color w:val="000000" w:themeColor="text1"/>
          <w:szCs w:val="24"/>
        </w:rPr>
        <w:t xml:space="preserve"> an additional avenue </w:t>
      </w:r>
      <w:r w:rsidR="00A97B3B" w:rsidRPr="005F586C">
        <w:rPr>
          <w:rFonts w:cs="Arial"/>
          <w:color w:val="000000" w:themeColor="text1"/>
          <w:szCs w:val="24"/>
        </w:rPr>
        <w:t xml:space="preserve">(in extremis) </w:t>
      </w:r>
      <w:r w:rsidR="00121DBF" w:rsidRPr="005F586C">
        <w:rPr>
          <w:rFonts w:cs="Arial"/>
          <w:color w:val="000000" w:themeColor="text1"/>
          <w:szCs w:val="24"/>
        </w:rPr>
        <w:t>for</w:t>
      </w:r>
      <w:r w:rsidR="00875F87" w:rsidRPr="005F586C">
        <w:rPr>
          <w:rFonts w:cs="Arial"/>
          <w:color w:val="000000" w:themeColor="text1"/>
          <w:szCs w:val="24"/>
        </w:rPr>
        <w:t xml:space="preserve"> </w:t>
      </w:r>
      <w:r w:rsidR="00121DBF" w:rsidRPr="005F586C">
        <w:rPr>
          <w:rFonts w:cs="Arial"/>
          <w:color w:val="000000" w:themeColor="text1"/>
          <w:szCs w:val="24"/>
        </w:rPr>
        <w:t>ensuring</w:t>
      </w:r>
      <w:r w:rsidR="000D3DBC" w:rsidRPr="005F586C">
        <w:rPr>
          <w:rFonts w:cs="Arial"/>
          <w:color w:val="000000" w:themeColor="text1"/>
          <w:szCs w:val="24"/>
        </w:rPr>
        <w:t xml:space="preserve"> </w:t>
      </w:r>
      <w:r w:rsidR="00656773" w:rsidRPr="005F586C">
        <w:rPr>
          <w:rFonts w:cs="Arial"/>
          <w:color w:val="000000" w:themeColor="text1"/>
          <w:szCs w:val="24"/>
        </w:rPr>
        <w:t xml:space="preserve">any </w:t>
      </w:r>
      <w:r w:rsidR="000D3DBC" w:rsidRPr="005F586C">
        <w:rPr>
          <w:rFonts w:cs="Arial"/>
          <w:color w:val="000000" w:themeColor="text1"/>
          <w:szCs w:val="24"/>
        </w:rPr>
        <w:t>significant concerns</w:t>
      </w:r>
      <w:r w:rsidR="00121DBF" w:rsidRPr="005F586C">
        <w:rPr>
          <w:rFonts w:cs="Arial"/>
          <w:color w:val="000000" w:themeColor="text1"/>
          <w:szCs w:val="24"/>
        </w:rPr>
        <w:t xml:space="preserve"> </w:t>
      </w:r>
      <w:r w:rsidR="00366B23" w:rsidRPr="005F586C">
        <w:rPr>
          <w:rFonts w:cs="Arial"/>
          <w:color w:val="000000" w:themeColor="text1"/>
          <w:szCs w:val="24"/>
        </w:rPr>
        <w:t xml:space="preserve">felt by owners </w:t>
      </w:r>
      <w:r w:rsidR="00F408E6" w:rsidRPr="005F586C">
        <w:rPr>
          <w:rFonts w:cs="Arial"/>
          <w:color w:val="000000" w:themeColor="text1"/>
          <w:szCs w:val="24"/>
        </w:rPr>
        <w:t>make</w:t>
      </w:r>
      <w:r w:rsidR="00913A7D" w:rsidRPr="005F586C">
        <w:rPr>
          <w:rFonts w:cs="Arial"/>
          <w:color w:val="000000" w:themeColor="text1"/>
          <w:szCs w:val="24"/>
        </w:rPr>
        <w:t xml:space="preserve"> </w:t>
      </w:r>
      <w:r w:rsidR="00A97B3B" w:rsidRPr="005F586C">
        <w:rPr>
          <w:rFonts w:cs="Arial"/>
          <w:color w:val="000000" w:themeColor="text1"/>
          <w:szCs w:val="24"/>
        </w:rPr>
        <w:t>their way onto</w:t>
      </w:r>
      <w:r w:rsidR="000D3DBC" w:rsidRPr="005F586C">
        <w:rPr>
          <w:rFonts w:cs="Arial"/>
          <w:color w:val="000000" w:themeColor="text1"/>
          <w:szCs w:val="24"/>
        </w:rPr>
        <w:t xml:space="preserve"> </w:t>
      </w:r>
      <w:r w:rsidR="00875F87" w:rsidRPr="005F586C">
        <w:rPr>
          <w:rFonts w:cs="Arial"/>
          <w:color w:val="000000" w:themeColor="text1"/>
          <w:szCs w:val="24"/>
        </w:rPr>
        <w:t xml:space="preserve">the agenda </w:t>
      </w:r>
      <w:r w:rsidR="00F408E6" w:rsidRPr="005F586C">
        <w:rPr>
          <w:rFonts w:cs="Arial"/>
          <w:color w:val="000000" w:themeColor="text1"/>
          <w:szCs w:val="24"/>
        </w:rPr>
        <w:t xml:space="preserve">of issues </w:t>
      </w:r>
      <w:r w:rsidR="00875F87" w:rsidRPr="005F586C">
        <w:rPr>
          <w:rFonts w:cs="Arial"/>
          <w:color w:val="000000" w:themeColor="text1"/>
          <w:szCs w:val="24"/>
        </w:rPr>
        <w:t xml:space="preserve">under </w:t>
      </w:r>
      <w:r w:rsidR="00A97B3B" w:rsidRPr="005F586C">
        <w:rPr>
          <w:rFonts w:cs="Arial"/>
          <w:color w:val="000000" w:themeColor="text1"/>
          <w:szCs w:val="24"/>
        </w:rPr>
        <w:t>consideration</w:t>
      </w:r>
      <w:r w:rsidR="000D3DBC" w:rsidRPr="005F586C">
        <w:rPr>
          <w:rFonts w:cs="Arial"/>
          <w:color w:val="000000" w:themeColor="text1"/>
          <w:szCs w:val="24"/>
        </w:rPr>
        <w:t xml:space="preserve">. </w:t>
      </w:r>
    </w:p>
    <w:p w14:paraId="55DF455F" w14:textId="77777777" w:rsidR="004E1A32" w:rsidRPr="005F586C" w:rsidRDefault="004E1A32" w:rsidP="005F586C">
      <w:pPr>
        <w:autoSpaceDE w:val="0"/>
        <w:autoSpaceDN w:val="0"/>
        <w:adjustRightInd w:val="0"/>
        <w:jc w:val="both"/>
        <w:rPr>
          <w:rFonts w:cs="Arial"/>
          <w:color w:val="000000" w:themeColor="text1"/>
          <w:szCs w:val="24"/>
        </w:rPr>
      </w:pPr>
    </w:p>
    <w:p w14:paraId="7175234D" w14:textId="2BB2BAE2" w:rsidR="00731AC1" w:rsidRPr="005F586C" w:rsidRDefault="000B6DCF" w:rsidP="005F586C">
      <w:pPr>
        <w:autoSpaceDE w:val="0"/>
        <w:autoSpaceDN w:val="0"/>
        <w:adjustRightInd w:val="0"/>
        <w:jc w:val="both"/>
        <w:rPr>
          <w:rFonts w:cs="Arial"/>
          <w:color w:val="000000" w:themeColor="text1"/>
          <w:szCs w:val="24"/>
        </w:rPr>
      </w:pPr>
      <w:r w:rsidRPr="005F586C">
        <w:rPr>
          <w:rFonts w:cs="Arial"/>
          <w:color w:val="000000" w:themeColor="text1"/>
          <w:szCs w:val="24"/>
        </w:rPr>
        <w:t>The Fund owns shares in listed companies across the globe</w:t>
      </w:r>
      <w:r w:rsidR="00090B61" w:rsidRPr="005F586C">
        <w:rPr>
          <w:rFonts w:cs="Arial"/>
          <w:color w:val="000000" w:themeColor="text1"/>
          <w:szCs w:val="24"/>
        </w:rPr>
        <w:t xml:space="preserve"> and t</w:t>
      </w:r>
      <w:r w:rsidR="00F22928" w:rsidRPr="005F586C">
        <w:rPr>
          <w:rFonts w:cs="Arial"/>
          <w:color w:val="000000" w:themeColor="text1"/>
          <w:szCs w:val="24"/>
        </w:rPr>
        <w:t xml:space="preserve">o ensure </w:t>
      </w:r>
      <w:r w:rsidR="00090B61" w:rsidRPr="005F586C">
        <w:rPr>
          <w:rFonts w:cs="Arial"/>
          <w:color w:val="000000" w:themeColor="text1"/>
          <w:szCs w:val="24"/>
        </w:rPr>
        <w:t>it</w:t>
      </w:r>
      <w:r w:rsidR="00E92DD7" w:rsidRPr="005F586C">
        <w:rPr>
          <w:rFonts w:cs="Arial"/>
          <w:color w:val="000000" w:themeColor="text1"/>
          <w:szCs w:val="24"/>
        </w:rPr>
        <w:t xml:space="preserve"> makes </w:t>
      </w:r>
      <w:r w:rsidR="00BB77FA" w:rsidRPr="005F586C">
        <w:rPr>
          <w:rFonts w:cs="Arial"/>
          <w:color w:val="000000" w:themeColor="text1"/>
          <w:szCs w:val="24"/>
        </w:rPr>
        <w:t xml:space="preserve">consistent </w:t>
      </w:r>
      <w:r w:rsidR="00161A1D" w:rsidRPr="005F586C">
        <w:rPr>
          <w:rFonts w:cs="Arial"/>
          <w:color w:val="000000" w:themeColor="text1"/>
          <w:szCs w:val="24"/>
        </w:rPr>
        <w:t xml:space="preserve">and effective </w:t>
      </w:r>
      <w:r w:rsidR="00BB77FA" w:rsidRPr="005F586C">
        <w:rPr>
          <w:rFonts w:cs="Arial"/>
          <w:color w:val="000000" w:themeColor="text1"/>
          <w:szCs w:val="24"/>
        </w:rPr>
        <w:t xml:space="preserve">use of </w:t>
      </w:r>
      <w:r w:rsidR="00C9631E" w:rsidRPr="005F586C">
        <w:rPr>
          <w:rFonts w:cs="Arial"/>
          <w:color w:val="000000" w:themeColor="text1"/>
          <w:szCs w:val="24"/>
        </w:rPr>
        <w:t>its voting rights</w:t>
      </w:r>
      <w:r w:rsidR="00616198" w:rsidRPr="005F586C">
        <w:rPr>
          <w:rFonts w:cs="Arial"/>
          <w:color w:val="000000" w:themeColor="text1"/>
          <w:szCs w:val="24"/>
        </w:rPr>
        <w:t xml:space="preserve"> (</w:t>
      </w:r>
      <w:r w:rsidRPr="005F586C">
        <w:rPr>
          <w:rFonts w:cs="Arial"/>
          <w:color w:val="000000" w:themeColor="text1"/>
          <w:szCs w:val="24"/>
        </w:rPr>
        <w:t>something</w:t>
      </w:r>
      <w:r w:rsidR="00161A1D" w:rsidRPr="005F586C">
        <w:rPr>
          <w:rFonts w:cs="Arial"/>
          <w:color w:val="000000" w:themeColor="text1"/>
          <w:szCs w:val="24"/>
        </w:rPr>
        <w:t xml:space="preserve"> </w:t>
      </w:r>
      <w:r w:rsidRPr="005F586C">
        <w:rPr>
          <w:rFonts w:cs="Arial"/>
          <w:color w:val="000000" w:themeColor="text1"/>
          <w:szCs w:val="24"/>
        </w:rPr>
        <w:t>it has</w:t>
      </w:r>
      <w:r w:rsidR="0021798B" w:rsidRPr="005F586C">
        <w:rPr>
          <w:rFonts w:cs="Arial"/>
          <w:color w:val="000000" w:themeColor="text1"/>
          <w:szCs w:val="24"/>
        </w:rPr>
        <w:t xml:space="preserve"> committed to </w:t>
      </w:r>
      <w:r w:rsidRPr="005F586C">
        <w:rPr>
          <w:rFonts w:cs="Arial"/>
          <w:color w:val="000000" w:themeColor="text1"/>
          <w:szCs w:val="24"/>
        </w:rPr>
        <w:t>doing as a signatory of the</w:t>
      </w:r>
      <w:r w:rsidR="00616198" w:rsidRPr="005F586C">
        <w:rPr>
          <w:rFonts w:cs="Arial"/>
          <w:color w:val="000000" w:themeColor="text1"/>
          <w:szCs w:val="24"/>
        </w:rPr>
        <w:t xml:space="preserve"> UN Principles of Responsible Investmen</w:t>
      </w:r>
      <w:r w:rsidRPr="005F586C">
        <w:rPr>
          <w:rFonts w:cs="Arial"/>
          <w:color w:val="000000" w:themeColor="text1"/>
          <w:szCs w:val="24"/>
        </w:rPr>
        <w:t xml:space="preserve">t) </w:t>
      </w:r>
      <w:r w:rsidR="00E92DD7" w:rsidRPr="005F586C">
        <w:rPr>
          <w:rFonts w:cs="Arial"/>
          <w:color w:val="000000" w:themeColor="text1"/>
          <w:szCs w:val="24"/>
        </w:rPr>
        <w:t xml:space="preserve">LCPF </w:t>
      </w:r>
      <w:r w:rsidRPr="005F586C">
        <w:rPr>
          <w:rFonts w:cs="Arial"/>
          <w:color w:val="000000" w:themeColor="text1"/>
          <w:szCs w:val="24"/>
        </w:rPr>
        <w:t xml:space="preserve">employs PIRC </w:t>
      </w:r>
      <w:r w:rsidR="00BB0369" w:rsidRPr="005F586C">
        <w:rPr>
          <w:rFonts w:cs="Arial"/>
          <w:color w:val="000000" w:themeColor="text1"/>
          <w:szCs w:val="24"/>
        </w:rPr>
        <w:t xml:space="preserve">as its </w:t>
      </w:r>
      <w:r w:rsidR="00DF4556" w:rsidRPr="005F586C">
        <w:rPr>
          <w:rFonts w:cs="Arial"/>
          <w:color w:val="000000" w:themeColor="text1"/>
          <w:szCs w:val="24"/>
        </w:rPr>
        <w:t xml:space="preserve">proxy voting </w:t>
      </w:r>
      <w:r w:rsidR="00BB0369" w:rsidRPr="005F586C">
        <w:rPr>
          <w:rFonts w:cs="Arial"/>
          <w:color w:val="000000" w:themeColor="text1"/>
          <w:szCs w:val="24"/>
        </w:rPr>
        <w:t>agent</w:t>
      </w:r>
      <w:r w:rsidR="00446201" w:rsidRPr="005F586C">
        <w:rPr>
          <w:rFonts w:cs="Arial"/>
          <w:color w:val="000000" w:themeColor="text1"/>
          <w:szCs w:val="24"/>
        </w:rPr>
        <w:t>.</w:t>
      </w:r>
      <w:r w:rsidR="00F22928" w:rsidRPr="005F586C">
        <w:rPr>
          <w:rFonts w:cs="Arial"/>
          <w:color w:val="000000" w:themeColor="text1"/>
          <w:szCs w:val="24"/>
        </w:rPr>
        <w:t xml:space="preserve"> PIRC </w:t>
      </w:r>
      <w:r w:rsidR="00DF4556" w:rsidRPr="005F586C">
        <w:rPr>
          <w:rFonts w:cs="Arial"/>
          <w:color w:val="000000" w:themeColor="text1"/>
          <w:szCs w:val="24"/>
        </w:rPr>
        <w:t>cast</w:t>
      </w:r>
      <w:r w:rsidR="00E92DD7" w:rsidRPr="005F586C">
        <w:rPr>
          <w:rFonts w:cs="Arial"/>
          <w:color w:val="000000" w:themeColor="text1"/>
          <w:szCs w:val="24"/>
        </w:rPr>
        <w:t xml:space="preserve"> </w:t>
      </w:r>
      <w:r w:rsidR="00F22928" w:rsidRPr="005F586C">
        <w:rPr>
          <w:rFonts w:cs="Arial"/>
          <w:color w:val="000000" w:themeColor="text1"/>
          <w:szCs w:val="24"/>
        </w:rPr>
        <w:t>vote</w:t>
      </w:r>
      <w:r w:rsidR="00E92DD7" w:rsidRPr="005F586C">
        <w:rPr>
          <w:rFonts w:cs="Arial"/>
          <w:color w:val="000000" w:themeColor="text1"/>
          <w:szCs w:val="24"/>
        </w:rPr>
        <w:t>s</w:t>
      </w:r>
      <w:r w:rsidR="00F22928" w:rsidRPr="005F586C">
        <w:rPr>
          <w:rFonts w:cs="Arial"/>
          <w:color w:val="000000" w:themeColor="text1"/>
          <w:szCs w:val="24"/>
        </w:rPr>
        <w:t xml:space="preserve"> </w:t>
      </w:r>
      <w:r w:rsidR="00BB0369" w:rsidRPr="005F586C">
        <w:rPr>
          <w:rFonts w:cs="Arial"/>
          <w:color w:val="000000" w:themeColor="text1"/>
          <w:szCs w:val="24"/>
        </w:rPr>
        <w:t xml:space="preserve">at </w:t>
      </w:r>
      <w:r w:rsidR="00E92DD7" w:rsidRPr="005F586C">
        <w:rPr>
          <w:rFonts w:cs="Arial"/>
          <w:color w:val="000000" w:themeColor="text1"/>
          <w:szCs w:val="24"/>
        </w:rPr>
        <w:t xml:space="preserve">every shareholder meeting </w:t>
      </w:r>
      <w:r w:rsidR="004E1A32" w:rsidRPr="005F586C">
        <w:rPr>
          <w:rFonts w:cs="Arial"/>
          <w:color w:val="000000" w:themeColor="text1"/>
          <w:szCs w:val="24"/>
        </w:rPr>
        <w:t>the Fund is entitled</w:t>
      </w:r>
      <w:r w:rsidR="00E92DD7" w:rsidRPr="005F586C">
        <w:rPr>
          <w:rFonts w:cs="Arial"/>
          <w:color w:val="000000" w:themeColor="text1"/>
          <w:szCs w:val="24"/>
        </w:rPr>
        <w:t xml:space="preserve"> </w:t>
      </w:r>
      <w:r w:rsidRPr="005F586C">
        <w:rPr>
          <w:rFonts w:cs="Arial"/>
          <w:color w:val="000000" w:themeColor="text1"/>
          <w:szCs w:val="24"/>
        </w:rPr>
        <w:t xml:space="preserve">to participate </w:t>
      </w:r>
      <w:r w:rsidR="00090B61" w:rsidRPr="005F586C">
        <w:rPr>
          <w:rFonts w:cs="Arial"/>
          <w:color w:val="000000" w:themeColor="text1"/>
          <w:szCs w:val="24"/>
        </w:rPr>
        <w:t xml:space="preserve">in. Votes on individual resolutions </w:t>
      </w:r>
      <w:r w:rsidR="00825522" w:rsidRPr="005F586C">
        <w:rPr>
          <w:rFonts w:cs="Arial"/>
          <w:color w:val="000000" w:themeColor="text1"/>
          <w:szCs w:val="24"/>
        </w:rPr>
        <w:t>follow</w:t>
      </w:r>
      <w:r w:rsidR="00DF4556" w:rsidRPr="005F586C">
        <w:rPr>
          <w:rFonts w:cs="Arial"/>
          <w:color w:val="000000" w:themeColor="text1"/>
          <w:szCs w:val="24"/>
        </w:rPr>
        <w:t xml:space="preserve"> </w:t>
      </w:r>
      <w:r w:rsidR="00F408E6" w:rsidRPr="005F586C">
        <w:rPr>
          <w:rFonts w:cs="Arial"/>
          <w:color w:val="000000" w:themeColor="text1"/>
          <w:szCs w:val="24"/>
        </w:rPr>
        <w:t xml:space="preserve">clear </w:t>
      </w:r>
      <w:r w:rsidR="00DF4556" w:rsidRPr="005F586C">
        <w:rPr>
          <w:rFonts w:cs="Arial"/>
          <w:color w:val="000000" w:themeColor="text1"/>
          <w:szCs w:val="24"/>
        </w:rPr>
        <w:t xml:space="preserve">principles </w:t>
      </w:r>
      <w:r w:rsidR="00616CB6" w:rsidRPr="005F586C">
        <w:rPr>
          <w:rFonts w:cs="Arial"/>
          <w:color w:val="000000" w:themeColor="text1"/>
          <w:szCs w:val="24"/>
        </w:rPr>
        <w:t>set</w:t>
      </w:r>
      <w:r w:rsidR="00DF4556" w:rsidRPr="005F586C">
        <w:rPr>
          <w:rFonts w:cs="Arial"/>
          <w:color w:val="000000" w:themeColor="text1"/>
          <w:szCs w:val="24"/>
        </w:rPr>
        <w:t xml:space="preserve"> out </w:t>
      </w:r>
      <w:r w:rsidR="000D3DBC" w:rsidRPr="005F586C">
        <w:rPr>
          <w:rFonts w:cs="Arial"/>
          <w:color w:val="000000" w:themeColor="text1"/>
          <w:szCs w:val="24"/>
        </w:rPr>
        <w:t>with</w:t>
      </w:r>
      <w:r w:rsidR="00DF4556" w:rsidRPr="005F586C">
        <w:rPr>
          <w:rFonts w:cs="Arial"/>
          <w:color w:val="000000" w:themeColor="text1"/>
          <w:szCs w:val="24"/>
        </w:rPr>
        <w:t>in</w:t>
      </w:r>
      <w:r w:rsidR="00215E35" w:rsidRPr="005F586C">
        <w:rPr>
          <w:rFonts w:cs="Arial"/>
          <w:color w:val="000000" w:themeColor="text1"/>
          <w:szCs w:val="24"/>
        </w:rPr>
        <w:t xml:space="preserve"> </w:t>
      </w:r>
      <w:r w:rsidR="00FA6658" w:rsidRPr="005F586C">
        <w:rPr>
          <w:rFonts w:cs="Arial"/>
          <w:color w:val="000000" w:themeColor="text1"/>
          <w:szCs w:val="24"/>
        </w:rPr>
        <w:t xml:space="preserve">standing </w:t>
      </w:r>
      <w:r w:rsidR="00215E35" w:rsidRPr="005F586C">
        <w:rPr>
          <w:rFonts w:cs="Arial"/>
          <w:bCs/>
          <w:color w:val="000000" w:themeColor="text1"/>
          <w:szCs w:val="24"/>
        </w:rPr>
        <w:t xml:space="preserve">guidelines </w:t>
      </w:r>
      <w:r w:rsidR="00C017CF" w:rsidRPr="005F586C">
        <w:rPr>
          <w:rFonts w:cs="Arial"/>
          <w:bCs/>
          <w:color w:val="000000" w:themeColor="text1"/>
          <w:szCs w:val="24"/>
        </w:rPr>
        <w:t>(UK Shareholder Voting Guidelines 2015</w:t>
      </w:r>
      <w:r w:rsidR="00825522" w:rsidRPr="005F586C">
        <w:rPr>
          <w:rFonts w:cs="Arial"/>
          <w:bCs/>
          <w:color w:val="000000" w:themeColor="text1"/>
          <w:szCs w:val="24"/>
        </w:rPr>
        <w:t xml:space="preserve"> - PIRC</w:t>
      </w:r>
      <w:r w:rsidR="00C017CF" w:rsidRPr="005F586C">
        <w:rPr>
          <w:rFonts w:cs="Arial"/>
          <w:bCs/>
          <w:color w:val="000000" w:themeColor="text1"/>
          <w:szCs w:val="24"/>
        </w:rPr>
        <w:t>)</w:t>
      </w:r>
      <w:r w:rsidR="00DF4556" w:rsidRPr="005F586C">
        <w:rPr>
          <w:rFonts w:cs="Arial"/>
          <w:bCs/>
          <w:color w:val="000000" w:themeColor="text1"/>
          <w:szCs w:val="24"/>
        </w:rPr>
        <w:t>.</w:t>
      </w:r>
      <w:r w:rsidR="009964B0" w:rsidRPr="005F586C">
        <w:rPr>
          <w:rFonts w:cs="Arial"/>
          <w:bCs/>
          <w:color w:val="000000" w:themeColor="text1"/>
          <w:szCs w:val="24"/>
        </w:rPr>
        <w:t xml:space="preserve"> </w:t>
      </w:r>
    </w:p>
    <w:p w14:paraId="35D8405A" w14:textId="77777777" w:rsidR="00FA6658" w:rsidRPr="005F586C" w:rsidRDefault="00FA6658" w:rsidP="005F586C">
      <w:pPr>
        <w:autoSpaceDE w:val="0"/>
        <w:autoSpaceDN w:val="0"/>
        <w:adjustRightInd w:val="0"/>
        <w:jc w:val="both"/>
        <w:rPr>
          <w:rFonts w:cs="Arial"/>
          <w:color w:val="000000" w:themeColor="text1"/>
        </w:rPr>
      </w:pPr>
    </w:p>
    <w:p w14:paraId="44298E71" w14:textId="2CCE9AE6" w:rsidR="00C017CF" w:rsidRDefault="00C017CF" w:rsidP="005F586C">
      <w:pPr>
        <w:widowControl w:val="0"/>
        <w:jc w:val="both"/>
        <w:outlineLvl w:val="0"/>
        <w:rPr>
          <w:bCs/>
          <w:color w:val="000000" w:themeColor="text1"/>
        </w:rPr>
      </w:pPr>
      <w:r w:rsidRPr="005F586C">
        <w:rPr>
          <w:rFonts w:cs="Arial"/>
          <w:bCs/>
          <w:color w:val="000000" w:themeColor="text1"/>
        </w:rPr>
        <w:t xml:space="preserve">The Fund receives quarterly </w:t>
      </w:r>
      <w:r w:rsidR="005C6B87" w:rsidRPr="005F586C">
        <w:rPr>
          <w:rFonts w:cs="Arial"/>
          <w:bCs/>
          <w:color w:val="000000" w:themeColor="text1"/>
        </w:rPr>
        <w:t>report</w:t>
      </w:r>
      <w:r w:rsidR="004A040A" w:rsidRPr="005F586C">
        <w:rPr>
          <w:rFonts w:cs="Arial"/>
          <w:bCs/>
          <w:color w:val="000000" w:themeColor="text1"/>
        </w:rPr>
        <w:t>s</w:t>
      </w:r>
      <w:r w:rsidR="0046657E" w:rsidRPr="005F586C">
        <w:rPr>
          <w:rFonts w:cs="Arial"/>
          <w:bCs/>
          <w:color w:val="000000" w:themeColor="text1"/>
        </w:rPr>
        <w:t xml:space="preserve"> </w:t>
      </w:r>
      <w:r w:rsidR="00825522" w:rsidRPr="005F586C">
        <w:rPr>
          <w:rFonts w:cs="Arial"/>
          <w:bCs/>
          <w:color w:val="000000" w:themeColor="text1"/>
        </w:rPr>
        <w:t>giving</w:t>
      </w:r>
      <w:r w:rsidR="004A040A" w:rsidRPr="005F586C">
        <w:rPr>
          <w:rFonts w:cs="Arial"/>
          <w:bCs/>
          <w:color w:val="000000" w:themeColor="text1"/>
        </w:rPr>
        <w:t xml:space="preserve"> a </w:t>
      </w:r>
      <w:r w:rsidR="00BF3A91" w:rsidRPr="005F586C">
        <w:rPr>
          <w:rFonts w:cs="Arial"/>
          <w:bCs/>
          <w:color w:val="000000" w:themeColor="text1"/>
        </w:rPr>
        <w:t xml:space="preserve">retrospective </w:t>
      </w:r>
      <w:r w:rsidR="005C6B87" w:rsidRPr="005F586C">
        <w:rPr>
          <w:rFonts w:cs="Arial"/>
          <w:bCs/>
          <w:color w:val="000000" w:themeColor="text1"/>
        </w:rPr>
        <w:t xml:space="preserve">summary </w:t>
      </w:r>
      <w:r w:rsidR="006F00EF" w:rsidRPr="005F586C">
        <w:rPr>
          <w:rFonts w:cs="Arial"/>
          <w:bCs/>
          <w:color w:val="000000" w:themeColor="text1"/>
        </w:rPr>
        <w:t xml:space="preserve">of </w:t>
      </w:r>
      <w:r w:rsidRPr="005F586C">
        <w:rPr>
          <w:rFonts w:cs="Arial"/>
          <w:bCs/>
          <w:color w:val="000000" w:themeColor="text1"/>
        </w:rPr>
        <w:t xml:space="preserve">all </w:t>
      </w:r>
      <w:r w:rsidR="006F00EF" w:rsidRPr="005F586C">
        <w:rPr>
          <w:rFonts w:cs="Arial"/>
          <w:bCs/>
          <w:color w:val="000000" w:themeColor="text1"/>
        </w:rPr>
        <w:t>votes cast</w:t>
      </w:r>
      <w:r w:rsidR="001F7689">
        <w:rPr>
          <w:bCs/>
          <w:color w:val="000000" w:themeColor="text1"/>
        </w:rPr>
        <w:t xml:space="preserve"> by PIRC</w:t>
      </w:r>
      <w:r w:rsidR="00366B23">
        <w:rPr>
          <w:bCs/>
          <w:color w:val="000000" w:themeColor="text1"/>
        </w:rPr>
        <w:t xml:space="preserve"> on its behalf</w:t>
      </w:r>
      <w:r w:rsidR="008154E6">
        <w:rPr>
          <w:bCs/>
          <w:color w:val="000000" w:themeColor="text1"/>
        </w:rPr>
        <w:t xml:space="preserve"> and the outcome of voting (where known)</w:t>
      </w:r>
      <w:r w:rsidR="00DF4556">
        <w:rPr>
          <w:bCs/>
          <w:color w:val="000000" w:themeColor="text1"/>
        </w:rPr>
        <w:t xml:space="preserve">. </w:t>
      </w:r>
      <w:r w:rsidR="00BF3A91">
        <w:rPr>
          <w:bCs/>
          <w:color w:val="000000" w:themeColor="text1"/>
        </w:rPr>
        <w:t>T</w:t>
      </w:r>
      <w:r w:rsidR="00825522">
        <w:rPr>
          <w:bCs/>
          <w:color w:val="000000" w:themeColor="text1"/>
        </w:rPr>
        <w:t xml:space="preserve">he most recent, </w:t>
      </w:r>
      <w:r w:rsidR="004A040A">
        <w:rPr>
          <w:bCs/>
          <w:color w:val="000000" w:themeColor="text1"/>
        </w:rPr>
        <w:t>covering</w:t>
      </w:r>
      <w:r w:rsidR="00BF3A91">
        <w:rPr>
          <w:bCs/>
          <w:color w:val="000000" w:themeColor="text1"/>
        </w:rPr>
        <w:t xml:space="preserve"> the period from </w:t>
      </w:r>
      <w:r w:rsidR="00BF3A91" w:rsidRPr="00384FC5">
        <w:rPr>
          <w:bCs/>
          <w:color w:val="000000" w:themeColor="text1"/>
        </w:rPr>
        <w:t xml:space="preserve">1 </w:t>
      </w:r>
      <w:r w:rsidR="003750EA">
        <w:rPr>
          <w:bCs/>
          <w:color w:val="000000" w:themeColor="text1"/>
        </w:rPr>
        <w:t>April to 30</w:t>
      </w:r>
      <w:r w:rsidR="00BF3A91" w:rsidRPr="00384FC5">
        <w:rPr>
          <w:bCs/>
          <w:color w:val="000000" w:themeColor="text1"/>
        </w:rPr>
        <w:t xml:space="preserve"> </w:t>
      </w:r>
      <w:r w:rsidR="003750EA">
        <w:rPr>
          <w:bCs/>
          <w:color w:val="000000" w:themeColor="text1"/>
        </w:rPr>
        <w:t>June</w:t>
      </w:r>
      <w:r w:rsidR="00BF3A91" w:rsidRPr="00384FC5">
        <w:rPr>
          <w:bCs/>
          <w:color w:val="000000" w:themeColor="text1"/>
        </w:rPr>
        <w:t xml:space="preserve"> 2015</w:t>
      </w:r>
      <w:r w:rsidR="004A040A">
        <w:rPr>
          <w:bCs/>
          <w:color w:val="000000" w:themeColor="text1"/>
        </w:rPr>
        <w:t xml:space="preserve"> </w:t>
      </w:r>
      <w:r w:rsidR="00ED4D00">
        <w:rPr>
          <w:bCs/>
          <w:color w:val="000000" w:themeColor="text1"/>
        </w:rPr>
        <w:t>has been placed within the Members Re</w:t>
      </w:r>
      <w:r w:rsidR="00083200">
        <w:rPr>
          <w:bCs/>
          <w:color w:val="000000" w:themeColor="text1"/>
        </w:rPr>
        <w:t>tiri</w:t>
      </w:r>
      <w:bookmarkStart w:id="0" w:name="_GoBack"/>
      <w:bookmarkEnd w:id="0"/>
      <w:r w:rsidR="00ED4D00">
        <w:rPr>
          <w:bCs/>
          <w:color w:val="000000" w:themeColor="text1"/>
        </w:rPr>
        <w:t xml:space="preserve">ng Room for reference </w:t>
      </w:r>
      <w:r w:rsidR="00DF4556">
        <w:rPr>
          <w:bCs/>
          <w:color w:val="000000" w:themeColor="text1"/>
        </w:rPr>
        <w:t xml:space="preserve">and </w:t>
      </w:r>
      <w:r w:rsidR="00F408E6">
        <w:rPr>
          <w:bCs/>
          <w:color w:val="000000" w:themeColor="text1"/>
        </w:rPr>
        <w:t xml:space="preserve">contains further details </w:t>
      </w:r>
      <w:r w:rsidR="00656773">
        <w:rPr>
          <w:bCs/>
          <w:color w:val="000000" w:themeColor="text1"/>
        </w:rPr>
        <w:t>about</w:t>
      </w:r>
      <w:r w:rsidR="00DF4556">
        <w:rPr>
          <w:bCs/>
          <w:color w:val="000000" w:themeColor="text1"/>
        </w:rPr>
        <w:t xml:space="preserve"> the following </w:t>
      </w:r>
      <w:r w:rsidR="00656773">
        <w:rPr>
          <w:bCs/>
          <w:color w:val="000000" w:themeColor="text1"/>
        </w:rPr>
        <w:t xml:space="preserve">general </w:t>
      </w:r>
      <w:r w:rsidR="00875F87">
        <w:rPr>
          <w:bCs/>
          <w:color w:val="000000" w:themeColor="text1"/>
        </w:rPr>
        <w:t>headline</w:t>
      </w:r>
      <w:r w:rsidR="00825522">
        <w:rPr>
          <w:bCs/>
          <w:color w:val="000000" w:themeColor="text1"/>
        </w:rPr>
        <w:t>s</w:t>
      </w:r>
      <w:r>
        <w:rPr>
          <w:bCs/>
          <w:color w:val="000000" w:themeColor="text1"/>
        </w:rPr>
        <w:t>:</w:t>
      </w:r>
    </w:p>
    <w:p w14:paraId="094A656A" w14:textId="77777777" w:rsidR="003750EA" w:rsidRDefault="003750EA" w:rsidP="005C6B87">
      <w:pPr>
        <w:widowControl w:val="0"/>
        <w:outlineLvl w:val="0"/>
        <w:rPr>
          <w:bCs/>
          <w:color w:val="000000" w:themeColor="text1"/>
        </w:rPr>
      </w:pPr>
    </w:p>
    <w:p w14:paraId="06213741" w14:textId="4A1CE2DD" w:rsidR="008E5574" w:rsidRDefault="004A040A" w:rsidP="00960306">
      <w:pPr>
        <w:widowControl w:val="0"/>
        <w:jc w:val="both"/>
        <w:outlineLvl w:val="0"/>
        <w:rPr>
          <w:bCs/>
          <w:color w:val="000000" w:themeColor="text1"/>
        </w:rPr>
      </w:pPr>
      <w:r>
        <w:rPr>
          <w:bCs/>
          <w:color w:val="000000" w:themeColor="text1"/>
        </w:rPr>
        <w:t xml:space="preserve">During </w:t>
      </w:r>
      <w:r w:rsidR="003043AB">
        <w:rPr>
          <w:bCs/>
          <w:color w:val="000000" w:themeColor="text1"/>
        </w:rPr>
        <w:t>this period</w:t>
      </w:r>
      <w:r w:rsidR="00C91A38">
        <w:rPr>
          <w:bCs/>
          <w:color w:val="000000" w:themeColor="text1"/>
        </w:rPr>
        <w:t>,</w:t>
      </w:r>
      <w:r w:rsidR="00953F86">
        <w:rPr>
          <w:bCs/>
          <w:color w:val="000000" w:themeColor="text1"/>
        </w:rPr>
        <w:t xml:space="preserve"> the Fund</w:t>
      </w:r>
      <w:r w:rsidR="00960306">
        <w:rPr>
          <w:bCs/>
          <w:color w:val="000000" w:themeColor="text1"/>
        </w:rPr>
        <w:t>:</w:t>
      </w:r>
    </w:p>
    <w:p w14:paraId="43515E61" w14:textId="77777777" w:rsidR="00953F86" w:rsidRDefault="00953F86" w:rsidP="00960306">
      <w:pPr>
        <w:widowControl w:val="0"/>
        <w:jc w:val="both"/>
        <w:outlineLvl w:val="0"/>
        <w:rPr>
          <w:bCs/>
          <w:color w:val="000000" w:themeColor="text1"/>
        </w:rPr>
      </w:pPr>
    </w:p>
    <w:p w14:paraId="239E77B2" w14:textId="51380DB4" w:rsidR="008D4106" w:rsidRDefault="00E85715" w:rsidP="00960306">
      <w:pPr>
        <w:pStyle w:val="ListParagraph"/>
        <w:widowControl w:val="0"/>
        <w:numPr>
          <w:ilvl w:val="0"/>
          <w:numId w:val="17"/>
        </w:numPr>
        <w:jc w:val="both"/>
        <w:outlineLvl w:val="0"/>
        <w:rPr>
          <w:bCs/>
          <w:color w:val="000000" w:themeColor="text1"/>
        </w:rPr>
      </w:pPr>
      <w:proofErr w:type="gramStart"/>
      <w:r>
        <w:rPr>
          <w:bCs/>
          <w:color w:val="000000" w:themeColor="text1"/>
        </w:rPr>
        <w:t>voted</w:t>
      </w:r>
      <w:proofErr w:type="gramEnd"/>
      <w:r>
        <w:rPr>
          <w:bCs/>
          <w:color w:val="000000" w:themeColor="text1"/>
        </w:rPr>
        <w:t xml:space="preserve"> </w:t>
      </w:r>
      <w:r w:rsidR="004A040A" w:rsidRPr="00616CB6">
        <w:rPr>
          <w:bCs/>
          <w:color w:val="000000" w:themeColor="text1"/>
        </w:rPr>
        <w:t xml:space="preserve">at </w:t>
      </w:r>
      <w:r w:rsidR="006147D3" w:rsidRPr="00616CB6">
        <w:rPr>
          <w:bCs/>
          <w:color w:val="000000" w:themeColor="text1"/>
        </w:rPr>
        <w:t>221</w:t>
      </w:r>
      <w:r w:rsidR="004A040A" w:rsidRPr="00616CB6">
        <w:rPr>
          <w:bCs/>
          <w:color w:val="000000" w:themeColor="text1"/>
        </w:rPr>
        <w:t xml:space="preserve"> </w:t>
      </w:r>
      <w:r w:rsidR="008E5574" w:rsidRPr="00616CB6">
        <w:rPr>
          <w:bCs/>
          <w:color w:val="000000" w:themeColor="text1"/>
        </w:rPr>
        <w:t xml:space="preserve">separate </w:t>
      </w:r>
      <w:r w:rsidR="00E00633" w:rsidRPr="00616CB6">
        <w:rPr>
          <w:bCs/>
          <w:color w:val="000000" w:themeColor="text1"/>
        </w:rPr>
        <w:t xml:space="preserve">shareholder </w:t>
      </w:r>
      <w:r w:rsidR="004A040A" w:rsidRPr="00616CB6">
        <w:rPr>
          <w:bCs/>
          <w:color w:val="000000" w:themeColor="text1"/>
        </w:rPr>
        <w:t>meetings (</w:t>
      </w:r>
      <w:r w:rsidR="006147D3" w:rsidRPr="00616CB6">
        <w:rPr>
          <w:bCs/>
          <w:color w:val="000000" w:themeColor="text1"/>
        </w:rPr>
        <w:t>215 AGM and 6</w:t>
      </w:r>
      <w:r w:rsidR="004A040A" w:rsidRPr="00616CB6">
        <w:rPr>
          <w:bCs/>
          <w:color w:val="000000" w:themeColor="text1"/>
        </w:rPr>
        <w:t xml:space="preserve"> EGM)</w:t>
      </w:r>
      <w:r w:rsidR="00960306">
        <w:rPr>
          <w:bCs/>
          <w:color w:val="000000" w:themeColor="text1"/>
        </w:rPr>
        <w:t>.</w:t>
      </w:r>
      <w:r w:rsidR="004A040A" w:rsidRPr="00616CB6">
        <w:rPr>
          <w:bCs/>
          <w:color w:val="000000" w:themeColor="text1"/>
        </w:rPr>
        <w:t xml:space="preserve"> </w:t>
      </w:r>
    </w:p>
    <w:p w14:paraId="1162B3F2" w14:textId="6532D35A" w:rsidR="00837DFA" w:rsidRPr="00384FC5" w:rsidRDefault="00E00633" w:rsidP="00960306">
      <w:pPr>
        <w:pStyle w:val="ListParagraph"/>
        <w:widowControl w:val="0"/>
        <w:jc w:val="both"/>
        <w:outlineLvl w:val="0"/>
        <w:rPr>
          <w:bCs/>
          <w:color w:val="000000" w:themeColor="text1"/>
        </w:rPr>
      </w:pPr>
      <w:r w:rsidRPr="00616CB6">
        <w:rPr>
          <w:bCs/>
          <w:color w:val="000000" w:themeColor="text1"/>
        </w:rPr>
        <w:t xml:space="preserve">47% </w:t>
      </w:r>
      <w:r w:rsidR="00A22F15">
        <w:rPr>
          <w:bCs/>
          <w:color w:val="000000" w:themeColor="text1"/>
        </w:rPr>
        <w:t xml:space="preserve">(1,526) </w:t>
      </w:r>
      <w:r w:rsidR="00C91A38" w:rsidRPr="00616CB6">
        <w:rPr>
          <w:bCs/>
          <w:color w:val="000000" w:themeColor="text1"/>
        </w:rPr>
        <w:t>were of</w:t>
      </w:r>
      <w:r w:rsidR="008E5574" w:rsidRPr="00616CB6">
        <w:rPr>
          <w:bCs/>
          <w:color w:val="000000" w:themeColor="text1"/>
        </w:rPr>
        <w:t xml:space="preserve"> </w:t>
      </w:r>
      <w:r w:rsidR="00C91A38" w:rsidRPr="00616CB6">
        <w:rPr>
          <w:bCs/>
          <w:color w:val="000000" w:themeColor="text1"/>
        </w:rPr>
        <w:t xml:space="preserve">companies </w:t>
      </w:r>
      <w:r w:rsidRPr="00616CB6">
        <w:rPr>
          <w:bCs/>
          <w:color w:val="000000" w:themeColor="text1"/>
        </w:rPr>
        <w:t xml:space="preserve">registered in the USA/Canada and </w:t>
      </w:r>
      <w:r w:rsidR="00A22F15">
        <w:rPr>
          <w:bCs/>
          <w:color w:val="000000" w:themeColor="text1"/>
        </w:rPr>
        <w:t>11</w:t>
      </w:r>
      <w:r w:rsidRPr="00616CB6">
        <w:rPr>
          <w:bCs/>
          <w:color w:val="000000" w:themeColor="text1"/>
        </w:rPr>
        <w:t xml:space="preserve">% </w:t>
      </w:r>
      <w:r w:rsidR="00A22F15">
        <w:rPr>
          <w:bCs/>
          <w:color w:val="000000" w:themeColor="text1"/>
        </w:rPr>
        <w:t xml:space="preserve">(368) </w:t>
      </w:r>
      <w:r w:rsidR="00DF4556" w:rsidRPr="00616CB6">
        <w:rPr>
          <w:bCs/>
          <w:color w:val="000000" w:themeColor="text1"/>
        </w:rPr>
        <w:t xml:space="preserve">in the </w:t>
      </w:r>
      <w:r w:rsidRPr="00616CB6">
        <w:rPr>
          <w:bCs/>
          <w:color w:val="000000" w:themeColor="text1"/>
        </w:rPr>
        <w:t xml:space="preserve">UK. </w:t>
      </w:r>
    </w:p>
    <w:p w14:paraId="69E3083F" w14:textId="77777777" w:rsidR="00A22F15" w:rsidRDefault="005F7B63" w:rsidP="00960306">
      <w:pPr>
        <w:pStyle w:val="ListParagraph"/>
        <w:widowControl w:val="0"/>
        <w:numPr>
          <w:ilvl w:val="0"/>
          <w:numId w:val="17"/>
        </w:numPr>
        <w:jc w:val="both"/>
        <w:outlineLvl w:val="0"/>
        <w:rPr>
          <w:bCs/>
          <w:color w:val="000000" w:themeColor="text1"/>
        </w:rPr>
      </w:pPr>
      <w:r w:rsidRPr="00616CB6">
        <w:rPr>
          <w:bCs/>
          <w:color w:val="000000" w:themeColor="text1"/>
        </w:rPr>
        <w:t xml:space="preserve">voted on </w:t>
      </w:r>
      <w:r w:rsidR="00414707" w:rsidRPr="00616CB6">
        <w:rPr>
          <w:bCs/>
          <w:color w:val="000000" w:themeColor="text1"/>
        </w:rPr>
        <w:t xml:space="preserve">3,277 </w:t>
      </w:r>
      <w:r w:rsidR="008E5574" w:rsidRPr="00616CB6">
        <w:rPr>
          <w:bCs/>
          <w:color w:val="000000" w:themeColor="text1"/>
        </w:rPr>
        <w:t>separate</w:t>
      </w:r>
      <w:r w:rsidR="00090B61" w:rsidRPr="00616CB6">
        <w:rPr>
          <w:bCs/>
          <w:color w:val="000000" w:themeColor="text1"/>
        </w:rPr>
        <w:t xml:space="preserve"> </w:t>
      </w:r>
      <w:r w:rsidRPr="00616CB6">
        <w:rPr>
          <w:bCs/>
          <w:color w:val="000000" w:themeColor="text1"/>
        </w:rPr>
        <w:t>resolutions</w:t>
      </w:r>
      <w:r w:rsidR="00825522">
        <w:rPr>
          <w:bCs/>
          <w:color w:val="000000" w:themeColor="text1"/>
        </w:rPr>
        <w:t xml:space="preserve">. </w:t>
      </w:r>
    </w:p>
    <w:p w14:paraId="129DFAF2" w14:textId="681FB862" w:rsidR="00C91A38" w:rsidRPr="00616CB6" w:rsidRDefault="00414707" w:rsidP="00960306">
      <w:pPr>
        <w:pStyle w:val="ListParagraph"/>
        <w:widowControl w:val="0"/>
        <w:jc w:val="both"/>
        <w:outlineLvl w:val="0"/>
        <w:rPr>
          <w:bCs/>
          <w:color w:val="000000" w:themeColor="text1"/>
        </w:rPr>
      </w:pPr>
      <w:r w:rsidRPr="00616CB6">
        <w:rPr>
          <w:bCs/>
          <w:color w:val="000000" w:themeColor="text1"/>
        </w:rPr>
        <w:t>1,917</w:t>
      </w:r>
      <w:r w:rsidR="005F7B63" w:rsidRPr="00616CB6">
        <w:rPr>
          <w:bCs/>
          <w:color w:val="000000" w:themeColor="text1"/>
        </w:rPr>
        <w:t xml:space="preserve"> votes (</w:t>
      </w:r>
      <w:r w:rsidRPr="00616CB6">
        <w:rPr>
          <w:bCs/>
          <w:color w:val="000000" w:themeColor="text1"/>
        </w:rPr>
        <w:t>58</w:t>
      </w:r>
      <w:r w:rsidR="005F7B63" w:rsidRPr="00616CB6">
        <w:rPr>
          <w:bCs/>
          <w:color w:val="000000" w:themeColor="text1"/>
        </w:rPr>
        <w:t xml:space="preserve">%) </w:t>
      </w:r>
      <w:r w:rsidR="00875F87">
        <w:rPr>
          <w:bCs/>
          <w:color w:val="000000" w:themeColor="text1"/>
        </w:rPr>
        <w:t>gave</w:t>
      </w:r>
      <w:r w:rsidR="00B54451">
        <w:rPr>
          <w:bCs/>
          <w:color w:val="000000" w:themeColor="text1"/>
        </w:rPr>
        <w:t xml:space="preserve"> </w:t>
      </w:r>
      <w:r w:rsidR="008E5574" w:rsidRPr="00616CB6">
        <w:rPr>
          <w:bCs/>
          <w:color w:val="000000" w:themeColor="text1"/>
        </w:rPr>
        <w:t xml:space="preserve">support </w:t>
      </w:r>
      <w:r w:rsidR="005F7B63" w:rsidRPr="00616CB6">
        <w:rPr>
          <w:bCs/>
          <w:color w:val="000000" w:themeColor="text1"/>
        </w:rPr>
        <w:t xml:space="preserve">and </w:t>
      </w:r>
      <w:r w:rsidR="00A22F15">
        <w:rPr>
          <w:bCs/>
          <w:color w:val="000000" w:themeColor="text1"/>
        </w:rPr>
        <w:t>1,</w:t>
      </w:r>
      <w:r w:rsidRPr="00616CB6">
        <w:rPr>
          <w:bCs/>
          <w:color w:val="000000" w:themeColor="text1"/>
        </w:rPr>
        <w:t>3</w:t>
      </w:r>
      <w:r w:rsidR="00A22F15">
        <w:rPr>
          <w:bCs/>
          <w:color w:val="000000" w:themeColor="text1"/>
        </w:rPr>
        <w:t>6</w:t>
      </w:r>
      <w:r w:rsidRPr="00616CB6">
        <w:rPr>
          <w:bCs/>
          <w:color w:val="000000" w:themeColor="text1"/>
        </w:rPr>
        <w:t xml:space="preserve">0 </w:t>
      </w:r>
      <w:r w:rsidR="005F7B63" w:rsidRPr="00616CB6">
        <w:rPr>
          <w:bCs/>
          <w:color w:val="000000" w:themeColor="text1"/>
        </w:rPr>
        <w:t>(</w:t>
      </w:r>
      <w:r w:rsidRPr="00616CB6">
        <w:rPr>
          <w:bCs/>
          <w:color w:val="000000" w:themeColor="text1"/>
        </w:rPr>
        <w:t>42</w:t>
      </w:r>
      <w:r w:rsidR="005F7B63" w:rsidRPr="00616CB6">
        <w:rPr>
          <w:bCs/>
          <w:color w:val="000000" w:themeColor="text1"/>
        </w:rPr>
        <w:t xml:space="preserve">%) </w:t>
      </w:r>
      <w:r w:rsidR="00E85715">
        <w:rPr>
          <w:bCs/>
          <w:color w:val="000000" w:themeColor="text1"/>
        </w:rPr>
        <w:t xml:space="preserve">either </w:t>
      </w:r>
      <w:r w:rsidR="005F7B63" w:rsidRPr="00616CB6">
        <w:rPr>
          <w:bCs/>
          <w:color w:val="000000" w:themeColor="text1"/>
        </w:rPr>
        <w:t>opposed</w:t>
      </w:r>
      <w:r w:rsidR="00A22F15">
        <w:rPr>
          <w:bCs/>
          <w:color w:val="000000" w:themeColor="text1"/>
        </w:rPr>
        <w:t xml:space="preserve"> or </w:t>
      </w:r>
      <w:r w:rsidR="005F7B63" w:rsidRPr="00616CB6">
        <w:rPr>
          <w:bCs/>
          <w:color w:val="000000" w:themeColor="text1"/>
        </w:rPr>
        <w:t xml:space="preserve">abstained. </w:t>
      </w:r>
    </w:p>
    <w:p w14:paraId="51B0D9F3" w14:textId="77777777" w:rsidR="00C91A38" w:rsidRDefault="00C91A38" w:rsidP="00960306">
      <w:pPr>
        <w:widowControl w:val="0"/>
        <w:jc w:val="both"/>
        <w:outlineLvl w:val="0"/>
        <w:rPr>
          <w:bCs/>
          <w:color w:val="000000" w:themeColor="text1"/>
        </w:rPr>
      </w:pPr>
    </w:p>
    <w:p w14:paraId="08A6166C" w14:textId="5DE15D8D" w:rsidR="00825522" w:rsidRDefault="005F7B63" w:rsidP="00960306">
      <w:pPr>
        <w:widowControl w:val="0"/>
        <w:jc w:val="both"/>
        <w:outlineLvl w:val="0"/>
        <w:rPr>
          <w:bCs/>
          <w:color w:val="000000" w:themeColor="text1"/>
        </w:rPr>
      </w:pPr>
      <w:r>
        <w:rPr>
          <w:bCs/>
          <w:color w:val="000000" w:themeColor="text1"/>
        </w:rPr>
        <w:t xml:space="preserve">The </w:t>
      </w:r>
      <w:r w:rsidR="00616198">
        <w:rPr>
          <w:bCs/>
          <w:color w:val="000000" w:themeColor="text1"/>
        </w:rPr>
        <w:t xml:space="preserve">relatively </w:t>
      </w:r>
      <w:r>
        <w:rPr>
          <w:bCs/>
          <w:color w:val="000000" w:themeColor="text1"/>
        </w:rPr>
        <w:t xml:space="preserve">large number of </w:t>
      </w:r>
      <w:r w:rsidR="00414707">
        <w:rPr>
          <w:bCs/>
          <w:color w:val="000000" w:themeColor="text1"/>
        </w:rPr>
        <w:t xml:space="preserve">meetings and </w:t>
      </w:r>
      <w:r>
        <w:rPr>
          <w:bCs/>
          <w:color w:val="000000" w:themeColor="text1"/>
        </w:rPr>
        <w:t xml:space="preserve">resolutions </w:t>
      </w:r>
      <w:r w:rsidR="00B54451">
        <w:rPr>
          <w:bCs/>
          <w:color w:val="000000" w:themeColor="text1"/>
        </w:rPr>
        <w:t xml:space="preserve">in </w:t>
      </w:r>
      <w:r w:rsidR="00A5254E">
        <w:rPr>
          <w:bCs/>
          <w:color w:val="000000" w:themeColor="text1"/>
        </w:rPr>
        <w:t>this quarter</w:t>
      </w:r>
      <w:r w:rsidR="00B54451">
        <w:rPr>
          <w:bCs/>
          <w:color w:val="000000" w:themeColor="text1"/>
        </w:rPr>
        <w:t xml:space="preserve"> </w:t>
      </w:r>
      <w:r>
        <w:rPr>
          <w:bCs/>
          <w:color w:val="000000" w:themeColor="text1"/>
        </w:rPr>
        <w:t>reflect</w:t>
      </w:r>
      <w:r w:rsidR="00F408E6">
        <w:rPr>
          <w:bCs/>
          <w:color w:val="000000" w:themeColor="text1"/>
        </w:rPr>
        <w:t>s</w:t>
      </w:r>
      <w:r>
        <w:rPr>
          <w:bCs/>
          <w:color w:val="000000" w:themeColor="text1"/>
        </w:rPr>
        <w:t xml:space="preserve"> </w:t>
      </w:r>
      <w:r w:rsidR="0021798B">
        <w:rPr>
          <w:bCs/>
          <w:color w:val="000000" w:themeColor="text1"/>
        </w:rPr>
        <w:t>the</w:t>
      </w:r>
      <w:r w:rsidR="00414707">
        <w:rPr>
          <w:bCs/>
          <w:color w:val="000000" w:themeColor="text1"/>
        </w:rPr>
        <w:t xml:space="preserve"> </w:t>
      </w:r>
      <w:r w:rsidR="00825522">
        <w:rPr>
          <w:bCs/>
          <w:color w:val="000000" w:themeColor="text1"/>
        </w:rPr>
        <w:t xml:space="preserve">high </w:t>
      </w:r>
      <w:r>
        <w:rPr>
          <w:bCs/>
          <w:color w:val="000000" w:themeColor="text1"/>
        </w:rPr>
        <w:t>proportion of companies</w:t>
      </w:r>
      <w:r w:rsidR="00414707">
        <w:rPr>
          <w:bCs/>
          <w:color w:val="000000" w:themeColor="text1"/>
        </w:rPr>
        <w:t xml:space="preserve"> </w:t>
      </w:r>
      <w:r>
        <w:rPr>
          <w:bCs/>
          <w:color w:val="000000" w:themeColor="text1"/>
        </w:rPr>
        <w:t>report</w:t>
      </w:r>
      <w:r w:rsidR="00875F87">
        <w:rPr>
          <w:bCs/>
          <w:color w:val="000000" w:themeColor="text1"/>
        </w:rPr>
        <w:t>ing</w:t>
      </w:r>
      <w:r>
        <w:rPr>
          <w:bCs/>
          <w:color w:val="000000" w:themeColor="text1"/>
        </w:rPr>
        <w:t xml:space="preserve"> year</w:t>
      </w:r>
      <w:r w:rsidR="004B4721">
        <w:rPr>
          <w:bCs/>
          <w:color w:val="000000" w:themeColor="text1"/>
        </w:rPr>
        <w:t>-</w:t>
      </w:r>
      <w:r>
        <w:rPr>
          <w:bCs/>
          <w:color w:val="000000" w:themeColor="text1"/>
        </w:rPr>
        <w:t>end results and hold</w:t>
      </w:r>
      <w:r w:rsidR="00875F87">
        <w:rPr>
          <w:bCs/>
          <w:color w:val="000000" w:themeColor="text1"/>
        </w:rPr>
        <w:t>ing</w:t>
      </w:r>
      <w:r>
        <w:rPr>
          <w:bCs/>
          <w:color w:val="000000" w:themeColor="text1"/>
        </w:rPr>
        <w:t xml:space="preserve"> AGMs in</w:t>
      </w:r>
      <w:r w:rsidR="00414707">
        <w:rPr>
          <w:bCs/>
          <w:color w:val="000000" w:themeColor="text1"/>
        </w:rPr>
        <w:t xml:space="preserve"> the</w:t>
      </w:r>
      <w:r>
        <w:rPr>
          <w:bCs/>
          <w:color w:val="000000" w:themeColor="text1"/>
        </w:rPr>
        <w:t xml:space="preserve"> spring – a period </w:t>
      </w:r>
      <w:r w:rsidR="00875F87">
        <w:rPr>
          <w:bCs/>
          <w:color w:val="000000" w:themeColor="text1"/>
        </w:rPr>
        <w:t xml:space="preserve">colloquially </w:t>
      </w:r>
      <w:r w:rsidR="00F408E6">
        <w:rPr>
          <w:bCs/>
          <w:color w:val="000000" w:themeColor="text1"/>
        </w:rPr>
        <w:t xml:space="preserve">known </w:t>
      </w:r>
      <w:r w:rsidR="008E5574">
        <w:rPr>
          <w:bCs/>
          <w:color w:val="000000" w:themeColor="text1"/>
        </w:rPr>
        <w:t xml:space="preserve">as </w:t>
      </w:r>
      <w:r>
        <w:rPr>
          <w:bCs/>
          <w:color w:val="000000" w:themeColor="text1"/>
        </w:rPr>
        <w:t xml:space="preserve">"voting season". </w:t>
      </w:r>
    </w:p>
    <w:p w14:paraId="66B6EA39" w14:textId="77777777" w:rsidR="00825522" w:rsidRDefault="00825522" w:rsidP="00960306">
      <w:pPr>
        <w:widowControl w:val="0"/>
        <w:jc w:val="both"/>
        <w:outlineLvl w:val="0"/>
        <w:rPr>
          <w:bCs/>
          <w:color w:val="000000" w:themeColor="text1"/>
        </w:rPr>
      </w:pPr>
    </w:p>
    <w:p w14:paraId="1244875E" w14:textId="142D8EBF" w:rsidR="00616CB6" w:rsidRPr="00825522" w:rsidRDefault="00825522" w:rsidP="00960306">
      <w:pPr>
        <w:widowControl w:val="0"/>
        <w:jc w:val="both"/>
        <w:outlineLvl w:val="0"/>
        <w:rPr>
          <w:bCs/>
          <w:color w:val="000000" w:themeColor="text1"/>
        </w:rPr>
      </w:pPr>
      <w:r>
        <w:rPr>
          <w:bCs/>
        </w:rPr>
        <w:t xml:space="preserve">The table below </w:t>
      </w:r>
      <w:r w:rsidR="00F408E6">
        <w:rPr>
          <w:bCs/>
        </w:rPr>
        <w:t>gives</w:t>
      </w:r>
      <w:r>
        <w:rPr>
          <w:bCs/>
        </w:rPr>
        <w:t xml:space="preserve"> further insight into </w:t>
      </w:r>
      <w:r w:rsidR="00F408E6">
        <w:rPr>
          <w:bCs/>
        </w:rPr>
        <w:t xml:space="preserve">the </w:t>
      </w:r>
      <w:r>
        <w:rPr>
          <w:bCs/>
        </w:rPr>
        <w:t xml:space="preserve">voting </w:t>
      </w:r>
      <w:r w:rsidR="00F408E6">
        <w:rPr>
          <w:bCs/>
        </w:rPr>
        <w:t xml:space="preserve">pattern </w:t>
      </w:r>
      <w:r>
        <w:rPr>
          <w:bCs/>
        </w:rPr>
        <w:t xml:space="preserve">at meetings </w:t>
      </w:r>
      <w:r w:rsidR="00366B23">
        <w:rPr>
          <w:bCs/>
        </w:rPr>
        <w:t>in</w:t>
      </w:r>
      <w:r w:rsidR="00B54451" w:rsidRPr="00C01877">
        <w:rPr>
          <w:bCs/>
        </w:rPr>
        <w:t xml:space="preserve"> US/Canada and </w:t>
      </w:r>
      <w:r w:rsidR="00B85080">
        <w:rPr>
          <w:bCs/>
        </w:rPr>
        <w:t xml:space="preserve">the </w:t>
      </w:r>
      <w:r w:rsidR="00B54451" w:rsidRPr="00C01877">
        <w:rPr>
          <w:bCs/>
        </w:rPr>
        <w:t xml:space="preserve">UK </w:t>
      </w:r>
      <w:r w:rsidR="00B54451">
        <w:rPr>
          <w:bCs/>
        </w:rPr>
        <w:t>respectively</w:t>
      </w:r>
      <w:r w:rsidR="004141F1" w:rsidRPr="00C01877">
        <w:rPr>
          <w:bCs/>
        </w:rPr>
        <w:t>:</w:t>
      </w:r>
    </w:p>
    <w:p w14:paraId="182B98E9" w14:textId="7C2D4586" w:rsidR="0070462D" w:rsidRDefault="00F408E6" w:rsidP="003834D5">
      <w:pPr>
        <w:keepNext/>
        <w:outlineLvl w:val="0"/>
        <w:rPr>
          <w:bCs/>
        </w:rPr>
      </w:pPr>
      <w:r>
        <w:rPr>
          <w:bCs/>
          <w:u w:val="single"/>
        </w:rPr>
        <w:lastRenderedPageBreak/>
        <w:t xml:space="preserve">LCPF – Proxy </w:t>
      </w:r>
      <w:r w:rsidR="0070462D" w:rsidRPr="0070462D">
        <w:rPr>
          <w:bCs/>
          <w:u w:val="single"/>
        </w:rPr>
        <w:t xml:space="preserve">Votes Cast in the US/Canada and UK </w:t>
      </w:r>
      <w:r w:rsidR="0070462D">
        <w:rPr>
          <w:bCs/>
          <w:u w:val="single"/>
        </w:rPr>
        <w:t>(</w:t>
      </w:r>
      <w:r w:rsidR="0070462D" w:rsidRPr="0070462D">
        <w:rPr>
          <w:bCs/>
          <w:u w:val="single"/>
        </w:rPr>
        <w:t>by Type</w:t>
      </w:r>
      <w:r w:rsidR="0070462D">
        <w:rPr>
          <w:bCs/>
          <w:u w:val="single"/>
        </w:rPr>
        <w:t>)</w:t>
      </w:r>
    </w:p>
    <w:p w14:paraId="5B95D525" w14:textId="77777777" w:rsidR="00717DCA" w:rsidRDefault="00717DCA" w:rsidP="003834D5">
      <w:pPr>
        <w:keepNext/>
        <w:outlineLvl w:val="0"/>
        <w:rPr>
          <w:bCs/>
        </w:rPr>
      </w:pPr>
    </w:p>
    <w:p w14:paraId="1E1ED69E" w14:textId="77777777" w:rsidR="00717DCA" w:rsidRPr="00C01877" w:rsidRDefault="00717DCA" w:rsidP="003834D5">
      <w:pPr>
        <w:keepNext/>
        <w:outlineLvl w:val="0"/>
        <w:rPr>
          <w:bCs/>
        </w:rPr>
      </w:pPr>
      <w:r w:rsidRPr="00717DCA">
        <w:rPr>
          <w:noProof/>
        </w:rPr>
        <w:drawing>
          <wp:inline distT="0" distB="0" distL="0" distR="0" wp14:anchorId="693CF3D8" wp14:editId="62638F6A">
            <wp:extent cx="6572250" cy="42490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3913" cy="4256610"/>
                    </a:xfrm>
                    <a:prstGeom prst="rect">
                      <a:avLst/>
                    </a:prstGeom>
                    <a:noFill/>
                    <a:ln>
                      <a:noFill/>
                    </a:ln>
                  </pic:spPr>
                </pic:pic>
              </a:graphicData>
            </a:graphic>
          </wp:inline>
        </w:drawing>
      </w:r>
    </w:p>
    <w:p w14:paraId="201C2DA3" w14:textId="77777777" w:rsidR="004141F1" w:rsidRDefault="004141F1" w:rsidP="003834D5">
      <w:pPr>
        <w:keepNext/>
        <w:outlineLvl w:val="0"/>
        <w:rPr>
          <w:bCs/>
          <w:color w:val="00B050"/>
        </w:rPr>
      </w:pPr>
    </w:p>
    <w:p w14:paraId="4745D9B5" w14:textId="77777777" w:rsidR="00D93EE7" w:rsidRDefault="006846DD" w:rsidP="00960306">
      <w:pPr>
        <w:keepNext/>
        <w:jc w:val="both"/>
        <w:outlineLvl w:val="0"/>
        <w:rPr>
          <w:bCs/>
        </w:rPr>
      </w:pPr>
      <w:r>
        <w:rPr>
          <w:bCs/>
        </w:rPr>
        <w:t>O</w:t>
      </w:r>
      <w:r w:rsidR="00090B61" w:rsidRPr="00EA3D1F">
        <w:rPr>
          <w:bCs/>
        </w:rPr>
        <w:t xml:space="preserve">pposition </w:t>
      </w:r>
      <w:r w:rsidR="0021798B" w:rsidRPr="00EA3D1F">
        <w:rPr>
          <w:bCs/>
        </w:rPr>
        <w:t xml:space="preserve">and abstention </w:t>
      </w:r>
      <w:r w:rsidR="00F408E6">
        <w:rPr>
          <w:bCs/>
        </w:rPr>
        <w:t xml:space="preserve">were </w:t>
      </w:r>
      <w:r w:rsidR="00123EF5" w:rsidRPr="00EA3D1F">
        <w:rPr>
          <w:bCs/>
        </w:rPr>
        <w:t xml:space="preserve">primarily focussed on proposals </w:t>
      </w:r>
      <w:r>
        <w:rPr>
          <w:bCs/>
        </w:rPr>
        <w:t>relating</w:t>
      </w:r>
      <w:r w:rsidR="008E5574" w:rsidRPr="00EA3D1F">
        <w:rPr>
          <w:bCs/>
        </w:rPr>
        <w:t xml:space="preserve"> to the</w:t>
      </w:r>
      <w:r w:rsidR="00123EF5" w:rsidRPr="00EA3D1F">
        <w:rPr>
          <w:bCs/>
        </w:rPr>
        <w:t xml:space="preserve"> appointment of directors and auditors (reflecting concerns about </w:t>
      </w:r>
      <w:r w:rsidR="003F2898">
        <w:rPr>
          <w:bCs/>
        </w:rPr>
        <w:t>Board diversity</w:t>
      </w:r>
      <w:r w:rsidR="003F2898" w:rsidRPr="00EA3D1F">
        <w:rPr>
          <w:bCs/>
        </w:rPr>
        <w:t xml:space="preserve"> </w:t>
      </w:r>
      <w:r w:rsidR="003F2898">
        <w:rPr>
          <w:bCs/>
        </w:rPr>
        <w:t xml:space="preserve">and the </w:t>
      </w:r>
      <w:r w:rsidR="00123EF5" w:rsidRPr="00EA3D1F">
        <w:rPr>
          <w:bCs/>
        </w:rPr>
        <w:t>independence</w:t>
      </w:r>
      <w:r w:rsidR="00B85080">
        <w:rPr>
          <w:bCs/>
        </w:rPr>
        <w:t xml:space="preserve"> </w:t>
      </w:r>
      <w:r>
        <w:rPr>
          <w:bCs/>
        </w:rPr>
        <w:t xml:space="preserve">and effectiveness </w:t>
      </w:r>
      <w:r w:rsidR="003F2898">
        <w:rPr>
          <w:bCs/>
        </w:rPr>
        <w:t>of nominees</w:t>
      </w:r>
      <w:r w:rsidR="00123EF5" w:rsidRPr="00EA3D1F">
        <w:rPr>
          <w:bCs/>
        </w:rPr>
        <w:t xml:space="preserve">) and </w:t>
      </w:r>
      <w:r w:rsidR="001312DE">
        <w:rPr>
          <w:bCs/>
        </w:rPr>
        <w:t xml:space="preserve">on </w:t>
      </w:r>
      <w:r w:rsidR="00837234" w:rsidRPr="00EA3D1F">
        <w:rPr>
          <w:bCs/>
        </w:rPr>
        <w:t xml:space="preserve">issues </w:t>
      </w:r>
      <w:r w:rsidR="00B729E0" w:rsidRPr="00EA3D1F">
        <w:rPr>
          <w:bCs/>
        </w:rPr>
        <w:t>of pay and remuneration.</w:t>
      </w:r>
      <w:r w:rsidR="00EA3D1F" w:rsidRPr="00EA3D1F">
        <w:rPr>
          <w:bCs/>
        </w:rPr>
        <w:t xml:space="preserve"> </w:t>
      </w:r>
    </w:p>
    <w:p w14:paraId="1403A736" w14:textId="77777777" w:rsidR="0070462D" w:rsidRDefault="0070462D" w:rsidP="00960306">
      <w:pPr>
        <w:keepNext/>
        <w:jc w:val="both"/>
        <w:outlineLvl w:val="0"/>
        <w:rPr>
          <w:bCs/>
          <w:color w:val="000000" w:themeColor="text1"/>
        </w:rPr>
      </w:pPr>
    </w:p>
    <w:p w14:paraId="6B328E11" w14:textId="29CEE389" w:rsidR="0070462D" w:rsidRDefault="00542B22" w:rsidP="00960306">
      <w:pPr>
        <w:keepNext/>
        <w:jc w:val="both"/>
        <w:outlineLvl w:val="0"/>
        <w:rPr>
          <w:bCs/>
          <w:color w:val="000000" w:themeColor="text1"/>
        </w:rPr>
      </w:pPr>
      <w:r>
        <w:rPr>
          <w:bCs/>
          <w:color w:val="000000" w:themeColor="text1"/>
        </w:rPr>
        <w:t xml:space="preserve">In the US &amp; Canada, </w:t>
      </w:r>
      <w:r w:rsidR="00B729E0">
        <w:rPr>
          <w:bCs/>
          <w:color w:val="000000" w:themeColor="text1"/>
        </w:rPr>
        <w:t xml:space="preserve">120 </w:t>
      </w:r>
      <w:r w:rsidR="0070462D">
        <w:rPr>
          <w:bCs/>
          <w:color w:val="000000" w:themeColor="text1"/>
        </w:rPr>
        <w:t>votes</w:t>
      </w:r>
      <w:r w:rsidR="00B729E0">
        <w:rPr>
          <w:bCs/>
          <w:color w:val="000000" w:themeColor="text1"/>
        </w:rPr>
        <w:t xml:space="preserve"> out of 1,526 (8%) related to</w:t>
      </w:r>
      <w:r w:rsidR="00B729E0" w:rsidRPr="00B729E0">
        <w:rPr>
          <w:bCs/>
          <w:color w:val="000000" w:themeColor="text1"/>
        </w:rPr>
        <w:t xml:space="preserve"> </w:t>
      </w:r>
      <w:r w:rsidR="00B729E0">
        <w:rPr>
          <w:bCs/>
          <w:color w:val="000000" w:themeColor="text1"/>
        </w:rPr>
        <w:t>resolutions</w:t>
      </w:r>
      <w:r w:rsidR="00B729E0" w:rsidRPr="00B729E0">
        <w:rPr>
          <w:bCs/>
          <w:color w:val="000000" w:themeColor="text1"/>
        </w:rPr>
        <w:t xml:space="preserve"> </w:t>
      </w:r>
      <w:r w:rsidR="00B729E0">
        <w:rPr>
          <w:bCs/>
          <w:color w:val="000000" w:themeColor="text1"/>
        </w:rPr>
        <w:t>brought by shareholders</w:t>
      </w:r>
      <w:r w:rsidR="00F408E6">
        <w:rPr>
          <w:bCs/>
          <w:color w:val="000000" w:themeColor="text1"/>
        </w:rPr>
        <w:t xml:space="preserve">; </w:t>
      </w:r>
      <w:r w:rsidR="00B729E0">
        <w:rPr>
          <w:bCs/>
          <w:color w:val="000000" w:themeColor="text1"/>
        </w:rPr>
        <w:t>the F</w:t>
      </w:r>
      <w:r w:rsidR="005B71D7">
        <w:rPr>
          <w:bCs/>
          <w:color w:val="000000" w:themeColor="text1"/>
        </w:rPr>
        <w:t>und supported 84</w:t>
      </w:r>
      <w:r w:rsidR="00123EF5">
        <w:rPr>
          <w:bCs/>
          <w:color w:val="000000" w:themeColor="text1"/>
        </w:rPr>
        <w:t xml:space="preserve"> </w:t>
      </w:r>
      <w:r w:rsidR="005B71D7">
        <w:rPr>
          <w:bCs/>
          <w:color w:val="000000" w:themeColor="text1"/>
        </w:rPr>
        <w:t xml:space="preserve">(70%) of </w:t>
      </w:r>
      <w:r w:rsidR="00B729E0">
        <w:rPr>
          <w:bCs/>
          <w:color w:val="000000" w:themeColor="text1"/>
        </w:rPr>
        <w:t>these.</w:t>
      </w:r>
      <w:r w:rsidR="00107920">
        <w:rPr>
          <w:bCs/>
          <w:color w:val="000000" w:themeColor="text1"/>
        </w:rPr>
        <w:t xml:space="preserve"> </w:t>
      </w:r>
      <w:r w:rsidR="00366B23">
        <w:rPr>
          <w:bCs/>
          <w:color w:val="000000" w:themeColor="text1"/>
        </w:rPr>
        <w:t>There were n</w:t>
      </w:r>
      <w:r w:rsidR="00EA3D1F">
        <w:rPr>
          <w:bCs/>
          <w:color w:val="000000" w:themeColor="text1"/>
        </w:rPr>
        <w:t xml:space="preserve">o shareholder </w:t>
      </w:r>
      <w:r w:rsidR="00366B23">
        <w:rPr>
          <w:bCs/>
          <w:color w:val="000000" w:themeColor="text1"/>
        </w:rPr>
        <w:t xml:space="preserve">resolutions </w:t>
      </w:r>
      <w:r w:rsidR="0070462D">
        <w:rPr>
          <w:bCs/>
          <w:color w:val="000000" w:themeColor="text1"/>
        </w:rPr>
        <w:t xml:space="preserve">at the 17 UK </w:t>
      </w:r>
      <w:r w:rsidR="00EA3D1F">
        <w:rPr>
          <w:bCs/>
          <w:color w:val="000000" w:themeColor="text1"/>
        </w:rPr>
        <w:t>compan</w:t>
      </w:r>
      <w:r w:rsidR="0070462D">
        <w:rPr>
          <w:bCs/>
          <w:color w:val="000000" w:themeColor="text1"/>
        </w:rPr>
        <w:t xml:space="preserve">y meetings voted within </w:t>
      </w:r>
      <w:r w:rsidR="000870F1">
        <w:rPr>
          <w:bCs/>
          <w:color w:val="000000" w:themeColor="text1"/>
        </w:rPr>
        <w:t>the period</w:t>
      </w:r>
      <w:r w:rsidR="0070462D">
        <w:rPr>
          <w:bCs/>
          <w:color w:val="000000" w:themeColor="text1"/>
        </w:rPr>
        <w:t>.</w:t>
      </w:r>
    </w:p>
    <w:p w14:paraId="0D811F02" w14:textId="77777777" w:rsidR="00123EF5" w:rsidRDefault="00EA3D1F" w:rsidP="00960306">
      <w:pPr>
        <w:keepNext/>
        <w:jc w:val="both"/>
        <w:outlineLvl w:val="0"/>
        <w:rPr>
          <w:bCs/>
          <w:color w:val="000000" w:themeColor="text1"/>
        </w:rPr>
      </w:pPr>
      <w:r>
        <w:rPr>
          <w:bCs/>
          <w:color w:val="000000" w:themeColor="text1"/>
        </w:rPr>
        <w:t xml:space="preserve">  </w:t>
      </w:r>
    </w:p>
    <w:p w14:paraId="2D8F5AE2" w14:textId="7E2FB068" w:rsidR="00430F9B" w:rsidRDefault="006846DD" w:rsidP="00960306">
      <w:pPr>
        <w:keepNext/>
        <w:jc w:val="both"/>
        <w:outlineLvl w:val="0"/>
        <w:rPr>
          <w:bCs/>
        </w:rPr>
      </w:pPr>
      <w:r>
        <w:rPr>
          <w:bCs/>
        </w:rPr>
        <w:t>B</w:t>
      </w:r>
      <w:r w:rsidR="003F2898">
        <w:rPr>
          <w:bCs/>
        </w:rPr>
        <w:t xml:space="preserve">y including </w:t>
      </w:r>
      <w:r w:rsidR="00564CA2">
        <w:rPr>
          <w:bCs/>
        </w:rPr>
        <w:t xml:space="preserve">voting </w:t>
      </w:r>
      <w:r w:rsidR="003F2898">
        <w:rPr>
          <w:bCs/>
        </w:rPr>
        <w:t xml:space="preserve">results </w:t>
      </w:r>
      <w:r w:rsidR="00564CA2">
        <w:rPr>
          <w:bCs/>
        </w:rPr>
        <w:t>(</w:t>
      </w:r>
      <w:r w:rsidR="00096EE8">
        <w:rPr>
          <w:bCs/>
        </w:rPr>
        <w:t>where they</w:t>
      </w:r>
      <w:r w:rsidR="003F2898">
        <w:rPr>
          <w:bCs/>
        </w:rPr>
        <w:t xml:space="preserve"> are know</w:t>
      </w:r>
      <w:r w:rsidR="00564CA2">
        <w:rPr>
          <w:bCs/>
        </w:rPr>
        <w:t>n)</w:t>
      </w:r>
      <w:r w:rsidRPr="006846DD">
        <w:rPr>
          <w:bCs/>
        </w:rPr>
        <w:t xml:space="preserve"> </w:t>
      </w:r>
      <w:r w:rsidRPr="00706DBC">
        <w:rPr>
          <w:bCs/>
        </w:rPr>
        <w:t xml:space="preserve">PIRC reports </w:t>
      </w:r>
      <w:r w:rsidR="00366B23">
        <w:rPr>
          <w:bCs/>
        </w:rPr>
        <w:t xml:space="preserve">provide insight into </w:t>
      </w:r>
      <w:r>
        <w:rPr>
          <w:bCs/>
        </w:rPr>
        <w:t xml:space="preserve">the extent to </w:t>
      </w:r>
      <w:r w:rsidRPr="00706DBC">
        <w:rPr>
          <w:bCs/>
        </w:rPr>
        <w:t xml:space="preserve">which </w:t>
      </w:r>
      <w:r>
        <w:rPr>
          <w:bCs/>
        </w:rPr>
        <w:t xml:space="preserve">opposition </w:t>
      </w:r>
      <w:r w:rsidR="00943992">
        <w:rPr>
          <w:bCs/>
        </w:rPr>
        <w:t xml:space="preserve">voting </w:t>
      </w:r>
      <w:r>
        <w:rPr>
          <w:bCs/>
        </w:rPr>
        <w:t xml:space="preserve">was </w:t>
      </w:r>
      <w:r w:rsidR="00564CA2">
        <w:rPr>
          <w:bCs/>
        </w:rPr>
        <w:t>significant</w:t>
      </w:r>
      <w:r w:rsidR="003F2898">
        <w:rPr>
          <w:bCs/>
        </w:rPr>
        <w:t>. I</w:t>
      </w:r>
      <w:r w:rsidR="00430F9B">
        <w:rPr>
          <w:bCs/>
        </w:rPr>
        <w:t xml:space="preserve">t is rare to see a level of opposition above 30% on company </w:t>
      </w:r>
      <w:r w:rsidR="003F2898">
        <w:rPr>
          <w:bCs/>
        </w:rPr>
        <w:t>resolution</w:t>
      </w:r>
      <w:r w:rsidR="00D93EE7">
        <w:rPr>
          <w:bCs/>
        </w:rPr>
        <w:t>s</w:t>
      </w:r>
      <w:r w:rsidR="00430F9B">
        <w:rPr>
          <w:bCs/>
        </w:rPr>
        <w:t xml:space="preserve"> and t</w:t>
      </w:r>
      <w:r w:rsidR="00332602">
        <w:rPr>
          <w:bCs/>
        </w:rPr>
        <w:t>he vast majority pass with a high proportion of support</w:t>
      </w:r>
      <w:r w:rsidR="00430F9B">
        <w:rPr>
          <w:bCs/>
        </w:rPr>
        <w:t xml:space="preserve">. </w:t>
      </w:r>
      <w:r w:rsidR="00366B23">
        <w:rPr>
          <w:bCs/>
        </w:rPr>
        <w:t xml:space="preserve">This is reflected </w:t>
      </w:r>
      <w:r w:rsidR="00F408E6">
        <w:rPr>
          <w:bCs/>
        </w:rPr>
        <w:t>in</w:t>
      </w:r>
      <w:r w:rsidR="00366B23">
        <w:rPr>
          <w:bCs/>
        </w:rPr>
        <w:t xml:space="preserve"> the fact that </w:t>
      </w:r>
      <w:r w:rsidR="00430F9B">
        <w:rPr>
          <w:bCs/>
        </w:rPr>
        <w:t>PIRC class</w:t>
      </w:r>
      <w:r w:rsidR="00B85080">
        <w:rPr>
          <w:bCs/>
        </w:rPr>
        <w:t xml:space="preserve"> a </w:t>
      </w:r>
      <w:r w:rsidR="00FD2CCA">
        <w:rPr>
          <w:bCs/>
        </w:rPr>
        <w:t xml:space="preserve">"significant" </w:t>
      </w:r>
      <w:r w:rsidR="00106CF6">
        <w:rPr>
          <w:bCs/>
        </w:rPr>
        <w:t xml:space="preserve">oppose </w:t>
      </w:r>
      <w:r w:rsidR="00BD712B">
        <w:rPr>
          <w:bCs/>
        </w:rPr>
        <w:t xml:space="preserve">vote </w:t>
      </w:r>
      <w:r w:rsidR="00430F9B">
        <w:rPr>
          <w:bCs/>
        </w:rPr>
        <w:t xml:space="preserve">as any </w:t>
      </w:r>
      <w:r w:rsidR="00107920">
        <w:rPr>
          <w:bCs/>
        </w:rPr>
        <w:t>in which</w:t>
      </w:r>
      <w:r w:rsidR="00FD2CCA">
        <w:rPr>
          <w:bCs/>
        </w:rPr>
        <w:t xml:space="preserve"> </w:t>
      </w:r>
      <w:r w:rsidR="003F2898">
        <w:rPr>
          <w:bCs/>
        </w:rPr>
        <w:t>a resolution received</w:t>
      </w:r>
      <w:r w:rsidR="00430F9B">
        <w:rPr>
          <w:bCs/>
        </w:rPr>
        <w:t xml:space="preserve"> </w:t>
      </w:r>
      <w:r w:rsidR="00107920">
        <w:rPr>
          <w:bCs/>
        </w:rPr>
        <w:t xml:space="preserve">less than </w:t>
      </w:r>
      <w:r w:rsidR="00FD2CCA">
        <w:rPr>
          <w:bCs/>
        </w:rPr>
        <w:t xml:space="preserve">90% </w:t>
      </w:r>
      <w:r w:rsidR="00430F9B">
        <w:rPr>
          <w:bCs/>
        </w:rPr>
        <w:t>support</w:t>
      </w:r>
      <w:r w:rsidR="007449AB">
        <w:rPr>
          <w:bCs/>
        </w:rPr>
        <w:t xml:space="preserve">. </w:t>
      </w:r>
      <w:r w:rsidR="00564CA2">
        <w:rPr>
          <w:bCs/>
        </w:rPr>
        <w:t xml:space="preserve">Sections 2 and 3 of the </w:t>
      </w:r>
      <w:r w:rsidR="00ED4D00">
        <w:rPr>
          <w:bCs/>
        </w:rPr>
        <w:t xml:space="preserve">PIRC </w:t>
      </w:r>
      <w:r w:rsidR="00564CA2">
        <w:rPr>
          <w:bCs/>
        </w:rPr>
        <w:t xml:space="preserve">report </w:t>
      </w:r>
      <w:r w:rsidR="00D93EE7">
        <w:rPr>
          <w:bCs/>
        </w:rPr>
        <w:t>give</w:t>
      </w:r>
      <w:r w:rsidR="00564CA2">
        <w:rPr>
          <w:bCs/>
        </w:rPr>
        <w:t xml:space="preserve"> detailed information </w:t>
      </w:r>
      <w:r w:rsidR="00366B23">
        <w:rPr>
          <w:bCs/>
        </w:rPr>
        <w:t>on</w:t>
      </w:r>
      <w:r w:rsidR="00564CA2">
        <w:rPr>
          <w:bCs/>
        </w:rPr>
        <w:t xml:space="preserve"> the </w:t>
      </w:r>
      <w:r w:rsidR="00366B23">
        <w:rPr>
          <w:bCs/>
        </w:rPr>
        <w:t>issues which triggered</w:t>
      </w:r>
      <w:r w:rsidR="00564CA2">
        <w:rPr>
          <w:bCs/>
        </w:rPr>
        <w:t xml:space="preserve"> </w:t>
      </w:r>
      <w:r w:rsidR="00D93EE7">
        <w:rPr>
          <w:bCs/>
        </w:rPr>
        <w:t>notable opposition</w:t>
      </w:r>
      <w:r w:rsidR="00564CA2">
        <w:rPr>
          <w:bCs/>
        </w:rPr>
        <w:t xml:space="preserve"> </w:t>
      </w:r>
      <w:r w:rsidR="00366B23">
        <w:rPr>
          <w:bCs/>
        </w:rPr>
        <w:t xml:space="preserve">and the rationale </w:t>
      </w:r>
      <w:r w:rsidR="00D93EE7">
        <w:rPr>
          <w:bCs/>
        </w:rPr>
        <w:t xml:space="preserve">for </w:t>
      </w:r>
      <w:r w:rsidR="00366B23">
        <w:rPr>
          <w:bCs/>
        </w:rPr>
        <w:t>opposition or abstention</w:t>
      </w:r>
      <w:r w:rsidR="00D93EE7">
        <w:rPr>
          <w:bCs/>
        </w:rPr>
        <w:t xml:space="preserve"> in each case</w:t>
      </w:r>
      <w:r w:rsidR="00564CA2">
        <w:rPr>
          <w:bCs/>
        </w:rPr>
        <w:t>.</w:t>
      </w:r>
      <w:r w:rsidR="00F408E6">
        <w:rPr>
          <w:bCs/>
        </w:rPr>
        <w:t xml:space="preserve"> </w:t>
      </w:r>
    </w:p>
    <w:p w14:paraId="6F9E4AB1" w14:textId="77777777" w:rsidR="003F2898" w:rsidRDefault="003F2898" w:rsidP="00960306">
      <w:pPr>
        <w:keepNext/>
        <w:jc w:val="both"/>
        <w:outlineLvl w:val="0"/>
        <w:rPr>
          <w:bCs/>
        </w:rPr>
      </w:pPr>
    </w:p>
    <w:p w14:paraId="282D68AC" w14:textId="026A641E" w:rsidR="00ED4D00" w:rsidRDefault="00564CA2" w:rsidP="00960306">
      <w:pPr>
        <w:keepNext/>
        <w:jc w:val="both"/>
        <w:outlineLvl w:val="0"/>
        <w:rPr>
          <w:bCs/>
        </w:rPr>
      </w:pPr>
      <w:r>
        <w:rPr>
          <w:bCs/>
        </w:rPr>
        <w:t>T</w:t>
      </w:r>
      <w:r w:rsidR="00106CF6">
        <w:rPr>
          <w:bCs/>
        </w:rPr>
        <w:t xml:space="preserve">he fact that </w:t>
      </w:r>
      <w:r w:rsidR="00C07A59">
        <w:rPr>
          <w:bCs/>
        </w:rPr>
        <w:t xml:space="preserve">opposition/abstention </w:t>
      </w:r>
      <w:r>
        <w:rPr>
          <w:bCs/>
        </w:rPr>
        <w:t>rarely</w:t>
      </w:r>
      <w:r w:rsidR="00C07A59">
        <w:rPr>
          <w:bCs/>
        </w:rPr>
        <w:t xml:space="preserve"> </w:t>
      </w:r>
      <w:r w:rsidR="00C014E1">
        <w:rPr>
          <w:bCs/>
        </w:rPr>
        <w:t>achieve</w:t>
      </w:r>
      <w:r w:rsidR="00430F9B">
        <w:rPr>
          <w:bCs/>
        </w:rPr>
        <w:t xml:space="preserve"> </w:t>
      </w:r>
      <w:r w:rsidR="00366B23">
        <w:rPr>
          <w:bCs/>
        </w:rPr>
        <w:t>the</w:t>
      </w:r>
      <w:r w:rsidR="00430F9B">
        <w:rPr>
          <w:bCs/>
        </w:rPr>
        <w:t xml:space="preserve"> critical</w:t>
      </w:r>
      <w:r w:rsidR="001312DE">
        <w:rPr>
          <w:bCs/>
        </w:rPr>
        <w:t xml:space="preserve"> </w:t>
      </w:r>
      <w:r w:rsidR="00430F9B">
        <w:rPr>
          <w:bCs/>
        </w:rPr>
        <w:t xml:space="preserve">mass </w:t>
      </w:r>
      <w:r w:rsidR="00366B23">
        <w:rPr>
          <w:bCs/>
        </w:rPr>
        <w:t>needed</w:t>
      </w:r>
      <w:r w:rsidR="001312DE">
        <w:rPr>
          <w:bCs/>
        </w:rPr>
        <w:t xml:space="preserve"> to </w:t>
      </w:r>
      <w:r w:rsidR="00C07A59">
        <w:rPr>
          <w:bCs/>
        </w:rPr>
        <w:t>defeat</w:t>
      </w:r>
      <w:r w:rsidR="001312DE">
        <w:rPr>
          <w:bCs/>
        </w:rPr>
        <w:t xml:space="preserve"> </w:t>
      </w:r>
      <w:r w:rsidR="00C014E1">
        <w:rPr>
          <w:bCs/>
        </w:rPr>
        <w:t>company</w:t>
      </w:r>
      <w:r w:rsidR="00430F9B">
        <w:rPr>
          <w:bCs/>
        </w:rPr>
        <w:t xml:space="preserve"> </w:t>
      </w:r>
      <w:r w:rsidR="00C07A59">
        <w:rPr>
          <w:bCs/>
        </w:rPr>
        <w:t>proposal</w:t>
      </w:r>
      <w:r w:rsidR="00C014E1">
        <w:rPr>
          <w:bCs/>
        </w:rPr>
        <w:t>s</w:t>
      </w:r>
      <w:r w:rsidRPr="00564CA2">
        <w:rPr>
          <w:bCs/>
        </w:rPr>
        <w:t xml:space="preserve"> </w:t>
      </w:r>
      <w:r w:rsidR="00366B23">
        <w:rPr>
          <w:bCs/>
        </w:rPr>
        <w:t>doesn'</w:t>
      </w:r>
      <w:r>
        <w:rPr>
          <w:bCs/>
        </w:rPr>
        <w:t xml:space="preserve">t diminish the importance of consistent </w:t>
      </w:r>
      <w:r w:rsidR="00366B23">
        <w:rPr>
          <w:bCs/>
        </w:rPr>
        <w:t xml:space="preserve">and principled </w:t>
      </w:r>
      <w:r>
        <w:rPr>
          <w:bCs/>
        </w:rPr>
        <w:t>voting</w:t>
      </w:r>
      <w:r w:rsidR="002905C2">
        <w:rPr>
          <w:bCs/>
        </w:rPr>
        <w:t xml:space="preserve"> behaviour</w:t>
      </w:r>
      <w:r w:rsidR="007449AB">
        <w:rPr>
          <w:bCs/>
        </w:rPr>
        <w:t xml:space="preserve">. </w:t>
      </w:r>
      <w:r w:rsidR="00332602">
        <w:rPr>
          <w:bCs/>
        </w:rPr>
        <w:t>With</w:t>
      </w:r>
      <w:r w:rsidR="00C07A59">
        <w:rPr>
          <w:bCs/>
        </w:rPr>
        <w:t>-h</w:t>
      </w:r>
      <w:r w:rsidR="00332602">
        <w:rPr>
          <w:bCs/>
        </w:rPr>
        <w:t xml:space="preserve">olding support </w:t>
      </w:r>
      <w:r w:rsidR="00943992">
        <w:rPr>
          <w:bCs/>
        </w:rPr>
        <w:t xml:space="preserve">gives a clear </w:t>
      </w:r>
      <w:r>
        <w:rPr>
          <w:bCs/>
        </w:rPr>
        <w:t xml:space="preserve">signal </w:t>
      </w:r>
      <w:r w:rsidR="003F2898">
        <w:rPr>
          <w:bCs/>
        </w:rPr>
        <w:t xml:space="preserve">about </w:t>
      </w:r>
      <w:r w:rsidR="00943992">
        <w:rPr>
          <w:bCs/>
        </w:rPr>
        <w:t xml:space="preserve">the existence of </w:t>
      </w:r>
      <w:r w:rsidR="001312DE">
        <w:rPr>
          <w:bCs/>
        </w:rPr>
        <w:t xml:space="preserve">owner </w:t>
      </w:r>
      <w:r w:rsidR="00C07A59">
        <w:rPr>
          <w:bCs/>
        </w:rPr>
        <w:t>concern</w:t>
      </w:r>
      <w:r w:rsidR="00C014E1">
        <w:rPr>
          <w:bCs/>
        </w:rPr>
        <w:t xml:space="preserve">s </w:t>
      </w:r>
      <w:r w:rsidR="00366B23">
        <w:rPr>
          <w:bCs/>
        </w:rPr>
        <w:t xml:space="preserve">and these can be a trigger </w:t>
      </w:r>
      <w:r w:rsidR="00F62327">
        <w:rPr>
          <w:bCs/>
        </w:rPr>
        <w:t xml:space="preserve">and </w:t>
      </w:r>
      <w:r w:rsidR="00332602">
        <w:rPr>
          <w:bCs/>
        </w:rPr>
        <w:t xml:space="preserve">pre-cursor </w:t>
      </w:r>
      <w:r w:rsidR="00C07A59">
        <w:rPr>
          <w:bCs/>
        </w:rPr>
        <w:t>for</w:t>
      </w:r>
      <w:r w:rsidR="00332602">
        <w:rPr>
          <w:bCs/>
        </w:rPr>
        <w:t xml:space="preserve"> more detailed </w:t>
      </w:r>
      <w:r w:rsidR="00D93EE7">
        <w:rPr>
          <w:bCs/>
        </w:rPr>
        <w:t xml:space="preserve">discussions with investee companies </w:t>
      </w:r>
      <w:r w:rsidR="00F62327">
        <w:rPr>
          <w:bCs/>
        </w:rPr>
        <w:t>as part of the Fund's</w:t>
      </w:r>
      <w:r w:rsidR="00D93EE7">
        <w:rPr>
          <w:bCs/>
        </w:rPr>
        <w:t xml:space="preserve"> engagement activities</w:t>
      </w:r>
      <w:r w:rsidR="00C342E3">
        <w:rPr>
          <w:bCs/>
        </w:rPr>
        <w:t>.</w:t>
      </w:r>
      <w:r w:rsidR="00F62327">
        <w:rPr>
          <w:bCs/>
        </w:rPr>
        <w:t xml:space="preserve"> </w:t>
      </w:r>
    </w:p>
    <w:p w14:paraId="5ACDD014" w14:textId="12782A81" w:rsidR="00BF39FB" w:rsidRPr="00ED4D00" w:rsidRDefault="00ED4D00" w:rsidP="00ED4D00">
      <w:pPr>
        <w:rPr>
          <w:bCs/>
        </w:rPr>
      </w:pPr>
      <w:r>
        <w:rPr>
          <w:bCs/>
        </w:rPr>
        <w:br w:type="page"/>
      </w:r>
    </w:p>
    <w:p w14:paraId="0560D0A1" w14:textId="3C00D1E2" w:rsidR="00962494" w:rsidRPr="007449AB" w:rsidRDefault="0016562E" w:rsidP="007449AB">
      <w:pPr>
        <w:pStyle w:val="ListParagraph"/>
        <w:numPr>
          <w:ilvl w:val="0"/>
          <w:numId w:val="22"/>
        </w:numPr>
        <w:rPr>
          <w:bCs/>
          <w:color w:val="00B050"/>
        </w:rPr>
      </w:pPr>
      <w:r w:rsidRPr="007449AB">
        <w:rPr>
          <w:b/>
          <w:color w:val="000000" w:themeColor="text1"/>
        </w:rPr>
        <w:lastRenderedPageBreak/>
        <w:t>Engagement through Partnerships</w:t>
      </w:r>
      <w:r w:rsidR="00962494" w:rsidRPr="007449AB">
        <w:rPr>
          <w:bCs/>
          <w:color w:val="00B050"/>
        </w:rPr>
        <w:t xml:space="preserve"> </w:t>
      </w:r>
    </w:p>
    <w:p w14:paraId="6E305C78" w14:textId="77777777" w:rsidR="00D97286" w:rsidRDefault="00D97286" w:rsidP="00962494">
      <w:pPr>
        <w:rPr>
          <w:bCs/>
          <w:color w:val="000000" w:themeColor="text1"/>
        </w:rPr>
      </w:pPr>
    </w:p>
    <w:p w14:paraId="50585956" w14:textId="6421276D" w:rsidR="00C04706" w:rsidRDefault="00C04706" w:rsidP="007449AB">
      <w:pPr>
        <w:jc w:val="both"/>
        <w:rPr>
          <w:bCs/>
          <w:color w:val="000000" w:themeColor="text1"/>
        </w:rPr>
      </w:pPr>
      <w:r>
        <w:rPr>
          <w:bCs/>
          <w:color w:val="000000" w:themeColor="text1"/>
        </w:rPr>
        <w:t xml:space="preserve">The Fund's </w:t>
      </w:r>
      <w:r w:rsidR="00896882">
        <w:rPr>
          <w:bCs/>
          <w:color w:val="000000" w:themeColor="text1"/>
        </w:rPr>
        <w:t>engage</w:t>
      </w:r>
      <w:r w:rsidR="00C6463B">
        <w:rPr>
          <w:bCs/>
          <w:color w:val="000000" w:themeColor="text1"/>
        </w:rPr>
        <w:t>ment</w:t>
      </w:r>
      <w:r w:rsidR="00896882">
        <w:rPr>
          <w:bCs/>
          <w:color w:val="000000" w:themeColor="text1"/>
        </w:rPr>
        <w:t xml:space="preserve"> </w:t>
      </w:r>
      <w:r w:rsidR="009F0400">
        <w:rPr>
          <w:bCs/>
          <w:color w:val="000000" w:themeColor="text1"/>
        </w:rPr>
        <w:t>activities</w:t>
      </w:r>
      <w:r w:rsidR="00C6463B">
        <w:rPr>
          <w:bCs/>
          <w:color w:val="000000" w:themeColor="text1"/>
        </w:rPr>
        <w:t xml:space="preserve"> </w:t>
      </w:r>
      <w:r w:rsidR="00C342E3">
        <w:rPr>
          <w:bCs/>
          <w:color w:val="000000" w:themeColor="text1"/>
        </w:rPr>
        <w:t>operate</w:t>
      </w:r>
      <w:r w:rsidR="00D93EE7">
        <w:rPr>
          <w:bCs/>
          <w:color w:val="000000" w:themeColor="text1"/>
        </w:rPr>
        <w:t xml:space="preserve"> through</w:t>
      </w:r>
      <w:r w:rsidR="00AE4258">
        <w:rPr>
          <w:bCs/>
          <w:color w:val="000000" w:themeColor="text1"/>
        </w:rPr>
        <w:t xml:space="preserve"> </w:t>
      </w:r>
      <w:r w:rsidR="00C342E3">
        <w:rPr>
          <w:bCs/>
          <w:color w:val="000000" w:themeColor="text1"/>
        </w:rPr>
        <w:t>direct relationships formed between investee companies and Fund Managers</w:t>
      </w:r>
      <w:r w:rsidR="00FD2D84">
        <w:rPr>
          <w:bCs/>
          <w:color w:val="000000" w:themeColor="text1"/>
        </w:rPr>
        <w:t>/Investment Managers</w:t>
      </w:r>
      <w:r w:rsidR="00C342E3">
        <w:rPr>
          <w:bCs/>
          <w:color w:val="000000" w:themeColor="text1"/>
        </w:rPr>
        <w:t xml:space="preserve"> and via </w:t>
      </w:r>
      <w:r w:rsidR="00617C18">
        <w:rPr>
          <w:bCs/>
          <w:color w:val="000000" w:themeColor="text1"/>
        </w:rPr>
        <w:t xml:space="preserve">LCPF's </w:t>
      </w:r>
      <w:r w:rsidR="00C342E3">
        <w:rPr>
          <w:bCs/>
          <w:color w:val="000000" w:themeColor="text1"/>
        </w:rPr>
        <w:t xml:space="preserve">participation in </w:t>
      </w:r>
      <w:r w:rsidR="00AE4258">
        <w:rPr>
          <w:bCs/>
          <w:color w:val="000000" w:themeColor="text1"/>
        </w:rPr>
        <w:t>partnerships</w:t>
      </w:r>
      <w:r w:rsidR="00896882">
        <w:rPr>
          <w:bCs/>
          <w:color w:val="000000" w:themeColor="text1"/>
        </w:rPr>
        <w:t xml:space="preserve"> </w:t>
      </w:r>
      <w:r w:rsidR="002905C2">
        <w:rPr>
          <w:bCs/>
          <w:color w:val="000000" w:themeColor="text1"/>
        </w:rPr>
        <w:t xml:space="preserve">and collaborations </w:t>
      </w:r>
      <w:r w:rsidR="005353E9">
        <w:rPr>
          <w:bCs/>
          <w:color w:val="000000" w:themeColor="text1"/>
        </w:rPr>
        <w:t xml:space="preserve">which </w:t>
      </w:r>
      <w:r>
        <w:rPr>
          <w:bCs/>
          <w:color w:val="000000" w:themeColor="text1"/>
        </w:rPr>
        <w:t>offer</w:t>
      </w:r>
      <w:r w:rsidR="005353E9">
        <w:rPr>
          <w:bCs/>
          <w:color w:val="000000" w:themeColor="text1"/>
        </w:rPr>
        <w:t xml:space="preserve"> </w:t>
      </w:r>
      <w:r w:rsidR="00C342E3">
        <w:rPr>
          <w:bCs/>
          <w:color w:val="000000" w:themeColor="text1"/>
        </w:rPr>
        <w:t xml:space="preserve">greater </w:t>
      </w:r>
      <w:r w:rsidR="00FD2D84">
        <w:rPr>
          <w:bCs/>
          <w:color w:val="000000" w:themeColor="text1"/>
        </w:rPr>
        <w:t xml:space="preserve">reach </w:t>
      </w:r>
      <w:r w:rsidR="00C342E3">
        <w:rPr>
          <w:bCs/>
          <w:color w:val="000000" w:themeColor="text1"/>
        </w:rPr>
        <w:t>and</w:t>
      </w:r>
      <w:r w:rsidR="00AE4258">
        <w:rPr>
          <w:bCs/>
          <w:color w:val="000000" w:themeColor="text1"/>
        </w:rPr>
        <w:t xml:space="preserve"> </w:t>
      </w:r>
      <w:r w:rsidR="009F0400">
        <w:rPr>
          <w:bCs/>
          <w:color w:val="000000" w:themeColor="text1"/>
        </w:rPr>
        <w:t>impact</w:t>
      </w:r>
      <w:r w:rsidR="005642C5">
        <w:rPr>
          <w:bCs/>
          <w:color w:val="000000" w:themeColor="text1"/>
        </w:rPr>
        <w:t xml:space="preserve"> </w:t>
      </w:r>
      <w:r w:rsidR="00C342E3">
        <w:rPr>
          <w:bCs/>
          <w:color w:val="000000" w:themeColor="text1"/>
        </w:rPr>
        <w:t>than is achievable by acting alone.</w:t>
      </w:r>
      <w:r w:rsidR="005642C5">
        <w:rPr>
          <w:bCs/>
          <w:color w:val="000000" w:themeColor="text1"/>
        </w:rPr>
        <w:t xml:space="preserve"> </w:t>
      </w:r>
    </w:p>
    <w:p w14:paraId="686807E4" w14:textId="77777777" w:rsidR="00C71DBE" w:rsidRDefault="00C04706" w:rsidP="007449AB">
      <w:pPr>
        <w:jc w:val="both"/>
        <w:rPr>
          <w:bCs/>
          <w:color w:val="000000" w:themeColor="text1"/>
        </w:rPr>
      </w:pPr>
      <w:r>
        <w:rPr>
          <w:bCs/>
          <w:color w:val="000000" w:themeColor="text1"/>
        </w:rPr>
        <w:t xml:space="preserve"> </w:t>
      </w:r>
    </w:p>
    <w:p w14:paraId="2434642D" w14:textId="1DCD3825" w:rsidR="008A55A0" w:rsidRDefault="00BC59E9" w:rsidP="007449AB">
      <w:pPr>
        <w:jc w:val="both"/>
        <w:rPr>
          <w:bCs/>
          <w:color w:val="000000" w:themeColor="text1"/>
        </w:rPr>
      </w:pPr>
      <w:r>
        <w:rPr>
          <w:bCs/>
          <w:color w:val="000000" w:themeColor="text1"/>
        </w:rPr>
        <w:t xml:space="preserve">The Fund's principal </w:t>
      </w:r>
      <w:r w:rsidR="005642C5">
        <w:rPr>
          <w:bCs/>
          <w:color w:val="000000" w:themeColor="text1"/>
        </w:rPr>
        <w:t xml:space="preserve">collaboration </w:t>
      </w:r>
      <w:r w:rsidR="00D93EE7">
        <w:rPr>
          <w:bCs/>
          <w:color w:val="000000" w:themeColor="text1"/>
        </w:rPr>
        <w:t>with</w:t>
      </w:r>
      <w:r w:rsidR="005642C5">
        <w:rPr>
          <w:bCs/>
          <w:color w:val="000000" w:themeColor="text1"/>
        </w:rPr>
        <w:t xml:space="preserve">in the RI </w:t>
      </w:r>
      <w:r>
        <w:rPr>
          <w:bCs/>
          <w:color w:val="000000" w:themeColor="text1"/>
        </w:rPr>
        <w:t xml:space="preserve">work stream </w:t>
      </w:r>
      <w:r w:rsidR="005642C5">
        <w:rPr>
          <w:bCs/>
          <w:color w:val="000000" w:themeColor="text1"/>
        </w:rPr>
        <w:t xml:space="preserve">is its </w:t>
      </w:r>
      <w:r w:rsidR="00962494" w:rsidRPr="00C22C3A">
        <w:rPr>
          <w:bCs/>
          <w:color w:val="000000" w:themeColor="text1"/>
        </w:rPr>
        <w:t>member</w:t>
      </w:r>
      <w:r w:rsidR="005642C5">
        <w:rPr>
          <w:bCs/>
          <w:color w:val="000000" w:themeColor="text1"/>
        </w:rPr>
        <w:t>ship</w:t>
      </w:r>
      <w:r w:rsidR="00962494" w:rsidRPr="00C22C3A">
        <w:rPr>
          <w:bCs/>
          <w:color w:val="000000" w:themeColor="text1"/>
        </w:rPr>
        <w:t xml:space="preserve"> of </w:t>
      </w:r>
      <w:r w:rsidR="005353E9">
        <w:rPr>
          <w:bCs/>
          <w:color w:val="000000" w:themeColor="text1"/>
        </w:rPr>
        <w:t xml:space="preserve">the </w:t>
      </w:r>
      <w:r w:rsidR="00171DB5" w:rsidRPr="00C22C3A">
        <w:rPr>
          <w:bCs/>
          <w:color w:val="000000" w:themeColor="text1"/>
        </w:rPr>
        <w:t>Local Autho</w:t>
      </w:r>
      <w:r w:rsidR="00330D43" w:rsidRPr="00C22C3A">
        <w:rPr>
          <w:bCs/>
          <w:color w:val="000000" w:themeColor="text1"/>
        </w:rPr>
        <w:t>rity Pension Fund Forum (LAPFF)</w:t>
      </w:r>
      <w:r>
        <w:rPr>
          <w:bCs/>
          <w:color w:val="000000" w:themeColor="text1"/>
        </w:rPr>
        <w:t xml:space="preserve">. LAPFF </w:t>
      </w:r>
      <w:r w:rsidR="00171DB5" w:rsidRPr="00C22C3A">
        <w:rPr>
          <w:bCs/>
          <w:color w:val="000000" w:themeColor="text1"/>
        </w:rPr>
        <w:t>exists to promote the investment interests o</w:t>
      </w:r>
      <w:r w:rsidR="00330D43" w:rsidRPr="00C22C3A">
        <w:rPr>
          <w:bCs/>
          <w:color w:val="000000" w:themeColor="text1"/>
        </w:rPr>
        <w:t>f local authority pension funds</w:t>
      </w:r>
      <w:r w:rsidR="005642C5">
        <w:rPr>
          <w:bCs/>
          <w:color w:val="000000" w:themeColor="text1"/>
        </w:rPr>
        <w:t xml:space="preserve"> and </w:t>
      </w:r>
      <w:r w:rsidR="00C342E3">
        <w:rPr>
          <w:bCs/>
          <w:color w:val="000000" w:themeColor="text1"/>
        </w:rPr>
        <w:t xml:space="preserve">to </w:t>
      </w:r>
      <w:r w:rsidR="005642C5">
        <w:rPr>
          <w:bCs/>
          <w:color w:val="000000" w:themeColor="text1"/>
        </w:rPr>
        <w:t xml:space="preserve">maximise their </w:t>
      </w:r>
      <w:r>
        <w:rPr>
          <w:bCs/>
          <w:color w:val="000000" w:themeColor="text1"/>
        </w:rPr>
        <w:t xml:space="preserve">collective </w:t>
      </w:r>
      <w:r w:rsidR="005642C5">
        <w:rPr>
          <w:bCs/>
          <w:color w:val="000000" w:themeColor="text1"/>
        </w:rPr>
        <w:t>influence as shareholders</w:t>
      </w:r>
      <w:r w:rsidR="008A55A0">
        <w:rPr>
          <w:bCs/>
          <w:color w:val="000000" w:themeColor="text1"/>
        </w:rPr>
        <w:t xml:space="preserve"> </w:t>
      </w:r>
      <w:r w:rsidR="00D93EE7">
        <w:rPr>
          <w:bCs/>
          <w:color w:val="000000" w:themeColor="text1"/>
        </w:rPr>
        <w:t>with c</w:t>
      </w:r>
      <w:r>
        <w:rPr>
          <w:bCs/>
          <w:color w:val="000000" w:themeColor="text1"/>
        </w:rPr>
        <w:t>ombined assets exceed</w:t>
      </w:r>
      <w:r w:rsidR="00D93EE7">
        <w:rPr>
          <w:bCs/>
          <w:color w:val="000000" w:themeColor="text1"/>
        </w:rPr>
        <w:t>ing £165bn</w:t>
      </w:r>
      <w:r w:rsidR="005642C5">
        <w:rPr>
          <w:bCs/>
          <w:color w:val="000000" w:themeColor="text1"/>
        </w:rPr>
        <w:t xml:space="preserve">. </w:t>
      </w:r>
    </w:p>
    <w:p w14:paraId="0F544F26" w14:textId="77777777" w:rsidR="008A55A0" w:rsidRDefault="008A55A0" w:rsidP="007449AB">
      <w:pPr>
        <w:jc w:val="both"/>
        <w:rPr>
          <w:bCs/>
          <w:color w:val="000000" w:themeColor="text1"/>
        </w:rPr>
      </w:pPr>
    </w:p>
    <w:p w14:paraId="7A0392E3" w14:textId="301A8423" w:rsidR="00105FF8" w:rsidRDefault="00BC59E9" w:rsidP="007449AB">
      <w:pPr>
        <w:jc w:val="both"/>
        <w:rPr>
          <w:bCs/>
          <w:color w:val="000000" w:themeColor="text1"/>
        </w:rPr>
      </w:pPr>
      <w:r>
        <w:rPr>
          <w:bCs/>
          <w:color w:val="000000" w:themeColor="text1"/>
        </w:rPr>
        <w:t>T</w:t>
      </w:r>
      <w:r w:rsidR="005642C5">
        <w:rPr>
          <w:bCs/>
          <w:color w:val="000000" w:themeColor="text1"/>
        </w:rPr>
        <w:t>he</w:t>
      </w:r>
      <w:r w:rsidR="008A55A0">
        <w:rPr>
          <w:bCs/>
          <w:color w:val="000000" w:themeColor="text1"/>
        </w:rPr>
        <w:t xml:space="preserve"> Forum's activities</w:t>
      </w:r>
      <w:r w:rsidR="00E93519">
        <w:rPr>
          <w:bCs/>
          <w:color w:val="000000" w:themeColor="text1"/>
        </w:rPr>
        <w:t xml:space="preserve"> </w:t>
      </w:r>
      <w:r w:rsidR="008A55A0">
        <w:rPr>
          <w:bCs/>
          <w:color w:val="000000" w:themeColor="text1"/>
        </w:rPr>
        <w:t xml:space="preserve">on behalf of </w:t>
      </w:r>
      <w:r w:rsidR="00617C18">
        <w:rPr>
          <w:bCs/>
          <w:color w:val="000000" w:themeColor="text1"/>
        </w:rPr>
        <w:t xml:space="preserve">its </w:t>
      </w:r>
      <w:r w:rsidR="008A55A0">
        <w:rPr>
          <w:bCs/>
          <w:color w:val="000000" w:themeColor="text1"/>
        </w:rPr>
        <w:t>members encompass</w:t>
      </w:r>
      <w:r w:rsidR="00ED4B33">
        <w:rPr>
          <w:bCs/>
          <w:color w:val="000000" w:themeColor="text1"/>
        </w:rPr>
        <w:t>:</w:t>
      </w:r>
      <w:r w:rsidR="00105FF8">
        <w:rPr>
          <w:bCs/>
          <w:color w:val="000000" w:themeColor="text1"/>
        </w:rPr>
        <w:t xml:space="preserve"> </w:t>
      </w:r>
    </w:p>
    <w:p w14:paraId="7626FF3B" w14:textId="0F0B18EF" w:rsidR="00105FF8" w:rsidRPr="00105FF8" w:rsidRDefault="00E93519" w:rsidP="007449AB">
      <w:pPr>
        <w:pStyle w:val="ListParagraph"/>
        <w:numPr>
          <w:ilvl w:val="0"/>
          <w:numId w:val="17"/>
        </w:numPr>
        <w:jc w:val="both"/>
        <w:rPr>
          <w:bCs/>
          <w:color w:val="000000" w:themeColor="text1"/>
        </w:rPr>
      </w:pPr>
      <w:r>
        <w:rPr>
          <w:bCs/>
          <w:color w:val="000000" w:themeColor="text1"/>
        </w:rPr>
        <w:t xml:space="preserve">providing </w:t>
      </w:r>
      <w:r w:rsidR="00105FF8" w:rsidRPr="00105FF8">
        <w:rPr>
          <w:bCs/>
          <w:color w:val="000000" w:themeColor="text1"/>
        </w:rPr>
        <w:t>advice</w:t>
      </w:r>
      <w:r>
        <w:rPr>
          <w:bCs/>
          <w:color w:val="000000" w:themeColor="text1"/>
        </w:rPr>
        <w:t xml:space="preserve">, advocacy and </w:t>
      </w:r>
      <w:r w:rsidR="008A55A0">
        <w:rPr>
          <w:bCs/>
          <w:color w:val="000000" w:themeColor="text1"/>
        </w:rPr>
        <w:t>guidance</w:t>
      </w:r>
    </w:p>
    <w:p w14:paraId="511A6282" w14:textId="75F73F53" w:rsidR="00105FF8" w:rsidRDefault="00105FF8" w:rsidP="007449AB">
      <w:pPr>
        <w:pStyle w:val="ListParagraph"/>
        <w:numPr>
          <w:ilvl w:val="0"/>
          <w:numId w:val="17"/>
        </w:numPr>
        <w:jc w:val="both"/>
        <w:rPr>
          <w:bCs/>
          <w:color w:val="000000" w:themeColor="text1"/>
        </w:rPr>
      </w:pPr>
      <w:r w:rsidRPr="00105FF8">
        <w:rPr>
          <w:bCs/>
          <w:color w:val="000000" w:themeColor="text1"/>
        </w:rPr>
        <w:t>direct</w:t>
      </w:r>
      <w:r w:rsidR="005642C5">
        <w:rPr>
          <w:bCs/>
          <w:color w:val="000000" w:themeColor="text1"/>
        </w:rPr>
        <w:t xml:space="preserve">ly engaging </w:t>
      </w:r>
      <w:r w:rsidRPr="00105FF8">
        <w:rPr>
          <w:bCs/>
          <w:color w:val="000000" w:themeColor="text1"/>
        </w:rPr>
        <w:t xml:space="preserve">with companies </w:t>
      </w:r>
      <w:r w:rsidR="00BC59E9">
        <w:rPr>
          <w:bCs/>
          <w:color w:val="000000" w:themeColor="text1"/>
        </w:rPr>
        <w:t>on priority issues</w:t>
      </w:r>
    </w:p>
    <w:p w14:paraId="50853581" w14:textId="6B1EF587" w:rsidR="008A55A0" w:rsidRPr="00105FF8" w:rsidRDefault="008A55A0" w:rsidP="007449AB">
      <w:pPr>
        <w:pStyle w:val="ListParagraph"/>
        <w:numPr>
          <w:ilvl w:val="0"/>
          <w:numId w:val="17"/>
        </w:numPr>
        <w:jc w:val="both"/>
        <w:rPr>
          <w:bCs/>
          <w:color w:val="000000" w:themeColor="text1"/>
        </w:rPr>
      </w:pPr>
      <w:r>
        <w:rPr>
          <w:bCs/>
          <w:color w:val="000000" w:themeColor="text1"/>
        </w:rPr>
        <w:t>issuing voting alerts on upcoming company meetings where there are resolutions of concern</w:t>
      </w:r>
    </w:p>
    <w:p w14:paraId="7C41FA9A" w14:textId="6A45E99C" w:rsidR="00AC7C95" w:rsidRPr="00105FF8" w:rsidRDefault="008A55A0" w:rsidP="007449AB">
      <w:pPr>
        <w:pStyle w:val="ListParagraph"/>
        <w:numPr>
          <w:ilvl w:val="0"/>
          <w:numId w:val="17"/>
        </w:numPr>
        <w:jc w:val="both"/>
        <w:rPr>
          <w:bCs/>
          <w:color w:val="000000" w:themeColor="text1"/>
        </w:rPr>
      </w:pPr>
      <w:r>
        <w:rPr>
          <w:bCs/>
          <w:color w:val="000000" w:themeColor="text1"/>
        </w:rPr>
        <w:t>joining</w:t>
      </w:r>
      <w:r w:rsidR="005642C5">
        <w:rPr>
          <w:bCs/>
          <w:color w:val="000000" w:themeColor="text1"/>
        </w:rPr>
        <w:t xml:space="preserve"> </w:t>
      </w:r>
      <w:r w:rsidR="00105FF8" w:rsidRPr="00105FF8">
        <w:rPr>
          <w:bCs/>
          <w:color w:val="000000" w:themeColor="text1"/>
        </w:rPr>
        <w:t>wider investor</w:t>
      </w:r>
      <w:r w:rsidR="00E93519">
        <w:rPr>
          <w:bCs/>
          <w:color w:val="000000" w:themeColor="text1"/>
        </w:rPr>
        <w:t xml:space="preserve">-led </w:t>
      </w:r>
      <w:r w:rsidR="00105FF8" w:rsidRPr="00105FF8">
        <w:rPr>
          <w:bCs/>
          <w:color w:val="000000" w:themeColor="text1"/>
        </w:rPr>
        <w:t xml:space="preserve">campaigns </w:t>
      </w:r>
      <w:r>
        <w:rPr>
          <w:bCs/>
          <w:color w:val="000000" w:themeColor="text1"/>
        </w:rPr>
        <w:t>which support</w:t>
      </w:r>
      <w:r w:rsidR="00105FF8" w:rsidRPr="00105FF8">
        <w:rPr>
          <w:bCs/>
          <w:color w:val="000000" w:themeColor="text1"/>
        </w:rPr>
        <w:t xml:space="preserve"> the interests of </w:t>
      </w:r>
      <w:r w:rsidR="00FD2D84">
        <w:rPr>
          <w:bCs/>
          <w:color w:val="000000" w:themeColor="text1"/>
        </w:rPr>
        <w:t xml:space="preserve">the </w:t>
      </w:r>
      <w:r w:rsidR="00BC59E9" w:rsidRPr="00105FF8">
        <w:rPr>
          <w:bCs/>
          <w:color w:val="000000" w:themeColor="text1"/>
        </w:rPr>
        <w:t>LGPS</w:t>
      </w:r>
      <w:r>
        <w:rPr>
          <w:bCs/>
          <w:color w:val="000000" w:themeColor="text1"/>
        </w:rPr>
        <w:t xml:space="preserve"> community</w:t>
      </w:r>
    </w:p>
    <w:p w14:paraId="044C0DAF" w14:textId="77777777" w:rsidR="00ED4B33" w:rsidRDefault="00ED4B33" w:rsidP="007449AB">
      <w:pPr>
        <w:jc w:val="both"/>
        <w:rPr>
          <w:bCs/>
          <w:color w:val="000000" w:themeColor="text1"/>
        </w:rPr>
      </w:pPr>
    </w:p>
    <w:p w14:paraId="0A37DCEF" w14:textId="171FF9F7" w:rsidR="00C6463B" w:rsidRDefault="00FF5FBE" w:rsidP="007449AB">
      <w:pPr>
        <w:jc w:val="both"/>
        <w:rPr>
          <w:bCs/>
          <w:color w:val="000000" w:themeColor="text1"/>
        </w:rPr>
      </w:pPr>
      <w:r>
        <w:rPr>
          <w:bCs/>
          <w:color w:val="000000" w:themeColor="text1"/>
        </w:rPr>
        <w:t xml:space="preserve">Through </w:t>
      </w:r>
      <w:r w:rsidR="00135158">
        <w:rPr>
          <w:bCs/>
          <w:color w:val="000000" w:themeColor="text1"/>
        </w:rPr>
        <w:t xml:space="preserve">its </w:t>
      </w:r>
      <w:r>
        <w:rPr>
          <w:bCs/>
          <w:color w:val="000000" w:themeColor="text1"/>
        </w:rPr>
        <w:t>membership of LAPFF</w:t>
      </w:r>
      <w:r w:rsidR="00093A47">
        <w:rPr>
          <w:bCs/>
          <w:color w:val="000000" w:themeColor="text1"/>
        </w:rPr>
        <w:t xml:space="preserve"> </w:t>
      </w:r>
      <w:r w:rsidR="005A35DF">
        <w:rPr>
          <w:bCs/>
          <w:color w:val="000000" w:themeColor="text1"/>
        </w:rPr>
        <w:t xml:space="preserve">the Fund is placing its support </w:t>
      </w:r>
      <w:r>
        <w:rPr>
          <w:bCs/>
          <w:color w:val="000000" w:themeColor="text1"/>
        </w:rPr>
        <w:t xml:space="preserve">behind </w:t>
      </w:r>
      <w:r w:rsidRPr="00C22C3A">
        <w:rPr>
          <w:bCs/>
          <w:color w:val="000000" w:themeColor="text1"/>
        </w:rPr>
        <w:t>campaigns</w:t>
      </w:r>
      <w:r>
        <w:rPr>
          <w:bCs/>
          <w:color w:val="000000" w:themeColor="text1"/>
        </w:rPr>
        <w:t xml:space="preserve"> and joint actions which create a much stronger impetus for change than </w:t>
      </w:r>
      <w:r w:rsidR="00FD2D84">
        <w:rPr>
          <w:bCs/>
          <w:color w:val="000000" w:themeColor="text1"/>
        </w:rPr>
        <w:t xml:space="preserve">is achievable </w:t>
      </w:r>
      <w:r>
        <w:rPr>
          <w:bCs/>
          <w:color w:val="000000" w:themeColor="text1"/>
        </w:rPr>
        <w:t>working alone.</w:t>
      </w:r>
    </w:p>
    <w:p w14:paraId="671F3CFC" w14:textId="77777777" w:rsidR="00135158" w:rsidRDefault="00135158" w:rsidP="007449AB">
      <w:pPr>
        <w:pStyle w:val="Default"/>
        <w:jc w:val="both"/>
        <w:rPr>
          <w:bCs/>
          <w:color w:val="000000" w:themeColor="text1"/>
        </w:rPr>
      </w:pPr>
    </w:p>
    <w:p w14:paraId="1C238163" w14:textId="18E90C46" w:rsidR="00105FF8" w:rsidRPr="005353E9" w:rsidRDefault="00E93519" w:rsidP="007449AB">
      <w:pPr>
        <w:pStyle w:val="Default"/>
        <w:jc w:val="both"/>
      </w:pPr>
      <w:r>
        <w:rPr>
          <w:bCs/>
          <w:color w:val="000000" w:themeColor="text1"/>
        </w:rPr>
        <w:t>T</w:t>
      </w:r>
      <w:r w:rsidR="00105FF8" w:rsidRPr="005353E9">
        <w:rPr>
          <w:bCs/>
          <w:color w:val="000000" w:themeColor="text1"/>
        </w:rPr>
        <w:t xml:space="preserve">he latest engagement report </w:t>
      </w:r>
      <w:r w:rsidR="00617C18">
        <w:rPr>
          <w:bCs/>
          <w:color w:val="000000" w:themeColor="text1"/>
        </w:rPr>
        <w:t xml:space="preserve">received </w:t>
      </w:r>
      <w:r>
        <w:rPr>
          <w:bCs/>
          <w:color w:val="000000" w:themeColor="text1"/>
        </w:rPr>
        <w:t>from LAPFF</w:t>
      </w:r>
      <w:r w:rsidR="00ED4B33">
        <w:rPr>
          <w:bCs/>
          <w:color w:val="000000" w:themeColor="text1"/>
        </w:rPr>
        <w:t xml:space="preserve"> </w:t>
      </w:r>
      <w:r w:rsidR="00105FF8" w:rsidRPr="005353E9">
        <w:rPr>
          <w:bCs/>
          <w:color w:val="000000" w:themeColor="text1"/>
        </w:rPr>
        <w:t xml:space="preserve">reflects </w:t>
      </w:r>
      <w:r w:rsidR="00BC59E9">
        <w:rPr>
          <w:bCs/>
          <w:color w:val="000000" w:themeColor="text1"/>
        </w:rPr>
        <w:t xml:space="preserve">activity in </w:t>
      </w:r>
      <w:r w:rsidR="00105FF8" w:rsidRPr="005353E9">
        <w:rPr>
          <w:bCs/>
          <w:color w:val="000000" w:themeColor="text1"/>
        </w:rPr>
        <w:t xml:space="preserve">the period from 1 </w:t>
      </w:r>
      <w:r w:rsidR="00105FF8">
        <w:rPr>
          <w:bCs/>
          <w:color w:val="000000" w:themeColor="text1"/>
        </w:rPr>
        <w:t>April 2015 to 30</w:t>
      </w:r>
      <w:r w:rsidR="00105FF8" w:rsidRPr="005353E9">
        <w:rPr>
          <w:bCs/>
          <w:color w:val="000000" w:themeColor="text1"/>
        </w:rPr>
        <w:t xml:space="preserve"> </w:t>
      </w:r>
      <w:r w:rsidR="00105FF8">
        <w:rPr>
          <w:bCs/>
          <w:color w:val="000000" w:themeColor="text1"/>
        </w:rPr>
        <w:t>June</w:t>
      </w:r>
      <w:r w:rsidR="00105FF8" w:rsidRPr="005353E9">
        <w:rPr>
          <w:bCs/>
          <w:color w:val="000000" w:themeColor="text1"/>
        </w:rPr>
        <w:t xml:space="preserve"> 2015</w:t>
      </w:r>
      <w:r w:rsidR="00ED4D00">
        <w:rPr>
          <w:bCs/>
          <w:color w:val="000000" w:themeColor="text1"/>
        </w:rPr>
        <w:t xml:space="preserve"> and has been placed within the Members Re</w:t>
      </w:r>
      <w:r w:rsidR="00083200">
        <w:rPr>
          <w:bCs/>
          <w:color w:val="000000" w:themeColor="text1"/>
        </w:rPr>
        <w:t>tiring</w:t>
      </w:r>
      <w:r w:rsidR="00ED4D00">
        <w:rPr>
          <w:bCs/>
          <w:color w:val="000000" w:themeColor="text1"/>
        </w:rPr>
        <w:t xml:space="preserve"> Room for reference</w:t>
      </w:r>
      <w:r w:rsidR="00105FF8" w:rsidRPr="005353E9">
        <w:rPr>
          <w:bCs/>
          <w:color w:val="000000" w:themeColor="text1"/>
        </w:rPr>
        <w:t xml:space="preserve">. </w:t>
      </w:r>
      <w:r w:rsidR="00093A47">
        <w:rPr>
          <w:bCs/>
          <w:color w:val="000000" w:themeColor="text1"/>
        </w:rPr>
        <w:t>Significant campaigns include action</w:t>
      </w:r>
      <w:r w:rsidR="00617C18">
        <w:rPr>
          <w:bCs/>
          <w:color w:val="000000" w:themeColor="text1"/>
        </w:rPr>
        <w:t xml:space="preserve"> on accounting standards, </w:t>
      </w:r>
      <w:r w:rsidR="00093A47">
        <w:rPr>
          <w:bCs/>
          <w:color w:val="000000" w:themeColor="text1"/>
        </w:rPr>
        <w:t>climate change and employee welfare.</w:t>
      </w:r>
    </w:p>
    <w:p w14:paraId="19276E29" w14:textId="77777777" w:rsidR="00105FF8" w:rsidRDefault="00105FF8" w:rsidP="007449AB">
      <w:pPr>
        <w:jc w:val="both"/>
        <w:rPr>
          <w:bCs/>
          <w:color w:val="000000" w:themeColor="text1"/>
        </w:rPr>
      </w:pPr>
    </w:p>
    <w:p w14:paraId="2E090356" w14:textId="09B4F6B7" w:rsidR="00D62BD7" w:rsidRDefault="00D47DA1" w:rsidP="007449AB">
      <w:pPr>
        <w:jc w:val="both"/>
        <w:rPr>
          <w:bCs/>
          <w:color w:val="000000" w:themeColor="text1"/>
        </w:rPr>
      </w:pPr>
      <w:r>
        <w:rPr>
          <w:bCs/>
          <w:color w:val="000000" w:themeColor="text1"/>
        </w:rPr>
        <w:t>During the last quarter t</w:t>
      </w:r>
      <w:r w:rsidR="00845E34">
        <w:rPr>
          <w:bCs/>
          <w:color w:val="000000" w:themeColor="text1"/>
        </w:rPr>
        <w:t>he Fund</w:t>
      </w:r>
      <w:r w:rsidR="007E0F04">
        <w:rPr>
          <w:bCs/>
          <w:color w:val="000000" w:themeColor="text1"/>
        </w:rPr>
        <w:t xml:space="preserve"> </w:t>
      </w:r>
      <w:r w:rsidR="005A35DF">
        <w:rPr>
          <w:bCs/>
          <w:color w:val="000000" w:themeColor="text1"/>
        </w:rPr>
        <w:t>has begu</w:t>
      </w:r>
      <w:r w:rsidR="00617C18">
        <w:rPr>
          <w:bCs/>
          <w:color w:val="000000" w:themeColor="text1"/>
        </w:rPr>
        <w:t>n</w:t>
      </w:r>
      <w:r w:rsidR="00FF5FBE">
        <w:rPr>
          <w:bCs/>
          <w:color w:val="000000" w:themeColor="text1"/>
        </w:rPr>
        <w:t xml:space="preserve"> to act</w:t>
      </w:r>
      <w:r w:rsidR="00845E34">
        <w:rPr>
          <w:bCs/>
          <w:color w:val="000000" w:themeColor="text1"/>
        </w:rPr>
        <w:t xml:space="preserve"> </w:t>
      </w:r>
      <w:r w:rsidR="005A35DF">
        <w:rPr>
          <w:bCs/>
          <w:color w:val="000000" w:themeColor="text1"/>
        </w:rPr>
        <w:t>up</w:t>
      </w:r>
      <w:r w:rsidR="00845E34">
        <w:rPr>
          <w:bCs/>
          <w:color w:val="000000" w:themeColor="text1"/>
        </w:rPr>
        <w:t>on</w:t>
      </w:r>
      <w:r w:rsidR="00E95E5A">
        <w:rPr>
          <w:bCs/>
          <w:color w:val="000000" w:themeColor="text1"/>
        </w:rPr>
        <w:t xml:space="preserve"> </w:t>
      </w:r>
      <w:r w:rsidR="00135158">
        <w:rPr>
          <w:bCs/>
          <w:color w:val="000000" w:themeColor="text1"/>
        </w:rPr>
        <w:t>a</w:t>
      </w:r>
      <w:r w:rsidR="00FF5FBE">
        <w:rPr>
          <w:bCs/>
          <w:color w:val="000000" w:themeColor="text1"/>
        </w:rPr>
        <w:t xml:space="preserve"> commitment to </w:t>
      </w:r>
      <w:r w:rsidR="00093A47">
        <w:rPr>
          <w:bCs/>
          <w:color w:val="000000" w:themeColor="text1"/>
        </w:rPr>
        <w:t>increas</w:t>
      </w:r>
      <w:r w:rsidR="00135158">
        <w:rPr>
          <w:bCs/>
          <w:color w:val="000000" w:themeColor="text1"/>
        </w:rPr>
        <w:t xml:space="preserve">e </w:t>
      </w:r>
      <w:r w:rsidR="00093A47">
        <w:rPr>
          <w:bCs/>
          <w:color w:val="000000" w:themeColor="text1"/>
        </w:rPr>
        <w:t xml:space="preserve">its </w:t>
      </w:r>
      <w:r w:rsidR="005A35DF">
        <w:rPr>
          <w:bCs/>
          <w:color w:val="000000" w:themeColor="text1"/>
        </w:rPr>
        <w:t xml:space="preserve">relationship and routine </w:t>
      </w:r>
      <w:r w:rsidR="00093A47">
        <w:rPr>
          <w:bCs/>
          <w:color w:val="000000" w:themeColor="text1"/>
        </w:rPr>
        <w:t>involvement with LAPFF</w:t>
      </w:r>
      <w:r w:rsidR="00FD2D84">
        <w:rPr>
          <w:bCs/>
          <w:color w:val="000000" w:themeColor="text1"/>
        </w:rPr>
        <w:t xml:space="preserve">, </w:t>
      </w:r>
      <w:r w:rsidR="00135158">
        <w:rPr>
          <w:bCs/>
          <w:color w:val="000000" w:themeColor="text1"/>
        </w:rPr>
        <w:t>which has involved</w:t>
      </w:r>
      <w:r w:rsidR="00ED4B33">
        <w:rPr>
          <w:bCs/>
          <w:color w:val="000000" w:themeColor="text1"/>
        </w:rPr>
        <w:t>:</w:t>
      </w:r>
      <w:r w:rsidR="00135158">
        <w:rPr>
          <w:bCs/>
          <w:color w:val="000000" w:themeColor="text1"/>
        </w:rPr>
        <w:t xml:space="preserve"> </w:t>
      </w:r>
    </w:p>
    <w:p w14:paraId="5DFCC488" w14:textId="77777777" w:rsidR="00D24BA6" w:rsidRDefault="00D24BA6" w:rsidP="007449AB">
      <w:pPr>
        <w:jc w:val="both"/>
        <w:rPr>
          <w:bCs/>
          <w:color w:val="000000" w:themeColor="text1"/>
        </w:rPr>
      </w:pPr>
    </w:p>
    <w:p w14:paraId="4E6CD0E9" w14:textId="52DAF10D" w:rsidR="00E95E5A" w:rsidRPr="008154E6" w:rsidRDefault="00617C18" w:rsidP="007449AB">
      <w:pPr>
        <w:pStyle w:val="ListParagraph"/>
        <w:numPr>
          <w:ilvl w:val="0"/>
          <w:numId w:val="21"/>
        </w:numPr>
        <w:jc w:val="both"/>
        <w:rPr>
          <w:b/>
          <w:bCs/>
          <w:i/>
          <w:color w:val="000000" w:themeColor="text1"/>
        </w:rPr>
      </w:pPr>
      <w:proofErr w:type="gramStart"/>
      <w:r w:rsidRPr="008154E6">
        <w:rPr>
          <w:b/>
          <w:bCs/>
          <w:i/>
          <w:color w:val="000000" w:themeColor="text1"/>
        </w:rPr>
        <w:t>a</w:t>
      </w:r>
      <w:r w:rsidR="00FF5FBE" w:rsidRPr="008154E6">
        <w:rPr>
          <w:b/>
          <w:bCs/>
          <w:i/>
          <w:color w:val="000000" w:themeColor="text1"/>
        </w:rPr>
        <w:t>ttending</w:t>
      </w:r>
      <w:proofErr w:type="gramEnd"/>
      <w:r w:rsidR="00FF5FBE" w:rsidRPr="008154E6">
        <w:rPr>
          <w:b/>
          <w:bCs/>
          <w:i/>
          <w:color w:val="000000" w:themeColor="text1"/>
        </w:rPr>
        <w:t xml:space="preserve"> the LAPFF Business meeting</w:t>
      </w:r>
      <w:r w:rsidR="00093A47" w:rsidRPr="008154E6">
        <w:rPr>
          <w:b/>
          <w:bCs/>
          <w:i/>
          <w:color w:val="000000" w:themeColor="text1"/>
        </w:rPr>
        <w:t xml:space="preserve"> (16th June 2015).</w:t>
      </w:r>
    </w:p>
    <w:p w14:paraId="6617D6E5" w14:textId="2F291C27" w:rsidR="00FF5FBE" w:rsidRPr="00E95E5A" w:rsidRDefault="00093A47" w:rsidP="007449AB">
      <w:pPr>
        <w:pStyle w:val="ListParagraph"/>
        <w:jc w:val="both"/>
        <w:rPr>
          <w:bCs/>
          <w:color w:val="000000" w:themeColor="text1"/>
        </w:rPr>
      </w:pPr>
      <w:r>
        <w:rPr>
          <w:bCs/>
          <w:color w:val="000000" w:themeColor="text1"/>
        </w:rPr>
        <w:t xml:space="preserve">Quarterly business meetings </w:t>
      </w:r>
      <w:r w:rsidR="00135158">
        <w:rPr>
          <w:bCs/>
          <w:color w:val="000000" w:themeColor="text1"/>
        </w:rPr>
        <w:t xml:space="preserve">provide </w:t>
      </w:r>
      <w:r>
        <w:rPr>
          <w:bCs/>
          <w:color w:val="000000" w:themeColor="text1"/>
        </w:rPr>
        <w:t xml:space="preserve">the </w:t>
      </w:r>
      <w:r w:rsidR="00135158">
        <w:rPr>
          <w:bCs/>
          <w:color w:val="000000" w:themeColor="text1"/>
        </w:rPr>
        <w:t>principal</w:t>
      </w:r>
      <w:r>
        <w:rPr>
          <w:bCs/>
          <w:color w:val="000000" w:themeColor="text1"/>
        </w:rPr>
        <w:t xml:space="preserve"> </w:t>
      </w:r>
      <w:r w:rsidR="00135158">
        <w:rPr>
          <w:bCs/>
          <w:color w:val="000000" w:themeColor="text1"/>
        </w:rPr>
        <w:t xml:space="preserve">opportunity to meet </w:t>
      </w:r>
      <w:r>
        <w:rPr>
          <w:bCs/>
          <w:color w:val="000000" w:themeColor="text1"/>
        </w:rPr>
        <w:t>re</w:t>
      </w:r>
      <w:r w:rsidR="00135158">
        <w:rPr>
          <w:bCs/>
          <w:color w:val="000000" w:themeColor="text1"/>
        </w:rPr>
        <w:t xml:space="preserve">presentatives from other </w:t>
      </w:r>
      <w:r w:rsidR="00FD2D84">
        <w:rPr>
          <w:bCs/>
          <w:color w:val="000000" w:themeColor="text1"/>
        </w:rPr>
        <w:t xml:space="preserve">LGPS member </w:t>
      </w:r>
      <w:r>
        <w:rPr>
          <w:bCs/>
          <w:color w:val="000000" w:themeColor="text1"/>
        </w:rPr>
        <w:t>funds and participate in debate and decision-making. The next meeting is on 6 October 2015</w:t>
      </w:r>
      <w:r w:rsidR="00135158">
        <w:rPr>
          <w:bCs/>
          <w:color w:val="000000" w:themeColor="text1"/>
        </w:rPr>
        <w:t>.</w:t>
      </w:r>
      <w:r w:rsidR="00FF5FBE" w:rsidRPr="00E95E5A">
        <w:rPr>
          <w:bCs/>
          <w:color w:val="000000" w:themeColor="text1"/>
        </w:rPr>
        <w:t xml:space="preserve"> </w:t>
      </w:r>
    </w:p>
    <w:p w14:paraId="2AD1C8B2" w14:textId="23879083" w:rsidR="00845E34" w:rsidRDefault="00617C18" w:rsidP="007449AB">
      <w:pPr>
        <w:pStyle w:val="ListParagraph"/>
        <w:numPr>
          <w:ilvl w:val="0"/>
          <w:numId w:val="20"/>
        </w:numPr>
        <w:jc w:val="both"/>
        <w:rPr>
          <w:bCs/>
          <w:color w:val="000000" w:themeColor="text1"/>
        </w:rPr>
      </w:pPr>
      <w:r w:rsidRPr="008154E6">
        <w:rPr>
          <w:b/>
          <w:bCs/>
          <w:i/>
          <w:color w:val="000000" w:themeColor="text1"/>
        </w:rPr>
        <w:t>p</w:t>
      </w:r>
      <w:r w:rsidR="00845E34" w:rsidRPr="008154E6">
        <w:rPr>
          <w:b/>
          <w:bCs/>
          <w:i/>
          <w:color w:val="000000" w:themeColor="text1"/>
        </w:rPr>
        <w:t>articipating</w:t>
      </w:r>
      <w:r w:rsidR="007E0F04" w:rsidRPr="008154E6">
        <w:rPr>
          <w:b/>
          <w:bCs/>
          <w:i/>
          <w:color w:val="000000" w:themeColor="text1"/>
        </w:rPr>
        <w:t xml:space="preserve"> in the refresh of </w:t>
      </w:r>
      <w:r w:rsidR="00135158" w:rsidRPr="008154E6">
        <w:rPr>
          <w:b/>
          <w:bCs/>
          <w:i/>
          <w:color w:val="000000" w:themeColor="text1"/>
        </w:rPr>
        <w:t xml:space="preserve">information of </w:t>
      </w:r>
      <w:r w:rsidR="007E0F04" w:rsidRPr="008154E6">
        <w:rPr>
          <w:b/>
          <w:bCs/>
          <w:i/>
          <w:color w:val="000000" w:themeColor="text1"/>
        </w:rPr>
        <w:t>fund holdings</w:t>
      </w:r>
      <w:r w:rsidR="00D62BD7" w:rsidRPr="00845E34">
        <w:rPr>
          <w:bCs/>
          <w:color w:val="000000" w:themeColor="text1"/>
        </w:rPr>
        <w:t xml:space="preserve">.  </w:t>
      </w:r>
    </w:p>
    <w:p w14:paraId="4D0D0EF5" w14:textId="06670F47" w:rsidR="007E0F04" w:rsidRPr="00845E34" w:rsidRDefault="00D62BD7" w:rsidP="007449AB">
      <w:pPr>
        <w:pStyle w:val="ListParagraph"/>
        <w:jc w:val="both"/>
        <w:rPr>
          <w:bCs/>
          <w:color w:val="000000" w:themeColor="text1"/>
        </w:rPr>
      </w:pPr>
      <w:r w:rsidRPr="00845E34">
        <w:rPr>
          <w:bCs/>
          <w:color w:val="000000" w:themeColor="text1"/>
        </w:rPr>
        <w:t>This</w:t>
      </w:r>
      <w:r w:rsidR="007E0F04" w:rsidRPr="00845E34">
        <w:rPr>
          <w:bCs/>
          <w:color w:val="000000" w:themeColor="text1"/>
        </w:rPr>
        <w:t xml:space="preserve"> </w:t>
      </w:r>
      <w:r w:rsidR="008A2725">
        <w:rPr>
          <w:bCs/>
          <w:color w:val="000000" w:themeColor="text1"/>
        </w:rPr>
        <w:t xml:space="preserve">is an </w:t>
      </w:r>
      <w:r w:rsidR="00913FDE">
        <w:rPr>
          <w:bCs/>
          <w:color w:val="000000" w:themeColor="text1"/>
        </w:rPr>
        <w:t xml:space="preserve">annual process </w:t>
      </w:r>
      <w:r w:rsidR="008A2725">
        <w:rPr>
          <w:bCs/>
          <w:color w:val="000000" w:themeColor="text1"/>
        </w:rPr>
        <w:t xml:space="preserve">which </w:t>
      </w:r>
      <w:r w:rsidR="007E0F04" w:rsidRPr="00845E34">
        <w:rPr>
          <w:bCs/>
          <w:color w:val="000000" w:themeColor="text1"/>
        </w:rPr>
        <w:t>ensure</w:t>
      </w:r>
      <w:r w:rsidRPr="00845E34">
        <w:rPr>
          <w:bCs/>
          <w:color w:val="000000" w:themeColor="text1"/>
        </w:rPr>
        <w:t>s</w:t>
      </w:r>
      <w:r w:rsidR="00913FDE">
        <w:rPr>
          <w:bCs/>
          <w:color w:val="000000" w:themeColor="text1"/>
        </w:rPr>
        <w:t xml:space="preserve"> </w:t>
      </w:r>
      <w:r w:rsidR="008A2725">
        <w:rPr>
          <w:bCs/>
          <w:color w:val="000000" w:themeColor="text1"/>
        </w:rPr>
        <w:t xml:space="preserve">LAPFF </w:t>
      </w:r>
      <w:r w:rsidR="00913FDE">
        <w:rPr>
          <w:bCs/>
          <w:color w:val="000000" w:themeColor="text1"/>
        </w:rPr>
        <w:t xml:space="preserve">engagement efforts </w:t>
      </w:r>
      <w:r w:rsidR="00135158">
        <w:rPr>
          <w:bCs/>
          <w:color w:val="000000" w:themeColor="text1"/>
        </w:rPr>
        <w:t xml:space="preserve">will </w:t>
      </w:r>
      <w:r w:rsidRPr="00845E34">
        <w:rPr>
          <w:bCs/>
          <w:color w:val="000000" w:themeColor="text1"/>
        </w:rPr>
        <w:t xml:space="preserve">continue to </w:t>
      </w:r>
      <w:r w:rsidR="00135158">
        <w:rPr>
          <w:bCs/>
          <w:color w:val="000000" w:themeColor="text1"/>
        </w:rPr>
        <w:t xml:space="preserve">recognise and </w:t>
      </w:r>
      <w:r w:rsidR="008A2725">
        <w:rPr>
          <w:bCs/>
          <w:color w:val="000000" w:themeColor="text1"/>
        </w:rPr>
        <w:t>target</w:t>
      </w:r>
      <w:r w:rsidR="007E0F04" w:rsidRPr="00845E34">
        <w:rPr>
          <w:bCs/>
          <w:color w:val="000000" w:themeColor="text1"/>
        </w:rPr>
        <w:t xml:space="preserve"> </w:t>
      </w:r>
      <w:r w:rsidR="009F0400" w:rsidRPr="00845E34">
        <w:rPr>
          <w:bCs/>
          <w:color w:val="000000" w:themeColor="text1"/>
        </w:rPr>
        <w:t xml:space="preserve">the </w:t>
      </w:r>
      <w:r w:rsidR="004E4E5F" w:rsidRPr="00845E34">
        <w:rPr>
          <w:bCs/>
          <w:color w:val="000000" w:themeColor="text1"/>
        </w:rPr>
        <w:t>companies</w:t>
      </w:r>
      <w:r w:rsidR="00C6463B" w:rsidRPr="00845E34">
        <w:rPr>
          <w:bCs/>
          <w:color w:val="000000" w:themeColor="text1"/>
        </w:rPr>
        <w:t xml:space="preserve"> </w:t>
      </w:r>
      <w:r w:rsidR="008A2725">
        <w:rPr>
          <w:bCs/>
          <w:color w:val="000000" w:themeColor="text1"/>
        </w:rPr>
        <w:t>that</w:t>
      </w:r>
      <w:r w:rsidR="007E0F04" w:rsidRPr="00845E34">
        <w:rPr>
          <w:bCs/>
          <w:color w:val="000000" w:themeColor="text1"/>
        </w:rPr>
        <w:t xml:space="preserve"> </w:t>
      </w:r>
      <w:r w:rsidR="008A2725">
        <w:rPr>
          <w:bCs/>
          <w:color w:val="000000" w:themeColor="text1"/>
        </w:rPr>
        <w:t>member</w:t>
      </w:r>
      <w:r w:rsidR="007E0F04" w:rsidRPr="00845E34">
        <w:rPr>
          <w:bCs/>
          <w:color w:val="000000" w:themeColor="text1"/>
        </w:rPr>
        <w:t xml:space="preserve"> schemes have the largest </w:t>
      </w:r>
      <w:r w:rsidR="00AE4258" w:rsidRPr="00845E34">
        <w:rPr>
          <w:bCs/>
          <w:color w:val="000000" w:themeColor="text1"/>
        </w:rPr>
        <w:t>collective</w:t>
      </w:r>
      <w:r w:rsidR="007E0F04" w:rsidRPr="00845E34">
        <w:rPr>
          <w:bCs/>
          <w:color w:val="000000" w:themeColor="text1"/>
        </w:rPr>
        <w:t xml:space="preserve"> holdings</w:t>
      </w:r>
      <w:r w:rsidR="008A2725">
        <w:rPr>
          <w:bCs/>
          <w:color w:val="000000" w:themeColor="text1"/>
        </w:rPr>
        <w:t xml:space="preserve"> in</w:t>
      </w:r>
      <w:r w:rsidR="00135158">
        <w:rPr>
          <w:bCs/>
          <w:color w:val="000000" w:themeColor="text1"/>
        </w:rPr>
        <w:t>.</w:t>
      </w:r>
      <w:r w:rsidR="00C6463B" w:rsidRPr="00845E34">
        <w:rPr>
          <w:bCs/>
          <w:color w:val="000000" w:themeColor="text1"/>
        </w:rPr>
        <w:t xml:space="preserve"> </w:t>
      </w:r>
    </w:p>
    <w:p w14:paraId="0903B2FC" w14:textId="2ED2DBD7" w:rsidR="00845E34" w:rsidRPr="008154E6" w:rsidRDefault="00617C18" w:rsidP="007449AB">
      <w:pPr>
        <w:pStyle w:val="ListParagraph"/>
        <w:numPr>
          <w:ilvl w:val="0"/>
          <w:numId w:val="20"/>
        </w:numPr>
        <w:jc w:val="both"/>
        <w:rPr>
          <w:b/>
          <w:bCs/>
          <w:i/>
          <w:color w:val="000000" w:themeColor="text1"/>
        </w:rPr>
      </w:pPr>
      <w:r w:rsidRPr="008154E6">
        <w:rPr>
          <w:b/>
          <w:bCs/>
          <w:i/>
          <w:color w:val="000000" w:themeColor="text1"/>
        </w:rPr>
        <w:t>r</w:t>
      </w:r>
      <w:r w:rsidR="00135158" w:rsidRPr="008154E6">
        <w:rPr>
          <w:b/>
          <w:bCs/>
          <w:i/>
          <w:color w:val="000000" w:themeColor="text1"/>
        </w:rPr>
        <w:t>esponding</w:t>
      </w:r>
      <w:r w:rsidR="00D62BD7" w:rsidRPr="008154E6">
        <w:rPr>
          <w:b/>
          <w:bCs/>
          <w:i/>
          <w:color w:val="000000" w:themeColor="text1"/>
        </w:rPr>
        <w:t xml:space="preserve"> to </w:t>
      </w:r>
      <w:r w:rsidR="00845E34" w:rsidRPr="008154E6">
        <w:rPr>
          <w:b/>
          <w:bCs/>
          <w:i/>
          <w:color w:val="000000" w:themeColor="text1"/>
        </w:rPr>
        <w:t>a</w:t>
      </w:r>
      <w:r w:rsidR="007E0F04" w:rsidRPr="008154E6">
        <w:rPr>
          <w:b/>
          <w:bCs/>
          <w:i/>
          <w:color w:val="000000" w:themeColor="text1"/>
        </w:rPr>
        <w:t xml:space="preserve"> consultation on </w:t>
      </w:r>
      <w:r w:rsidR="00D62BD7" w:rsidRPr="008154E6">
        <w:rPr>
          <w:b/>
          <w:bCs/>
          <w:i/>
          <w:color w:val="000000" w:themeColor="text1"/>
        </w:rPr>
        <w:t xml:space="preserve">proposed </w:t>
      </w:r>
      <w:r w:rsidR="007E0F04" w:rsidRPr="008154E6">
        <w:rPr>
          <w:b/>
          <w:bCs/>
          <w:i/>
          <w:color w:val="000000" w:themeColor="text1"/>
        </w:rPr>
        <w:t xml:space="preserve">revisions to </w:t>
      </w:r>
      <w:r w:rsidR="00D62BD7" w:rsidRPr="008154E6">
        <w:rPr>
          <w:b/>
          <w:bCs/>
          <w:i/>
          <w:color w:val="000000" w:themeColor="text1"/>
        </w:rPr>
        <w:t xml:space="preserve">the LAPFF constitution. </w:t>
      </w:r>
    </w:p>
    <w:p w14:paraId="6DF62930" w14:textId="070AA188" w:rsidR="00845E34" w:rsidRPr="00845E34" w:rsidRDefault="00D62BD7" w:rsidP="007449AB">
      <w:pPr>
        <w:pStyle w:val="ListParagraph"/>
        <w:jc w:val="both"/>
        <w:rPr>
          <w:bCs/>
          <w:color w:val="000000" w:themeColor="text1"/>
        </w:rPr>
      </w:pPr>
      <w:r w:rsidRPr="00845E34">
        <w:rPr>
          <w:bCs/>
          <w:color w:val="000000" w:themeColor="text1"/>
        </w:rPr>
        <w:t xml:space="preserve">The response included a request for </w:t>
      </w:r>
      <w:r w:rsidR="00913FDE">
        <w:rPr>
          <w:bCs/>
          <w:color w:val="000000" w:themeColor="text1"/>
        </w:rPr>
        <w:t>the constitution to be clearer/</w:t>
      </w:r>
      <w:r w:rsidRPr="00845E34">
        <w:rPr>
          <w:bCs/>
          <w:color w:val="000000" w:themeColor="text1"/>
        </w:rPr>
        <w:t xml:space="preserve">more transparent on </w:t>
      </w:r>
      <w:r w:rsidR="00135158">
        <w:rPr>
          <w:bCs/>
          <w:color w:val="000000" w:themeColor="text1"/>
        </w:rPr>
        <w:t xml:space="preserve">the requirement and appointment </w:t>
      </w:r>
      <w:r w:rsidRPr="00845E34">
        <w:rPr>
          <w:bCs/>
          <w:color w:val="000000" w:themeColor="text1"/>
        </w:rPr>
        <w:t>a</w:t>
      </w:r>
      <w:r w:rsidR="00913FDE">
        <w:rPr>
          <w:bCs/>
          <w:color w:val="000000" w:themeColor="text1"/>
        </w:rPr>
        <w:t xml:space="preserve">rrangements for </w:t>
      </w:r>
      <w:r w:rsidR="00135158" w:rsidRPr="00845E34">
        <w:rPr>
          <w:bCs/>
          <w:color w:val="000000" w:themeColor="text1"/>
        </w:rPr>
        <w:t xml:space="preserve">paid </w:t>
      </w:r>
      <w:r w:rsidRPr="00845E34">
        <w:rPr>
          <w:bCs/>
          <w:color w:val="000000" w:themeColor="text1"/>
        </w:rPr>
        <w:t>staff and agents</w:t>
      </w:r>
      <w:r w:rsidR="00913FDE">
        <w:rPr>
          <w:bCs/>
          <w:color w:val="000000" w:themeColor="text1"/>
        </w:rPr>
        <w:t>.</w:t>
      </w:r>
      <w:r w:rsidRPr="00845E34">
        <w:rPr>
          <w:bCs/>
          <w:color w:val="000000" w:themeColor="text1"/>
        </w:rPr>
        <w:t xml:space="preserve"> </w:t>
      </w:r>
      <w:r w:rsidR="00135158">
        <w:rPr>
          <w:bCs/>
          <w:color w:val="000000" w:themeColor="text1"/>
        </w:rPr>
        <w:t>The F</w:t>
      </w:r>
      <w:r w:rsidRPr="00845E34">
        <w:rPr>
          <w:bCs/>
          <w:color w:val="000000" w:themeColor="text1"/>
        </w:rPr>
        <w:t>orum</w:t>
      </w:r>
      <w:r w:rsidR="00135158">
        <w:rPr>
          <w:bCs/>
          <w:color w:val="000000" w:themeColor="text1"/>
        </w:rPr>
        <w:t>'s executive</w:t>
      </w:r>
      <w:r w:rsidRPr="00845E34">
        <w:rPr>
          <w:bCs/>
          <w:color w:val="000000" w:themeColor="text1"/>
        </w:rPr>
        <w:t xml:space="preserve"> </w:t>
      </w:r>
      <w:r w:rsidR="00135158">
        <w:rPr>
          <w:bCs/>
          <w:color w:val="000000" w:themeColor="text1"/>
        </w:rPr>
        <w:t xml:space="preserve">and </w:t>
      </w:r>
      <w:r w:rsidRPr="00845E34">
        <w:rPr>
          <w:bCs/>
          <w:color w:val="000000" w:themeColor="text1"/>
        </w:rPr>
        <w:t>officers work on a voluntary basis</w:t>
      </w:r>
      <w:r w:rsidR="00135158">
        <w:rPr>
          <w:bCs/>
          <w:color w:val="000000" w:themeColor="text1"/>
        </w:rPr>
        <w:t xml:space="preserve"> but</w:t>
      </w:r>
      <w:r w:rsidRPr="00845E34">
        <w:rPr>
          <w:bCs/>
          <w:color w:val="000000" w:themeColor="text1"/>
        </w:rPr>
        <w:t xml:space="preserve"> governance</w:t>
      </w:r>
      <w:r w:rsidR="00845E34" w:rsidRPr="00845E34">
        <w:rPr>
          <w:bCs/>
          <w:color w:val="000000" w:themeColor="text1"/>
        </w:rPr>
        <w:t xml:space="preserve"> and </w:t>
      </w:r>
      <w:r w:rsidRPr="00845E34">
        <w:rPr>
          <w:bCs/>
          <w:color w:val="000000" w:themeColor="text1"/>
        </w:rPr>
        <w:t>administrati</w:t>
      </w:r>
      <w:r w:rsidR="00135158">
        <w:rPr>
          <w:bCs/>
          <w:color w:val="000000" w:themeColor="text1"/>
        </w:rPr>
        <w:t>ve</w:t>
      </w:r>
      <w:r w:rsidRPr="00845E34">
        <w:rPr>
          <w:bCs/>
          <w:color w:val="000000" w:themeColor="text1"/>
        </w:rPr>
        <w:t xml:space="preserve"> functions and </w:t>
      </w:r>
      <w:r w:rsidR="00135158">
        <w:rPr>
          <w:bCs/>
          <w:color w:val="000000" w:themeColor="text1"/>
        </w:rPr>
        <w:t xml:space="preserve">support for </w:t>
      </w:r>
      <w:r w:rsidRPr="00845E34">
        <w:rPr>
          <w:bCs/>
          <w:color w:val="000000" w:themeColor="text1"/>
        </w:rPr>
        <w:t xml:space="preserve">engagement </w:t>
      </w:r>
      <w:r w:rsidR="00135158">
        <w:rPr>
          <w:bCs/>
          <w:color w:val="000000" w:themeColor="text1"/>
        </w:rPr>
        <w:t>activities (planning,</w:t>
      </w:r>
      <w:r w:rsidR="008A2725">
        <w:rPr>
          <w:bCs/>
          <w:color w:val="000000" w:themeColor="text1"/>
        </w:rPr>
        <w:t xml:space="preserve"> analysis and research</w:t>
      </w:r>
      <w:r w:rsidR="00135158">
        <w:rPr>
          <w:bCs/>
          <w:color w:val="000000" w:themeColor="text1"/>
        </w:rPr>
        <w:t>)</w:t>
      </w:r>
      <w:r w:rsidRPr="00845E34">
        <w:rPr>
          <w:bCs/>
          <w:color w:val="000000" w:themeColor="text1"/>
        </w:rPr>
        <w:t xml:space="preserve"> </w:t>
      </w:r>
      <w:r w:rsidR="005F323E">
        <w:rPr>
          <w:bCs/>
          <w:color w:val="000000" w:themeColor="text1"/>
        </w:rPr>
        <w:t>involve</w:t>
      </w:r>
      <w:r w:rsidR="00845E34" w:rsidRPr="00845E34">
        <w:rPr>
          <w:bCs/>
          <w:color w:val="000000" w:themeColor="text1"/>
        </w:rPr>
        <w:t xml:space="preserve"> paid agents. </w:t>
      </w:r>
    </w:p>
    <w:p w14:paraId="179706C2" w14:textId="050EA986" w:rsidR="00845E34" w:rsidRPr="008154E6" w:rsidRDefault="00617C18" w:rsidP="007449AB">
      <w:pPr>
        <w:pStyle w:val="ListParagraph"/>
        <w:numPr>
          <w:ilvl w:val="0"/>
          <w:numId w:val="20"/>
        </w:numPr>
        <w:jc w:val="both"/>
        <w:rPr>
          <w:b/>
          <w:bCs/>
          <w:i/>
          <w:color w:val="000000" w:themeColor="text1"/>
        </w:rPr>
      </w:pPr>
      <w:r w:rsidRPr="008154E6">
        <w:rPr>
          <w:b/>
          <w:bCs/>
          <w:i/>
          <w:color w:val="000000" w:themeColor="text1"/>
        </w:rPr>
        <w:t>c</w:t>
      </w:r>
      <w:r w:rsidR="00845E34" w:rsidRPr="008154E6">
        <w:rPr>
          <w:b/>
          <w:bCs/>
          <w:i/>
          <w:color w:val="000000" w:themeColor="text1"/>
        </w:rPr>
        <w:t xml:space="preserve">onfirming the participation of the Fund's Financial Policy Officer in the </w:t>
      </w:r>
      <w:r w:rsidR="00A07A1A" w:rsidRPr="008154E6">
        <w:rPr>
          <w:b/>
          <w:bCs/>
          <w:i/>
          <w:color w:val="000000" w:themeColor="text1"/>
        </w:rPr>
        <w:t xml:space="preserve">LAPFF </w:t>
      </w:r>
      <w:r w:rsidR="00845E34" w:rsidRPr="008154E6">
        <w:rPr>
          <w:b/>
          <w:bCs/>
          <w:i/>
          <w:color w:val="000000" w:themeColor="text1"/>
        </w:rPr>
        <w:t xml:space="preserve">mentoring scheme </w:t>
      </w:r>
      <w:r w:rsidR="00FD2D84" w:rsidRPr="008154E6">
        <w:rPr>
          <w:b/>
          <w:bCs/>
          <w:i/>
          <w:color w:val="000000" w:themeColor="text1"/>
        </w:rPr>
        <w:t xml:space="preserve">as </w:t>
      </w:r>
      <w:r w:rsidR="00FF5FBE" w:rsidRPr="008154E6">
        <w:rPr>
          <w:b/>
          <w:bCs/>
          <w:i/>
          <w:color w:val="000000" w:themeColor="text1"/>
        </w:rPr>
        <w:t>noted</w:t>
      </w:r>
      <w:r w:rsidR="00845E34" w:rsidRPr="008154E6">
        <w:rPr>
          <w:b/>
          <w:bCs/>
          <w:i/>
          <w:color w:val="000000" w:themeColor="text1"/>
        </w:rPr>
        <w:t xml:space="preserve"> within the last </w:t>
      </w:r>
      <w:r w:rsidR="00FF5FBE" w:rsidRPr="008154E6">
        <w:rPr>
          <w:b/>
          <w:bCs/>
          <w:i/>
          <w:color w:val="000000" w:themeColor="text1"/>
        </w:rPr>
        <w:t xml:space="preserve">RI </w:t>
      </w:r>
      <w:r w:rsidR="00845E34" w:rsidRPr="008154E6">
        <w:rPr>
          <w:b/>
          <w:bCs/>
          <w:i/>
          <w:color w:val="000000" w:themeColor="text1"/>
        </w:rPr>
        <w:t xml:space="preserve">report to the Pension Fund Committee (June 2015). </w:t>
      </w:r>
    </w:p>
    <w:p w14:paraId="5729D22B" w14:textId="450C7C0F" w:rsidR="00ED4B33" w:rsidRDefault="00845E34" w:rsidP="007449AB">
      <w:pPr>
        <w:pStyle w:val="ListParagraph"/>
        <w:jc w:val="both"/>
        <w:rPr>
          <w:bCs/>
          <w:color w:val="000000" w:themeColor="text1"/>
        </w:rPr>
      </w:pPr>
      <w:r>
        <w:rPr>
          <w:bCs/>
          <w:color w:val="000000" w:themeColor="text1"/>
        </w:rPr>
        <w:t xml:space="preserve">An initial meeting for participants is scheduled for later in the autumn as a precursor to matching mentors with their mentees.  </w:t>
      </w:r>
    </w:p>
    <w:p w14:paraId="1EC323A5" w14:textId="77777777" w:rsidR="00D24BA6" w:rsidRPr="00ED4D00" w:rsidRDefault="00D24BA6" w:rsidP="00ED4D00">
      <w:pPr>
        <w:jc w:val="both"/>
        <w:rPr>
          <w:bCs/>
          <w:color w:val="000000" w:themeColor="text1"/>
        </w:rPr>
      </w:pPr>
    </w:p>
    <w:p w14:paraId="013FC227" w14:textId="3E18F9FA" w:rsidR="00135158" w:rsidRPr="008154E6" w:rsidRDefault="00617C18" w:rsidP="007449AB">
      <w:pPr>
        <w:pStyle w:val="ListParagraph"/>
        <w:numPr>
          <w:ilvl w:val="0"/>
          <w:numId w:val="20"/>
        </w:numPr>
        <w:jc w:val="both"/>
        <w:rPr>
          <w:b/>
          <w:bCs/>
          <w:i/>
          <w:color w:val="000000" w:themeColor="text1"/>
        </w:rPr>
      </w:pPr>
      <w:proofErr w:type="gramStart"/>
      <w:r w:rsidRPr="008154E6">
        <w:rPr>
          <w:b/>
          <w:bCs/>
          <w:i/>
          <w:color w:val="000000" w:themeColor="text1"/>
        </w:rPr>
        <w:t>v</w:t>
      </w:r>
      <w:r w:rsidR="00FF5FBE" w:rsidRPr="008154E6">
        <w:rPr>
          <w:b/>
          <w:bCs/>
          <w:i/>
          <w:color w:val="000000" w:themeColor="text1"/>
        </w:rPr>
        <w:t>isiting</w:t>
      </w:r>
      <w:proofErr w:type="gramEnd"/>
      <w:r w:rsidR="00FF5FBE" w:rsidRPr="008154E6">
        <w:rPr>
          <w:b/>
          <w:bCs/>
          <w:i/>
          <w:color w:val="000000" w:themeColor="text1"/>
        </w:rPr>
        <w:t xml:space="preserve"> LAPFF </w:t>
      </w:r>
      <w:r w:rsidR="00FD2D84" w:rsidRPr="008154E6">
        <w:rPr>
          <w:b/>
          <w:bCs/>
          <w:i/>
          <w:color w:val="000000" w:themeColor="text1"/>
        </w:rPr>
        <w:t xml:space="preserve">head </w:t>
      </w:r>
      <w:r w:rsidR="00FF5FBE" w:rsidRPr="008154E6">
        <w:rPr>
          <w:b/>
          <w:bCs/>
          <w:i/>
          <w:color w:val="000000" w:themeColor="text1"/>
        </w:rPr>
        <w:t>offices in London</w:t>
      </w:r>
      <w:r w:rsidR="00135158" w:rsidRPr="008154E6">
        <w:rPr>
          <w:b/>
          <w:bCs/>
          <w:i/>
          <w:color w:val="000000" w:themeColor="text1"/>
        </w:rPr>
        <w:t>.</w:t>
      </w:r>
    </w:p>
    <w:p w14:paraId="2D3B96B1" w14:textId="5F3AC2BC" w:rsidR="00845E34" w:rsidRPr="00845E34" w:rsidRDefault="00135158" w:rsidP="00135158">
      <w:pPr>
        <w:pStyle w:val="ListParagraph"/>
        <w:rPr>
          <w:bCs/>
          <w:color w:val="000000" w:themeColor="text1"/>
        </w:rPr>
      </w:pPr>
      <w:r>
        <w:rPr>
          <w:bCs/>
          <w:color w:val="000000" w:themeColor="text1"/>
        </w:rPr>
        <w:t xml:space="preserve">The opportunity </w:t>
      </w:r>
      <w:r w:rsidR="000D13E4">
        <w:rPr>
          <w:bCs/>
          <w:color w:val="000000" w:themeColor="text1"/>
        </w:rPr>
        <w:t xml:space="preserve">arose </w:t>
      </w:r>
      <w:r w:rsidR="005F323E">
        <w:rPr>
          <w:bCs/>
          <w:color w:val="000000" w:themeColor="text1"/>
        </w:rPr>
        <w:t xml:space="preserve">and was taken </w:t>
      </w:r>
      <w:r>
        <w:rPr>
          <w:bCs/>
          <w:color w:val="000000" w:themeColor="text1"/>
        </w:rPr>
        <w:t>to meet staff</w:t>
      </w:r>
      <w:r w:rsidR="000D13E4">
        <w:rPr>
          <w:bCs/>
          <w:color w:val="000000" w:themeColor="text1"/>
        </w:rPr>
        <w:t>,</w:t>
      </w:r>
      <w:r>
        <w:rPr>
          <w:bCs/>
          <w:color w:val="000000" w:themeColor="text1"/>
        </w:rPr>
        <w:t xml:space="preserve"> </w:t>
      </w:r>
      <w:r w:rsidR="00FD2D84">
        <w:rPr>
          <w:bCs/>
          <w:color w:val="000000" w:themeColor="text1"/>
        </w:rPr>
        <w:t xml:space="preserve">begin to </w:t>
      </w:r>
      <w:r w:rsidR="000D13E4">
        <w:rPr>
          <w:bCs/>
          <w:color w:val="000000" w:themeColor="text1"/>
        </w:rPr>
        <w:t xml:space="preserve">create connections and </w:t>
      </w:r>
      <w:r>
        <w:rPr>
          <w:bCs/>
          <w:color w:val="000000" w:themeColor="text1"/>
        </w:rPr>
        <w:t xml:space="preserve">discuss </w:t>
      </w:r>
      <w:r w:rsidR="00FF5FBE">
        <w:rPr>
          <w:bCs/>
          <w:color w:val="000000" w:themeColor="text1"/>
        </w:rPr>
        <w:t xml:space="preserve">how to </w:t>
      </w:r>
      <w:r w:rsidR="000D13E4">
        <w:rPr>
          <w:bCs/>
          <w:color w:val="000000" w:themeColor="text1"/>
        </w:rPr>
        <w:t>gain</w:t>
      </w:r>
      <w:r w:rsidR="00845E34">
        <w:rPr>
          <w:bCs/>
          <w:color w:val="000000" w:themeColor="text1"/>
        </w:rPr>
        <w:t xml:space="preserve"> greatest benefit from membership </w:t>
      </w:r>
      <w:r w:rsidR="005A35DF">
        <w:rPr>
          <w:bCs/>
          <w:color w:val="000000" w:themeColor="text1"/>
        </w:rPr>
        <w:t>going forward.</w:t>
      </w:r>
    </w:p>
    <w:p w14:paraId="37CF6515" w14:textId="77777777" w:rsidR="00741751" w:rsidRDefault="00741751" w:rsidP="000D2A08">
      <w:pPr>
        <w:autoSpaceDE w:val="0"/>
        <w:autoSpaceDN w:val="0"/>
        <w:adjustRightInd w:val="0"/>
        <w:rPr>
          <w:rFonts w:cs="Arial"/>
          <w:b/>
          <w:color w:val="000000" w:themeColor="text1"/>
          <w:szCs w:val="24"/>
        </w:rPr>
      </w:pPr>
    </w:p>
    <w:p w14:paraId="4245CA09" w14:textId="77777777" w:rsidR="000D2A08" w:rsidRPr="007B01EE" w:rsidRDefault="00D97286" w:rsidP="000D2A08">
      <w:pPr>
        <w:autoSpaceDE w:val="0"/>
        <w:autoSpaceDN w:val="0"/>
        <w:adjustRightInd w:val="0"/>
        <w:rPr>
          <w:rFonts w:cs="Arial"/>
          <w:b/>
          <w:color w:val="000000" w:themeColor="text1"/>
          <w:sz w:val="22"/>
          <w:szCs w:val="22"/>
        </w:rPr>
      </w:pPr>
      <w:r w:rsidRPr="000D615C">
        <w:rPr>
          <w:rFonts w:cs="Arial"/>
          <w:b/>
          <w:color w:val="000000" w:themeColor="text1"/>
          <w:szCs w:val="24"/>
        </w:rPr>
        <w:t>3</w:t>
      </w:r>
      <w:r>
        <w:rPr>
          <w:rFonts w:cs="Arial"/>
          <w:i/>
          <w:color w:val="000000" w:themeColor="text1"/>
          <w:szCs w:val="24"/>
        </w:rPr>
        <w:t>.</w:t>
      </w:r>
      <w:r w:rsidR="0016562E" w:rsidRPr="005F3B49">
        <w:rPr>
          <w:rFonts w:cs="Arial"/>
          <w:i/>
          <w:color w:val="000000" w:themeColor="text1"/>
          <w:szCs w:val="24"/>
        </w:rPr>
        <w:t xml:space="preserve"> </w:t>
      </w:r>
      <w:r w:rsidR="0016562E" w:rsidRPr="007B01EE">
        <w:rPr>
          <w:rFonts w:cs="Arial"/>
          <w:b/>
          <w:color w:val="000000" w:themeColor="text1"/>
          <w:sz w:val="22"/>
          <w:szCs w:val="22"/>
        </w:rPr>
        <w:t>Shareholder Litigation</w:t>
      </w:r>
      <w:r w:rsidR="000D2A08" w:rsidRPr="007B01EE">
        <w:rPr>
          <w:rFonts w:cs="Arial"/>
          <w:b/>
          <w:color w:val="000000" w:themeColor="text1"/>
          <w:sz w:val="22"/>
          <w:szCs w:val="22"/>
        </w:rPr>
        <w:t xml:space="preserve"> </w:t>
      </w:r>
    </w:p>
    <w:p w14:paraId="0A64A06D" w14:textId="35470791" w:rsidR="00D97286" w:rsidRDefault="00775189" w:rsidP="00ED4B33">
      <w:pPr>
        <w:autoSpaceDE w:val="0"/>
        <w:autoSpaceDN w:val="0"/>
        <w:adjustRightInd w:val="0"/>
        <w:jc w:val="both"/>
        <w:rPr>
          <w:rFonts w:cs="Arial"/>
          <w:color w:val="000000" w:themeColor="text1"/>
          <w:szCs w:val="24"/>
        </w:rPr>
      </w:pPr>
      <w:r>
        <w:rPr>
          <w:rFonts w:cs="Arial"/>
          <w:color w:val="000000" w:themeColor="text1"/>
          <w:szCs w:val="24"/>
        </w:rPr>
        <w:tab/>
      </w:r>
    </w:p>
    <w:p w14:paraId="516B3151" w14:textId="4CA3FBB8" w:rsidR="00C550C9" w:rsidRPr="00110760" w:rsidRDefault="000D2A08" w:rsidP="00ED4B33">
      <w:pPr>
        <w:autoSpaceDE w:val="0"/>
        <w:autoSpaceDN w:val="0"/>
        <w:adjustRightInd w:val="0"/>
        <w:jc w:val="both"/>
        <w:rPr>
          <w:rFonts w:cs="Arial"/>
          <w:color w:val="000000" w:themeColor="text1"/>
          <w:szCs w:val="24"/>
        </w:rPr>
      </w:pPr>
      <w:r w:rsidRPr="00B743BE">
        <w:rPr>
          <w:rFonts w:cs="Arial"/>
          <w:color w:val="000000" w:themeColor="text1"/>
          <w:szCs w:val="24"/>
        </w:rPr>
        <w:t>The F</w:t>
      </w:r>
      <w:r w:rsidR="00E640E1" w:rsidRPr="00B743BE">
        <w:rPr>
          <w:rFonts w:cs="Arial"/>
          <w:color w:val="000000" w:themeColor="text1"/>
          <w:szCs w:val="24"/>
        </w:rPr>
        <w:t xml:space="preserve">und </w:t>
      </w:r>
      <w:r w:rsidR="00A633CD">
        <w:rPr>
          <w:rFonts w:cs="Arial"/>
          <w:color w:val="000000" w:themeColor="text1"/>
          <w:szCs w:val="24"/>
        </w:rPr>
        <w:t xml:space="preserve">is committed to maintaining an up to date understanding of </w:t>
      </w:r>
      <w:r w:rsidR="00674A18">
        <w:rPr>
          <w:rFonts w:cs="Arial"/>
          <w:color w:val="000000" w:themeColor="text1"/>
          <w:szCs w:val="24"/>
        </w:rPr>
        <w:t xml:space="preserve">any </w:t>
      </w:r>
      <w:r w:rsidR="008A2725">
        <w:rPr>
          <w:rFonts w:cs="Arial"/>
          <w:color w:val="000000" w:themeColor="text1"/>
          <w:szCs w:val="24"/>
        </w:rPr>
        <w:t>shareholder litigation</w:t>
      </w:r>
      <w:r w:rsidR="00D516A1">
        <w:rPr>
          <w:rFonts w:cs="Arial"/>
          <w:color w:val="000000" w:themeColor="text1"/>
          <w:szCs w:val="24"/>
        </w:rPr>
        <w:t xml:space="preserve"> </w:t>
      </w:r>
      <w:r w:rsidR="00A633CD">
        <w:rPr>
          <w:rFonts w:cs="Arial"/>
          <w:color w:val="000000" w:themeColor="text1"/>
          <w:szCs w:val="24"/>
        </w:rPr>
        <w:t>in which it potential</w:t>
      </w:r>
      <w:r w:rsidR="00674A18">
        <w:rPr>
          <w:rFonts w:cs="Arial"/>
          <w:color w:val="000000" w:themeColor="text1"/>
          <w:szCs w:val="24"/>
        </w:rPr>
        <w:t>ly has an</w:t>
      </w:r>
      <w:r w:rsidR="00ED4B33">
        <w:rPr>
          <w:rFonts w:cs="Arial"/>
          <w:color w:val="000000" w:themeColor="text1"/>
          <w:szCs w:val="24"/>
        </w:rPr>
        <w:t xml:space="preserve"> interest. </w:t>
      </w:r>
      <w:r w:rsidR="00A633CD">
        <w:rPr>
          <w:rFonts w:cs="Arial"/>
          <w:color w:val="000000" w:themeColor="text1"/>
          <w:szCs w:val="24"/>
        </w:rPr>
        <w:t xml:space="preserve">Litigation </w:t>
      </w:r>
      <w:r w:rsidR="00BB2B2E">
        <w:rPr>
          <w:rFonts w:cs="Arial"/>
          <w:color w:val="000000" w:themeColor="text1"/>
          <w:szCs w:val="24"/>
        </w:rPr>
        <w:t>offers</w:t>
      </w:r>
      <w:r w:rsidR="00A633CD">
        <w:rPr>
          <w:rFonts w:cs="Arial"/>
          <w:color w:val="000000" w:themeColor="text1"/>
          <w:szCs w:val="24"/>
        </w:rPr>
        <w:t xml:space="preserve"> a route </w:t>
      </w:r>
      <w:r w:rsidR="008A2725">
        <w:rPr>
          <w:rFonts w:cs="Arial"/>
          <w:color w:val="000000" w:themeColor="text1"/>
          <w:szCs w:val="24"/>
        </w:rPr>
        <w:t xml:space="preserve">for </w:t>
      </w:r>
      <w:r w:rsidRPr="00B743BE">
        <w:rPr>
          <w:rFonts w:cs="Arial"/>
          <w:color w:val="000000" w:themeColor="text1"/>
          <w:szCs w:val="24"/>
        </w:rPr>
        <w:t>recover</w:t>
      </w:r>
      <w:r w:rsidR="00A633CD">
        <w:rPr>
          <w:rFonts w:cs="Arial"/>
          <w:color w:val="000000" w:themeColor="text1"/>
          <w:szCs w:val="24"/>
        </w:rPr>
        <w:t xml:space="preserve">ing financial </w:t>
      </w:r>
      <w:r w:rsidR="00BB2B2E">
        <w:rPr>
          <w:rFonts w:cs="Arial"/>
          <w:color w:val="000000" w:themeColor="text1"/>
          <w:szCs w:val="24"/>
        </w:rPr>
        <w:t xml:space="preserve">losses </w:t>
      </w:r>
      <w:r w:rsidR="008A2725">
        <w:rPr>
          <w:rFonts w:cs="Arial"/>
          <w:color w:val="000000" w:themeColor="text1"/>
          <w:szCs w:val="24"/>
        </w:rPr>
        <w:t>where</w:t>
      </w:r>
      <w:r w:rsidR="008A2725" w:rsidRPr="00B743BE">
        <w:rPr>
          <w:rFonts w:cs="Arial"/>
          <w:color w:val="000000" w:themeColor="text1"/>
          <w:szCs w:val="24"/>
        </w:rPr>
        <w:t xml:space="preserve"> asset values </w:t>
      </w:r>
      <w:r w:rsidR="008A2725">
        <w:rPr>
          <w:rFonts w:cs="Arial"/>
          <w:color w:val="000000" w:themeColor="text1"/>
          <w:szCs w:val="24"/>
        </w:rPr>
        <w:t>have been</w:t>
      </w:r>
      <w:r w:rsidR="008A2725" w:rsidRPr="00B743BE">
        <w:rPr>
          <w:rFonts w:cs="Arial"/>
          <w:color w:val="000000" w:themeColor="text1"/>
          <w:szCs w:val="24"/>
        </w:rPr>
        <w:t xml:space="preserve"> diminished </w:t>
      </w:r>
      <w:r w:rsidR="008A2725">
        <w:rPr>
          <w:rFonts w:cs="Arial"/>
          <w:color w:val="000000" w:themeColor="text1"/>
          <w:szCs w:val="24"/>
        </w:rPr>
        <w:t xml:space="preserve">as a result of </w:t>
      </w:r>
      <w:r w:rsidR="008A2725" w:rsidRPr="00B743BE">
        <w:rPr>
          <w:rFonts w:cs="Arial"/>
          <w:color w:val="000000" w:themeColor="text1"/>
          <w:szCs w:val="24"/>
        </w:rPr>
        <w:t>financial misconduct</w:t>
      </w:r>
      <w:r w:rsidR="00674A18">
        <w:rPr>
          <w:rFonts w:cs="Arial"/>
          <w:color w:val="000000" w:themeColor="text1"/>
          <w:szCs w:val="24"/>
        </w:rPr>
        <w:t xml:space="preserve"> and also</w:t>
      </w:r>
      <w:r w:rsidR="00502A79">
        <w:rPr>
          <w:rFonts w:cs="Arial"/>
          <w:szCs w:val="24"/>
        </w:rPr>
        <w:t xml:space="preserve"> </w:t>
      </w:r>
      <w:r w:rsidR="008A2725">
        <w:rPr>
          <w:rFonts w:cs="Arial"/>
          <w:szCs w:val="24"/>
        </w:rPr>
        <w:t>fulfils a</w:t>
      </w:r>
      <w:r w:rsidR="00A633CD">
        <w:rPr>
          <w:rFonts w:cs="Arial"/>
          <w:szCs w:val="24"/>
        </w:rPr>
        <w:t xml:space="preserve"> commitment to </w:t>
      </w:r>
      <w:r w:rsidR="005F3B49" w:rsidRPr="00B743BE">
        <w:rPr>
          <w:rFonts w:cs="Arial"/>
          <w:color w:val="000000" w:themeColor="text1"/>
          <w:szCs w:val="24"/>
        </w:rPr>
        <w:t>active</w:t>
      </w:r>
      <w:r w:rsidR="00502A79">
        <w:rPr>
          <w:rFonts w:cs="Arial"/>
          <w:color w:val="000000" w:themeColor="text1"/>
          <w:szCs w:val="24"/>
        </w:rPr>
        <w:t>ly</w:t>
      </w:r>
      <w:r w:rsidR="005F3B49" w:rsidRPr="00B743BE">
        <w:rPr>
          <w:rFonts w:cs="Arial"/>
          <w:color w:val="000000" w:themeColor="text1"/>
          <w:szCs w:val="24"/>
        </w:rPr>
        <w:t xml:space="preserve"> </w:t>
      </w:r>
      <w:r w:rsidR="00617C18">
        <w:rPr>
          <w:rFonts w:cs="Arial"/>
          <w:color w:val="000000" w:themeColor="text1"/>
          <w:szCs w:val="24"/>
        </w:rPr>
        <w:t>engag</w:t>
      </w:r>
      <w:r w:rsidR="005F323E">
        <w:rPr>
          <w:rFonts w:cs="Arial"/>
          <w:color w:val="000000" w:themeColor="text1"/>
          <w:szCs w:val="24"/>
        </w:rPr>
        <w:t>ing</w:t>
      </w:r>
      <w:r w:rsidR="00674A18">
        <w:rPr>
          <w:rFonts w:cs="Arial"/>
          <w:color w:val="000000" w:themeColor="text1"/>
          <w:szCs w:val="24"/>
        </w:rPr>
        <w:t xml:space="preserve"> </w:t>
      </w:r>
      <w:r w:rsidR="00AA0678">
        <w:rPr>
          <w:rFonts w:cs="Arial"/>
          <w:color w:val="000000" w:themeColor="text1"/>
          <w:szCs w:val="24"/>
        </w:rPr>
        <w:t>with investee companies</w:t>
      </w:r>
      <w:r w:rsidR="00A633CD">
        <w:rPr>
          <w:rFonts w:cs="Arial"/>
          <w:color w:val="000000" w:themeColor="text1"/>
          <w:szCs w:val="24"/>
        </w:rPr>
        <w:t xml:space="preserve"> in order to improve </w:t>
      </w:r>
      <w:r w:rsidR="00674A18">
        <w:rPr>
          <w:rFonts w:cs="Arial"/>
          <w:color w:val="000000" w:themeColor="text1"/>
          <w:szCs w:val="24"/>
        </w:rPr>
        <w:t xml:space="preserve">standards of </w:t>
      </w:r>
      <w:r w:rsidR="00A633CD">
        <w:rPr>
          <w:rFonts w:cs="Arial"/>
          <w:color w:val="000000" w:themeColor="text1"/>
          <w:szCs w:val="24"/>
        </w:rPr>
        <w:t xml:space="preserve">corporate governance. </w:t>
      </w:r>
    </w:p>
    <w:p w14:paraId="184FC15A" w14:textId="77777777" w:rsidR="00A633CD" w:rsidRDefault="00A633CD" w:rsidP="00ED4B33">
      <w:pPr>
        <w:autoSpaceDE w:val="0"/>
        <w:autoSpaceDN w:val="0"/>
        <w:adjustRightInd w:val="0"/>
        <w:jc w:val="both"/>
        <w:rPr>
          <w:rFonts w:cs="Arial"/>
          <w:color w:val="000000" w:themeColor="text1"/>
          <w:szCs w:val="24"/>
        </w:rPr>
      </w:pPr>
    </w:p>
    <w:p w14:paraId="46B953C4" w14:textId="7269E7FE" w:rsidR="00AA0678" w:rsidRDefault="008A2725" w:rsidP="00ED4B33">
      <w:pPr>
        <w:autoSpaceDE w:val="0"/>
        <w:autoSpaceDN w:val="0"/>
        <w:adjustRightInd w:val="0"/>
        <w:jc w:val="both"/>
        <w:rPr>
          <w:bCs/>
          <w:color w:val="000000" w:themeColor="text1"/>
        </w:rPr>
      </w:pPr>
      <w:r>
        <w:rPr>
          <w:bCs/>
          <w:color w:val="000000" w:themeColor="text1"/>
        </w:rPr>
        <w:t>S</w:t>
      </w:r>
      <w:r w:rsidRPr="00110760">
        <w:rPr>
          <w:bCs/>
          <w:color w:val="000000" w:themeColor="text1"/>
        </w:rPr>
        <w:t>ecur</w:t>
      </w:r>
      <w:r>
        <w:rPr>
          <w:bCs/>
          <w:color w:val="000000" w:themeColor="text1"/>
        </w:rPr>
        <w:t>ities litigation monitoring services</w:t>
      </w:r>
      <w:r w:rsidRPr="00110760">
        <w:rPr>
          <w:bCs/>
          <w:color w:val="000000" w:themeColor="text1"/>
        </w:rPr>
        <w:t xml:space="preserve"> </w:t>
      </w:r>
      <w:r>
        <w:rPr>
          <w:bCs/>
          <w:color w:val="000000" w:themeColor="text1"/>
        </w:rPr>
        <w:t xml:space="preserve">are </w:t>
      </w:r>
      <w:r w:rsidR="001D5687">
        <w:rPr>
          <w:bCs/>
          <w:color w:val="000000" w:themeColor="text1"/>
        </w:rPr>
        <w:t xml:space="preserve">being </w:t>
      </w:r>
      <w:r>
        <w:rPr>
          <w:bCs/>
          <w:color w:val="000000" w:themeColor="text1"/>
        </w:rPr>
        <w:t xml:space="preserve">provided </w:t>
      </w:r>
      <w:r w:rsidR="000D13E4">
        <w:rPr>
          <w:bCs/>
          <w:color w:val="000000" w:themeColor="text1"/>
        </w:rPr>
        <w:t xml:space="preserve">to the Fund at no cost </w:t>
      </w:r>
      <w:r>
        <w:rPr>
          <w:rFonts w:cs="Arial"/>
          <w:color w:val="000000" w:themeColor="text1"/>
          <w:szCs w:val="24"/>
        </w:rPr>
        <w:t>by</w:t>
      </w:r>
      <w:r w:rsidR="00E45591" w:rsidRPr="00110760">
        <w:rPr>
          <w:rFonts w:cs="Arial"/>
          <w:color w:val="000000" w:themeColor="text1"/>
          <w:szCs w:val="24"/>
        </w:rPr>
        <w:t xml:space="preserve"> </w:t>
      </w:r>
      <w:r w:rsidR="0016562E" w:rsidRPr="00110760">
        <w:rPr>
          <w:rFonts w:cs="Arial"/>
          <w:color w:val="000000" w:themeColor="text1"/>
          <w:szCs w:val="24"/>
        </w:rPr>
        <w:t xml:space="preserve">two US law firms </w:t>
      </w:r>
      <w:r w:rsidR="00E45591" w:rsidRPr="00110760">
        <w:rPr>
          <w:rFonts w:cs="Arial"/>
          <w:color w:val="000000" w:themeColor="text1"/>
          <w:szCs w:val="24"/>
        </w:rPr>
        <w:t xml:space="preserve">- </w:t>
      </w:r>
      <w:r w:rsidR="00E45591" w:rsidRPr="00110760">
        <w:rPr>
          <w:bCs/>
          <w:color w:val="000000" w:themeColor="text1"/>
        </w:rPr>
        <w:t>Barrack, Rodos and Bacine (BR&amp;B) and Robbins Geller Rudman and Dowd (RGRD)</w:t>
      </w:r>
      <w:r w:rsidR="001D5687">
        <w:rPr>
          <w:bCs/>
          <w:color w:val="000000" w:themeColor="text1"/>
        </w:rPr>
        <w:t>. Jointly, the</w:t>
      </w:r>
      <w:r w:rsidR="00FD2D84">
        <w:rPr>
          <w:bCs/>
          <w:color w:val="000000" w:themeColor="text1"/>
        </w:rPr>
        <w:t xml:space="preserve">se firms </w:t>
      </w:r>
      <w:r w:rsidR="00711F11">
        <w:rPr>
          <w:bCs/>
          <w:color w:val="000000" w:themeColor="text1"/>
        </w:rPr>
        <w:t>ensure</w:t>
      </w:r>
      <w:r>
        <w:rPr>
          <w:bCs/>
          <w:color w:val="000000" w:themeColor="text1"/>
        </w:rPr>
        <w:t xml:space="preserve"> </w:t>
      </w:r>
      <w:r w:rsidR="00AA0678">
        <w:rPr>
          <w:bCs/>
          <w:color w:val="000000" w:themeColor="text1"/>
        </w:rPr>
        <w:t>prospective actions are known about</w:t>
      </w:r>
      <w:r w:rsidR="00A755D8">
        <w:rPr>
          <w:bCs/>
          <w:color w:val="000000" w:themeColor="text1"/>
        </w:rPr>
        <w:t xml:space="preserve">, </w:t>
      </w:r>
      <w:r w:rsidR="00502A79">
        <w:rPr>
          <w:bCs/>
          <w:color w:val="000000" w:themeColor="text1"/>
        </w:rPr>
        <w:t xml:space="preserve">the </w:t>
      </w:r>
      <w:r w:rsidR="004751FA">
        <w:rPr>
          <w:bCs/>
          <w:color w:val="000000" w:themeColor="text1"/>
        </w:rPr>
        <w:t xml:space="preserve">Fund's </w:t>
      </w:r>
      <w:r w:rsidR="00502A79">
        <w:rPr>
          <w:bCs/>
          <w:color w:val="000000" w:themeColor="text1"/>
        </w:rPr>
        <w:t>interest (</w:t>
      </w:r>
      <w:r w:rsidR="006255A6">
        <w:rPr>
          <w:bCs/>
          <w:color w:val="000000" w:themeColor="text1"/>
        </w:rPr>
        <w:t xml:space="preserve">level </w:t>
      </w:r>
      <w:r w:rsidR="005353E9">
        <w:rPr>
          <w:bCs/>
          <w:color w:val="000000" w:themeColor="text1"/>
        </w:rPr>
        <w:t xml:space="preserve">of </w:t>
      </w:r>
      <w:r w:rsidR="00502A79">
        <w:rPr>
          <w:bCs/>
          <w:color w:val="000000" w:themeColor="text1"/>
        </w:rPr>
        <w:t xml:space="preserve">loss) </w:t>
      </w:r>
      <w:r w:rsidR="00211AA0">
        <w:rPr>
          <w:bCs/>
          <w:color w:val="000000" w:themeColor="text1"/>
        </w:rPr>
        <w:t xml:space="preserve">is </w:t>
      </w:r>
      <w:r w:rsidR="000D13E4">
        <w:rPr>
          <w:bCs/>
          <w:color w:val="000000" w:themeColor="text1"/>
        </w:rPr>
        <w:t>quantified and i</w:t>
      </w:r>
      <w:r w:rsidR="00617C18">
        <w:rPr>
          <w:bCs/>
          <w:color w:val="000000" w:themeColor="text1"/>
        </w:rPr>
        <w:t xml:space="preserve">nformation is available as </w:t>
      </w:r>
      <w:r w:rsidR="00211AA0">
        <w:rPr>
          <w:bCs/>
          <w:color w:val="000000" w:themeColor="text1"/>
        </w:rPr>
        <w:t>a</w:t>
      </w:r>
      <w:r w:rsidR="00617C18">
        <w:rPr>
          <w:bCs/>
          <w:color w:val="000000" w:themeColor="text1"/>
        </w:rPr>
        <w:t xml:space="preserve"> </w:t>
      </w:r>
      <w:r w:rsidR="000D13E4">
        <w:rPr>
          <w:bCs/>
          <w:color w:val="000000" w:themeColor="text1"/>
        </w:rPr>
        <w:t xml:space="preserve">basis for </w:t>
      </w:r>
      <w:r w:rsidR="00617C18">
        <w:rPr>
          <w:bCs/>
          <w:color w:val="000000" w:themeColor="text1"/>
        </w:rPr>
        <w:t xml:space="preserve">making </w:t>
      </w:r>
      <w:r w:rsidR="00711F11">
        <w:rPr>
          <w:bCs/>
          <w:color w:val="000000" w:themeColor="text1"/>
        </w:rPr>
        <w:t>decision</w:t>
      </w:r>
      <w:r w:rsidR="00427BCF">
        <w:rPr>
          <w:bCs/>
          <w:color w:val="000000" w:themeColor="text1"/>
        </w:rPr>
        <w:t>s</w:t>
      </w:r>
      <w:r w:rsidR="00502A79">
        <w:rPr>
          <w:bCs/>
          <w:color w:val="000000" w:themeColor="text1"/>
        </w:rPr>
        <w:t xml:space="preserve"> </w:t>
      </w:r>
      <w:r w:rsidR="004751FA">
        <w:rPr>
          <w:bCs/>
          <w:color w:val="000000" w:themeColor="text1"/>
        </w:rPr>
        <w:t xml:space="preserve">on </w:t>
      </w:r>
      <w:r w:rsidR="00617C18">
        <w:rPr>
          <w:bCs/>
          <w:color w:val="000000" w:themeColor="text1"/>
        </w:rPr>
        <w:t>an</w:t>
      </w:r>
      <w:r w:rsidR="00767C8E">
        <w:rPr>
          <w:bCs/>
          <w:color w:val="000000" w:themeColor="text1"/>
        </w:rPr>
        <w:t xml:space="preserve"> </w:t>
      </w:r>
      <w:r w:rsidR="005353E9">
        <w:rPr>
          <w:bCs/>
          <w:color w:val="000000" w:themeColor="text1"/>
        </w:rPr>
        <w:t>appropriate</w:t>
      </w:r>
      <w:r w:rsidR="00767C8E">
        <w:rPr>
          <w:bCs/>
          <w:color w:val="000000" w:themeColor="text1"/>
        </w:rPr>
        <w:t xml:space="preserve"> </w:t>
      </w:r>
      <w:r w:rsidR="00427BCF">
        <w:rPr>
          <w:bCs/>
          <w:color w:val="000000" w:themeColor="text1"/>
        </w:rPr>
        <w:t xml:space="preserve">course of </w:t>
      </w:r>
      <w:r w:rsidR="005353E9">
        <w:rPr>
          <w:bCs/>
          <w:color w:val="000000" w:themeColor="text1"/>
        </w:rPr>
        <w:t xml:space="preserve">action </w:t>
      </w:r>
      <w:r w:rsidR="00427BCF">
        <w:rPr>
          <w:bCs/>
          <w:color w:val="000000" w:themeColor="text1"/>
        </w:rPr>
        <w:t>given the risks, costs, benefits</w:t>
      </w:r>
      <w:r w:rsidR="00FB5956">
        <w:rPr>
          <w:bCs/>
          <w:color w:val="000000" w:themeColor="text1"/>
        </w:rPr>
        <w:t xml:space="preserve"> </w:t>
      </w:r>
      <w:r w:rsidR="00427BCF">
        <w:rPr>
          <w:bCs/>
          <w:color w:val="000000" w:themeColor="text1"/>
        </w:rPr>
        <w:t>and deadlines involved</w:t>
      </w:r>
      <w:r w:rsidR="001D5687">
        <w:rPr>
          <w:bCs/>
          <w:color w:val="000000" w:themeColor="text1"/>
        </w:rPr>
        <w:t xml:space="preserve"> in each case</w:t>
      </w:r>
      <w:r>
        <w:rPr>
          <w:bCs/>
          <w:color w:val="000000" w:themeColor="text1"/>
        </w:rPr>
        <w:t>.</w:t>
      </w:r>
    </w:p>
    <w:p w14:paraId="4ECF5746" w14:textId="77777777" w:rsidR="00AA0678" w:rsidRDefault="00AA0678" w:rsidP="00ED4B33">
      <w:pPr>
        <w:autoSpaceDE w:val="0"/>
        <w:autoSpaceDN w:val="0"/>
        <w:adjustRightInd w:val="0"/>
        <w:jc w:val="both"/>
        <w:rPr>
          <w:bCs/>
          <w:color w:val="000000" w:themeColor="text1"/>
        </w:rPr>
      </w:pPr>
    </w:p>
    <w:p w14:paraId="035406CE" w14:textId="77777777" w:rsidR="005F0B97" w:rsidRDefault="005F0B97" w:rsidP="00ED4B33">
      <w:pPr>
        <w:autoSpaceDE w:val="0"/>
        <w:autoSpaceDN w:val="0"/>
        <w:adjustRightInd w:val="0"/>
        <w:jc w:val="both"/>
        <w:rPr>
          <w:b/>
          <w:bCs/>
          <w:color w:val="000000" w:themeColor="text1"/>
        </w:rPr>
      </w:pPr>
      <w:r w:rsidRPr="000F619B">
        <w:rPr>
          <w:b/>
          <w:color w:val="000000" w:themeColor="text1"/>
        </w:rPr>
        <w:t xml:space="preserve">United </w:t>
      </w:r>
      <w:r w:rsidRPr="004751FA">
        <w:rPr>
          <w:b/>
          <w:color w:val="000000" w:themeColor="text1"/>
        </w:rPr>
        <w:t>States</w:t>
      </w:r>
      <w:r w:rsidR="000F619B" w:rsidRPr="004751FA">
        <w:rPr>
          <w:b/>
          <w:bCs/>
          <w:color w:val="000000" w:themeColor="text1"/>
        </w:rPr>
        <w:t xml:space="preserve"> </w:t>
      </w:r>
    </w:p>
    <w:p w14:paraId="49FCA1AD" w14:textId="77777777" w:rsidR="00ED4B33" w:rsidRPr="000F619B" w:rsidRDefault="00ED4B33" w:rsidP="00ED4B33">
      <w:pPr>
        <w:autoSpaceDE w:val="0"/>
        <w:autoSpaceDN w:val="0"/>
        <w:adjustRightInd w:val="0"/>
        <w:jc w:val="both"/>
        <w:rPr>
          <w:b/>
          <w:color w:val="000000" w:themeColor="text1"/>
        </w:rPr>
      </w:pPr>
    </w:p>
    <w:p w14:paraId="4995AF4D" w14:textId="18BD862B" w:rsidR="005F0B97" w:rsidRPr="000F619B" w:rsidRDefault="000F619B" w:rsidP="00ED4B33">
      <w:pPr>
        <w:keepNext/>
        <w:jc w:val="both"/>
        <w:outlineLvl w:val="0"/>
        <w:rPr>
          <w:bCs/>
          <w:color w:val="000000" w:themeColor="text1"/>
        </w:rPr>
      </w:pPr>
      <w:r>
        <w:rPr>
          <w:bCs/>
          <w:color w:val="000000" w:themeColor="text1"/>
        </w:rPr>
        <w:t>U</w:t>
      </w:r>
      <w:r w:rsidRPr="000F619B">
        <w:rPr>
          <w:bCs/>
          <w:color w:val="000000" w:themeColor="text1"/>
        </w:rPr>
        <w:t>nder US law</w:t>
      </w:r>
      <w:r>
        <w:rPr>
          <w:bCs/>
          <w:color w:val="000000" w:themeColor="text1"/>
        </w:rPr>
        <w:t>,</w:t>
      </w:r>
      <w:r w:rsidRPr="000F619B">
        <w:rPr>
          <w:bCs/>
          <w:color w:val="000000" w:themeColor="text1"/>
        </w:rPr>
        <w:t xml:space="preserve"> any shareholder </w:t>
      </w:r>
      <w:r w:rsidR="005F323E">
        <w:rPr>
          <w:bCs/>
          <w:color w:val="000000" w:themeColor="text1"/>
        </w:rPr>
        <w:t xml:space="preserve">who can demonstrate a </w:t>
      </w:r>
      <w:r w:rsidRPr="000F619B">
        <w:rPr>
          <w:bCs/>
          <w:color w:val="000000" w:themeColor="text1"/>
        </w:rPr>
        <w:t xml:space="preserve">loss </w:t>
      </w:r>
      <w:r w:rsidR="005F323E">
        <w:rPr>
          <w:bCs/>
          <w:color w:val="000000" w:themeColor="text1"/>
        </w:rPr>
        <w:t xml:space="preserve">related to </w:t>
      </w:r>
      <w:r w:rsidR="00211AA0">
        <w:rPr>
          <w:bCs/>
          <w:color w:val="000000" w:themeColor="text1"/>
        </w:rPr>
        <w:t xml:space="preserve">a </w:t>
      </w:r>
      <w:r w:rsidR="00A755D8">
        <w:rPr>
          <w:bCs/>
          <w:color w:val="000000" w:themeColor="text1"/>
        </w:rPr>
        <w:t xml:space="preserve">certified </w:t>
      </w:r>
      <w:r w:rsidR="00211AA0">
        <w:rPr>
          <w:bCs/>
          <w:color w:val="000000" w:themeColor="text1"/>
        </w:rPr>
        <w:t>class action is</w:t>
      </w:r>
      <w:r w:rsidR="00211AA0" w:rsidRPr="000F619B">
        <w:rPr>
          <w:bCs/>
          <w:color w:val="000000" w:themeColor="text1"/>
        </w:rPr>
        <w:t xml:space="preserve"> automatically </w:t>
      </w:r>
      <w:r w:rsidR="00211AA0">
        <w:rPr>
          <w:bCs/>
          <w:color w:val="000000" w:themeColor="text1"/>
        </w:rPr>
        <w:t xml:space="preserve">represented </w:t>
      </w:r>
      <w:r w:rsidR="00F62327">
        <w:rPr>
          <w:bCs/>
          <w:color w:val="000000" w:themeColor="text1"/>
        </w:rPr>
        <w:t xml:space="preserve">and does not have to </w:t>
      </w:r>
      <w:r w:rsidR="000D13E4">
        <w:rPr>
          <w:bCs/>
          <w:color w:val="000000" w:themeColor="text1"/>
        </w:rPr>
        <w:t>prosecute</w:t>
      </w:r>
      <w:r w:rsidR="00F62327">
        <w:rPr>
          <w:bCs/>
          <w:color w:val="000000" w:themeColor="text1"/>
        </w:rPr>
        <w:t xml:space="preserve"> </w:t>
      </w:r>
      <w:r w:rsidR="000D13E4">
        <w:rPr>
          <w:bCs/>
          <w:color w:val="000000" w:themeColor="text1"/>
        </w:rPr>
        <w:t>individually</w:t>
      </w:r>
      <w:r w:rsidRPr="000F619B">
        <w:rPr>
          <w:bCs/>
          <w:color w:val="000000" w:themeColor="text1"/>
        </w:rPr>
        <w:t>.</w:t>
      </w:r>
      <w:r>
        <w:rPr>
          <w:bCs/>
          <w:color w:val="000000" w:themeColor="text1"/>
        </w:rPr>
        <w:t xml:space="preserve"> </w:t>
      </w:r>
      <w:r w:rsidR="007F3D46">
        <w:rPr>
          <w:bCs/>
          <w:color w:val="000000" w:themeColor="text1"/>
        </w:rPr>
        <w:t xml:space="preserve">BR&amp; B </w:t>
      </w:r>
      <w:r w:rsidR="00BC2117">
        <w:rPr>
          <w:bCs/>
          <w:color w:val="000000" w:themeColor="text1"/>
        </w:rPr>
        <w:t xml:space="preserve">and RGRD </w:t>
      </w:r>
      <w:r w:rsidR="00BB2B2E">
        <w:rPr>
          <w:bCs/>
          <w:color w:val="000000" w:themeColor="text1"/>
        </w:rPr>
        <w:t xml:space="preserve">routinely </w:t>
      </w:r>
      <w:r>
        <w:rPr>
          <w:bCs/>
          <w:color w:val="000000" w:themeColor="text1"/>
        </w:rPr>
        <w:t xml:space="preserve">monitor </w:t>
      </w:r>
      <w:r w:rsidR="00F64E0F">
        <w:rPr>
          <w:bCs/>
          <w:color w:val="000000" w:themeColor="text1"/>
        </w:rPr>
        <w:t>class actions</w:t>
      </w:r>
      <w:r w:rsidR="00D63039">
        <w:rPr>
          <w:bCs/>
          <w:color w:val="000000" w:themeColor="text1"/>
        </w:rPr>
        <w:t>,</w:t>
      </w:r>
      <w:r w:rsidR="00F64E0F">
        <w:rPr>
          <w:bCs/>
          <w:color w:val="000000" w:themeColor="text1"/>
        </w:rPr>
        <w:t xml:space="preserve"> </w:t>
      </w:r>
      <w:r w:rsidR="00D63039" w:rsidRPr="000F619B">
        <w:rPr>
          <w:bCs/>
          <w:color w:val="000000" w:themeColor="text1"/>
        </w:rPr>
        <w:t>identif</w:t>
      </w:r>
      <w:r w:rsidR="00D63039">
        <w:rPr>
          <w:bCs/>
          <w:color w:val="000000" w:themeColor="text1"/>
        </w:rPr>
        <w:t xml:space="preserve">y </w:t>
      </w:r>
      <w:r w:rsidR="000D13E4">
        <w:rPr>
          <w:bCs/>
          <w:color w:val="000000" w:themeColor="text1"/>
        </w:rPr>
        <w:t>those</w:t>
      </w:r>
      <w:r w:rsidR="00D63039">
        <w:rPr>
          <w:bCs/>
          <w:color w:val="000000" w:themeColor="text1"/>
        </w:rPr>
        <w:t xml:space="preserve"> </w:t>
      </w:r>
      <w:r w:rsidR="00F64E0F">
        <w:rPr>
          <w:bCs/>
          <w:color w:val="000000" w:themeColor="text1"/>
        </w:rPr>
        <w:t>where the Fund w</w:t>
      </w:r>
      <w:r w:rsidR="005F0B97" w:rsidRPr="000F619B">
        <w:rPr>
          <w:bCs/>
          <w:color w:val="000000" w:themeColor="text1"/>
        </w:rPr>
        <w:t>as potentia</w:t>
      </w:r>
      <w:r w:rsidR="00F64E0F">
        <w:rPr>
          <w:bCs/>
          <w:color w:val="000000" w:themeColor="text1"/>
        </w:rPr>
        <w:t>l</w:t>
      </w:r>
      <w:r w:rsidR="005F0B97" w:rsidRPr="000F619B">
        <w:rPr>
          <w:bCs/>
          <w:color w:val="000000" w:themeColor="text1"/>
        </w:rPr>
        <w:t>l</w:t>
      </w:r>
      <w:r w:rsidR="00F64E0F">
        <w:rPr>
          <w:bCs/>
          <w:color w:val="000000" w:themeColor="text1"/>
        </w:rPr>
        <w:t>y subject to</w:t>
      </w:r>
      <w:r w:rsidR="005F0B97" w:rsidRPr="000F619B">
        <w:rPr>
          <w:bCs/>
          <w:color w:val="000000" w:themeColor="text1"/>
        </w:rPr>
        <w:t xml:space="preserve"> </w:t>
      </w:r>
      <w:r w:rsidR="00D63039">
        <w:rPr>
          <w:bCs/>
          <w:color w:val="000000" w:themeColor="text1"/>
        </w:rPr>
        <w:t xml:space="preserve">a </w:t>
      </w:r>
      <w:r w:rsidR="005F0B97" w:rsidRPr="000F619B">
        <w:rPr>
          <w:bCs/>
          <w:color w:val="000000" w:themeColor="text1"/>
        </w:rPr>
        <w:t xml:space="preserve">loss </w:t>
      </w:r>
      <w:r>
        <w:rPr>
          <w:bCs/>
          <w:color w:val="000000" w:themeColor="text1"/>
        </w:rPr>
        <w:t>and ensure</w:t>
      </w:r>
      <w:r w:rsidRPr="00110760">
        <w:rPr>
          <w:bCs/>
          <w:color w:val="000000" w:themeColor="text1"/>
        </w:rPr>
        <w:t xml:space="preserve"> </w:t>
      </w:r>
      <w:r w:rsidR="005F323E">
        <w:rPr>
          <w:bCs/>
          <w:color w:val="000000" w:themeColor="text1"/>
        </w:rPr>
        <w:t xml:space="preserve">a </w:t>
      </w:r>
      <w:r w:rsidRPr="00110760">
        <w:rPr>
          <w:bCs/>
          <w:color w:val="000000" w:themeColor="text1"/>
        </w:rPr>
        <w:t xml:space="preserve">proof of claim </w:t>
      </w:r>
      <w:r w:rsidR="005F323E">
        <w:rPr>
          <w:bCs/>
          <w:color w:val="000000" w:themeColor="text1"/>
        </w:rPr>
        <w:t>is filed</w:t>
      </w:r>
      <w:r>
        <w:rPr>
          <w:bCs/>
          <w:color w:val="000000" w:themeColor="text1"/>
        </w:rPr>
        <w:t xml:space="preserve">. </w:t>
      </w:r>
    </w:p>
    <w:p w14:paraId="7BD34FE6" w14:textId="77777777" w:rsidR="00ED4B33" w:rsidRDefault="00ED4B33" w:rsidP="00ED4B33">
      <w:pPr>
        <w:jc w:val="both"/>
        <w:rPr>
          <w:bCs/>
          <w:color w:val="000000" w:themeColor="text1"/>
        </w:rPr>
      </w:pPr>
    </w:p>
    <w:p w14:paraId="0E730C19" w14:textId="1F89465B" w:rsidR="00812BE1" w:rsidRDefault="000D13E4" w:rsidP="00ED4B33">
      <w:pPr>
        <w:jc w:val="both"/>
        <w:rPr>
          <w:bCs/>
          <w:color w:val="000000" w:themeColor="text1"/>
        </w:rPr>
      </w:pPr>
      <w:r>
        <w:rPr>
          <w:bCs/>
          <w:color w:val="000000" w:themeColor="text1"/>
        </w:rPr>
        <w:t xml:space="preserve">The table below </w:t>
      </w:r>
      <w:r w:rsidR="00211AA0">
        <w:rPr>
          <w:bCs/>
          <w:color w:val="000000" w:themeColor="text1"/>
        </w:rPr>
        <w:t xml:space="preserve">gives </w:t>
      </w:r>
      <w:r>
        <w:rPr>
          <w:bCs/>
          <w:color w:val="000000" w:themeColor="text1"/>
        </w:rPr>
        <w:t>details of</w:t>
      </w:r>
      <w:r w:rsidR="005F0B97" w:rsidRPr="003F4B76">
        <w:rPr>
          <w:bCs/>
          <w:color w:val="000000" w:themeColor="text1"/>
        </w:rPr>
        <w:t xml:space="preserve"> cases </w:t>
      </w:r>
      <w:r w:rsidR="00774F47">
        <w:rPr>
          <w:bCs/>
          <w:color w:val="000000" w:themeColor="text1"/>
        </w:rPr>
        <w:t xml:space="preserve">identified </w:t>
      </w:r>
      <w:r w:rsidR="00D63039">
        <w:rPr>
          <w:bCs/>
          <w:color w:val="000000" w:themeColor="text1"/>
        </w:rPr>
        <w:t>through</w:t>
      </w:r>
      <w:r w:rsidR="00774F47">
        <w:rPr>
          <w:bCs/>
          <w:color w:val="000000" w:themeColor="text1"/>
        </w:rPr>
        <w:t xml:space="preserve"> litigation monitoring</w:t>
      </w:r>
      <w:r w:rsidR="00F62327">
        <w:rPr>
          <w:bCs/>
          <w:color w:val="000000" w:themeColor="text1"/>
        </w:rPr>
        <w:t xml:space="preserve"> where the Fund has </w:t>
      </w:r>
      <w:r w:rsidR="00941C24">
        <w:rPr>
          <w:bCs/>
          <w:color w:val="000000" w:themeColor="text1"/>
        </w:rPr>
        <w:t>loss</w:t>
      </w:r>
      <w:r w:rsidR="00F62327">
        <w:rPr>
          <w:bCs/>
          <w:color w:val="000000" w:themeColor="text1"/>
        </w:rPr>
        <w:t>es</w:t>
      </w:r>
      <w:r w:rsidR="00941C24">
        <w:rPr>
          <w:bCs/>
          <w:color w:val="000000" w:themeColor="text1"/>
        </w:rPr>
        <w:t xml:space="preserve"> </w:t>
      </w:r>
      <w:r w:rsidR="00F62327">
        <w:rPr>
          <w:bCs/>
          <w:color w:val="000000" w:themeColor="text1"/>
        </w:rPr>
        <w:t xml:space="preserve">which </w:t>
      </w:r>
      <w:r w:rsidR="00211AA0">
        <w:rPr>
          <w:bCs/>
          <w:color w:val="000000" w:themeColor="text1"/>
        </w:rPr>
        <w:t>will</w:t>
      </w:r>
      <w:r w:rsidR="00F62327">
        <w:rPr>
          <w:bCs/>
          <w:color w:val="000000" w:themeColor="text1"/>
        </w:rPr>
        <w:t xml:space="preserve"> potentially </w:t>
      </w:r>
      <w:r w:rsidR="00211AA0">
        <w:rPr>
          <w:bCs/>
          <w:color w:val="000000" w:themeColor="text1"/>
        </w:rPr>
        <w:t xml:space="preserve">be </w:t>
      </w:r>
      <w:r w:rsidR="00F62327">
        <w:rPr>
          <w:bCs/>
          <w:color w:val="000000" w:themeColor="text1"/>
        </w:rPr>
        <w:t>represented under</w:t>
      </w:r>
      <w:r w:rsidR="00211AA0">
        <w:rPr>
          <w:bCs/>
          <w:color w:val="000000" w:themeColor="text1"/>
        </w:rPr>
        <w:t xml:space="preserve"> </w:t>
      </w:r>
      <w:r w:rsidR="005F323E">
        <w:rPr>
          <w:bCs/>
          <w:color w:val="000000" w:themeColor="text1"/>
        </w:rPr>
        <w:t>developing</w:t>
      </w:r>
      <w:r w:rsidR="00334769">
        <w:rPr>
          <w:bCs/>
          <w:color w:val="000000" w:themeColor="text1"/>
        </w:rPr>
        <w:t xml:space="preserve"> </w:t>
      </w:r>
      <w:r w:rsidR="00F62327">
        <w:rPr>
          <w:bCs/>
          <w:color w:val="000000" w:themeColor="text1"/>
        </w:rPr>
        <w:t>class action</w:t>
      </w:r>
      <w:r w:rsidR="00211AA0">
        <w:rPr>
          <w:bCs/>
          <w:color w:val="000000" w:themeColor="text1"/>
        </w:rPr>
        <w:t>s</w:t>
      </w:r>
      <w:r w:rsidR="00F62327">
        <w:rPr>
          <w:bCs/>
          <w:color w:val="000000" w:themeColor="text1"/>
        </w:rPr>
        <w:t>.</w:t>
      </w:r>
    </w:p>
    <w:p w14:paraId="65D95B3B" w14:textId="77777777" w:rsidR="00826BE4" w:rsidRDefault="00826BE4" w:rsidP="007A2F86">
      <w:pPr>
        <w:rPr>
          <w:bCs/>
          <w:color w:val="000000" w:themeColor="text1"/>
        </w:rPr>
      </w:pPr>
    </w:p>
    <w:tbl>
      <w:tblPr>
        <w:tblW w:w="9740" w:type="dxa"/>
        <w:tblInd w:w="-10" w:type="dxa"/>
        <w:tblLook w:val="04A0" w:firstRow="1" w:lastRow="0" w:firstColumn="1" w:lastColumn="0" w:noHBand="0" w:noVBand="1"/>
      </w:tblPr>
      <w:tblGrid>
        <w:gridCol w:w="3220"/>
        <w:gridCol w:w="1920"/>
        <w:gridCol w:w="2740"/>
        <w:gridCol w:w="1860"/>
      </w:tblGrid>
      <w:tr w:rsidR="00826BE4" w:rsidRPr="00826BE4" w14:paraId="39B828CD" w14:textId="77777777" w:rsidTr="00826BE4">
        <w:trPr>
          <w:trHeight w:val="615"/>
        </w:trPr>
        <w:tc>
          <w:tcPr>
            <w:tcW w:w="32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B304CA" w14:textId="77777777" w:rsidR="00826BE4" w:rsidRPr="00826BE4" w:rsidRDefault="00826BE4" w:rsidP="00826BE4">
            <w:pPr>
              <w:rPr>
                <w:rFonts w:cs="Arial"/>
                <w:color w:val="000000"/>
                <w:sz w:val="22"/>
                <w:szCs w:val="22"/>
              </w:rPr>
            </w:pPr>
            <w:r w:rsidRPr="00826BE4">
              <w:rPr>
                <w:rFonts w:cs="Arial"/>
                <w:color w:val="000000"/>
                <w:sz w:val="22"/>
                <w:szCs w:val="22"/>
              </w:rPr>
              <w:t>Company Name</w:t>
            </w:r>
          </w:p>
        </w:tc>
        <w:tc>
          <w:tcPr>
            <w:tcW w:w="1920" w:type="dxa"/>
            <w:tcBorders>
              <w:top w:val="single" w:sz="8" w:space="0" w:color="auto"/>
              <w:left w:val="nil"/>
              <w:bottom w:val="single" w:sz="8" w:space="0" w:color="auto"/>
              <w:right w:val="single" w:sz="8" w:space="0" w:color="auto"/>
            </w:tcBorders>
            <w:shd w:val="clear" w:color="000000" w:fill="FFFFFF"/>
            <w:vAlign w:val="center"/>
            <w:hideMark/>
          </w:tcPr>
          <w:p w14:paraId="01CB74F4" w14:textId="77777777" w:rsidR="00826BE4" w:rsidRPr="00826BE4" w:rsidRDefault="00826BE4" w:rsidP="00826BE4">
            <w:pPr>
              <w:jc w:val="center"/>
              <w:rPr>
                <w:rFonts w:cs="Arial"/>
                <w:color w:val="000000"/>
                <w:szCs w:val="24"/>
              </w:rPr>
            </w:pPr>
            <w:r w:rsidRPr="00826BE4">
              <w:rPr>
                <w:rFonts w:cs="Arial"/>
                <w:color w:val="000000" w:themeColor="text1"/>
                <w:szCs w:val="24"/>
              </w:rPr>
              <w:t>Effective class period begin</w:t>
            </w:r>
          </w:p>
        </w:tc>
        <w:tc>
          <w:tcPr>
            <w:tcW w:w="2740" w:type="dxa"/>
            <w:tcBorders>
              <w:top w:val="single" w:sz="8" w:space="0" w:color="auto"/>
              <w:left w:val="nil"/>
              <w:bottom w:val="single" w:sz="8" w:space="0" w:color="auto"/>
              <w:right w:val="single" w:sz="8" w:space="0" w:color="auto"/>
            </w:tcBorders>
            <w:shd w:val="clear" w:color="000000" w:fill="FFFFFF"/>
            <w:vAlign w:val="center"/>
            <w:hideMark/>
          </w:tcPr>
          <w:p w14:paraId="755277A0" w14:textId="77777777" w:rsidR="00826BE4" w:rsidRPr="00826BE4" w:rsidRDefault="00826BE4" w:rsidP="00826BE4">
            <w:pPr>
              <w:jc w:val="center"/>
              <w:rPr>
                <w:rFonts w:cs="Arial"/>
                <w:color w:val="000000"/>
                <w:szCs w:val="24"/>
              </w:rPr>
            </w:pPr>
            <w:r w:rsidRPr="00826BE4">
              <w:rPr>
                <w:rFonts w:cs="Arial"/>
                <w:color w:val="000000" w:themeColor="text1"/>
                <w:szCs w:val="24"/>
              </w:rPr>
              <w:t>Effective class period end</w:t>
            </w:r>
          </w:p>
        </w:tc>
        <w:tc>
          <w:tcPr>
            <w:tcW w:w="1860" w:type="dxa"/>
            <w:tcBorders>
              <w:top w:val="single" w:sz="8" w:space="0" w:color="auto"/>
              <w:left w:val="nil"/>
              <w:bottom w:val="single" w:sz="8" w:space="0" w:color="auto"/>
              <w:right w:val="single" w:sz="8" w:space="0" w:color="auto"/>
            </w:tcBorders>
            <w:shd w:val="clear" w:color="000000" w:fill="FFFFFF"/>
            <w:vAlign w:val="center"/>
            <w:hideMark/>
          </w:tcPr>
          <w:p w14:paraId="77C41DCD" w14:textId="77777777" w:rsidR="00826BE4" w:rsidRPr="00826BE4" w:rsidRDefault="00826BE4" w:rsidP="00826BE4">
            <w:pPr>
              <w:jc w:val="center"/>
              <w:rPr>
                <w:rFonts w:cs="Arial"/>
                <w:color w:val="000000"/>
                <w:szCs w:val="24"/>
              </w:rPr>
            </w:pPr>
            <w:r w:rsidRPr="00826BE4">
              <w:rPr>
                <w:rFonts w:cs="Arial"/>
                <w:color w:val="000000" w:themeColor="text1"/>
                <w:szCs w:val="24"/>
              </w:rPr>
              <w:t>Potential loss incurred ($'000)</w:t>
            </w:r>
          </w:p>
        </w:tc>
      </w:tr>
      <w:tr w:rsidR="00826BE4" w:rsidRPr="00826BE4" w14:paraId="4FC3E098" w14:textId="77777777" w:rsidTr="00826BE4">
        <w:trPr>
          <w:trHeight w:val="300"/>
        </w:trPr>
        <w:tc>
          <w:tcPr>
            <w:tcW w:w="3220" w:type="dxa"/>
            <w:tcBorders>
              <w:top w:val="nil"/>
              <w:left w:val="single" w:sz="8" w:space="0" w:color="auto"/>
              <w:bottom w:val="single" w:sz="8" w:space="0" w:color="auto"/>
              <w:right w:val="single" w:sz="8" w:space="0" w:color="auto"/>
            </w:tcBorders>
            <w:shd w:val="clear" w:color="000000" w:fill="FFFFFF"/>
            <w:noWrap/>
            <w:vAlign w:val="center"/>
            <w:hideMark/>
          </w:tcPr>
          <w:p w14:paraId="69020687" w14:textId="77777777" w:rsidR="00826BE4" w:rsidRPr="00826BE4" w:rsidRDefault="00826BE4" w:rsidP="00826BE4">
            <w:pPr>
              <w:rPr>
                <w:rFonts w:cs="Arial"/>
                <w:color w:val="000000"/>
                <w:sz w:val="22"/>
                <w:szCs w:val="22"/>
              </w:rPr>
            </w:pPr>
            <w:r w:rsidRPr="00826BE4">
              <w:rPr>
                <w:rFonts w:cs="Arial"/>
                <w:color w:val="000000"/>
                <w:sz w:val="22"/>
                <w:szCs w:val="22"/>
              </w:rPr>
              <w:t>Medtronic, Inc.</w:t>
            </w:r>
          </w:p>
        </w:tc>
        <w:tc>
          <w:tcPr>
            <w:tcW w:w="1920" w:type="dxa"/>
            <w:tcBorders>
              <w:top w:val="nil"/>
              <w:left w:val="nil"/>
              <w:bottom w:val="single" w:sz="8" w:space="0" w:color="auto"/>
              <w:right w:val="single" w:sz="8" w:space="0" w:color="auto"/>
            </w:tcBorders>
            <w:shd w:val="clear" w:color="000000" w:fill="FFFFFF"/>
            <w:noWrap/>
            <w:vAlign w:val="center"/>
            <w:hideMark/>
          </w:tcPr>
          <w:p w14:paraId="0DC162E1" w14:textId="77777777" w:rsidR="00826BE4" w:rsidRPr="00826BE4" w:rsidRDefault="00826BE4" w:rsidP="00826BE4">
            <w:pPr>
              <w:jc w:val="center"/>
              <w:rPr>
                <w:rFonts w:cs="Arial"/>
                <w:color w:val="000000"/>
                <w:sz w:val="22"/>
                <w:szCs w:val="22"/>
              </w:rPr>
            </w:pPr>
            <w:r w:rsidRPr="00826BE4">
              <w:rPr>
                <w:rFonts w:cs="Arial"/>
                <w:color w:val="000000"/>
                <w:sz w:val="22"/>
                <w:szCs w:val="22"/>
              </w:rPr>
              <w:t>08/12/2010</w:t>
            </w:r>
          </w:p>
        </w:tc>
        <w:tc>
          <w:tcPr>
            <w:tcW w:w="2740" w:type="dxa"/>
            <w:tcBorders>
              <w:top w:val="nil"/>
              <w:left w:val="nil"/>
              <w:bottom w:val="single" w:sz="8" w:space="0" w:color="auto"/>
              <w:right w:val="single" w:sz="8" w:space="0" w:color="auto"/>
            </w:tcBorders>
            <w:shd w:val="clear" w:color="000000" w:fill="FFFFFF"/>
            <w:noWrap/>
            <w:vAlign w:val="center"/>
            <w:hideMark/>
          </w:tcPr>
          <w:p w14:paraId="4EFB128D" w14:textId="77777777" w:rsidR="00826BE4" w:rsidRPr="00826BE4" w:rsidRDefault="00826BE4" w:rsidP="00826BE4">
            <w:pPr>
              <w:jc w:val="center"/>
              <w:rPr>
                <w:rFonts w:cs="Arial"/>
                <w:color w:val="000000"/>
                <w:sz w:val="22"/>
                <w:szCs w:val="22"/>
              </w:rPr>
            </w:pPr>
            <w:r w:rsidRPr="00826BE4">
              <w:rPr>
                <w:rFonts w:cs="Arial"/>
                <w:color w:val="000000"/>
                <w:sz w:val="22"/>
                <w:szCs w:val="22"/>
              </w:rPr>
              <w:t>03/08/2011</w:t>
            </w:r>
          </w:p>
        </w:tc>
        <w:tc>
          <w:tcPr>
            <w:tcW w:w="1860" w:type="dxa"/>
            <w:tcBorders>
              <w:top w:val="nil"/>
              <w:left w:val="nil"/>
              <w:bottom w:val="single" w:sz="8" w:space="0" w:color="auto"/>
              <w:right w:val="single" w:sz="8" w:space="0" w:color="auto"/>
            </w:tcBorders>
            <w:shd w:val="clear" w:color="000000" w:fill="FFFFFF"/>
            <w:noWrap/>
            <w:vAlign w:val="center"/>
            <w:hideMark/>
          </w:tcPr>
          <w:p w14:paraId="110389A3" w14:textId="77777777" w:rsidR="00826BE4" w:rsidRPr="00826BE4" w:rsidRDefault="00826BE4" w:rsidP="00826BE4">
            <w:pPr>
              <w:jc w:val="right"/>
              <w:rPr>
                <w:rFonts w:cs="Arial"/>
                <w:color w:val="000000"/>
                <w:sz w:val="22"/>
                <w:szCs w:val="22"/>
              </w:rPr>
            </w:pPr>
            <w:r w:rsidRPr="00826BE4">
              <w:rPr>
                <w:rFonts w:cs="Arial"/>
                <w:color w:val="000000"/>
                <w:sz w:val="22"/>
                <w:szCs w:val="22"/>
              </w:rPr>
              <w:t>27.71</w:t>
            </w:r>
          </w:p>
        </w:tc>
      </w:tr>
      <w:tr w:rsidR="00826BE4" w:rsidRPr="00826BE4" w14:paraId="6689D03A" w14:textId="77777777" w:rsidTr="00826BE4">
        <w:trPr>
          <w:trHeight w:val="300"/>
        </w:trPr>
        <w:tc>
          <w:tcPr>
            <w:tcW w:w="3220" w:type="dxa"/>
            <w:tcBorders>
              <w:top w:val="nil"/>
              <w:left w:val="single" w:sz="8" w:space="0" w:color="auto"/>
              <w:bottom w:val="single" w:sz="8" w:space="0" w:color="auto"/>
              <w:right w:val="single" w:sz="8" w:space="0" w:color="auto"/>
            </w:tcBorders>
            <w:shd w:val="clear" w:color="000000" w:fill="FFFFFF"/>
            <w:noWrap/>
            <w:vAlign w:val="center"/>
            <w:hideMark/>
          </w:tcPr>
          <w:p w14:paraId="288C11C5" w14:textId="77777777" w:rsidR="00826BE4" w:rsidRPr="00826BE4" w:rsidRDefault="00826BE4" w:rsidP="00826BE4">
            <w:pPr>
              <w:rPr>
                <w:rFonts w:cs="Arial"/>
                <w:color w:val="000000"/>
                <w:sz w:val="22"/>
                <w:szCs w:val="22"/>
              </w:rPr>
            </w:pPr>
            <w:r w:rsidRPr="00826BE4">
              <w:rPr>
                <w:rFonts w:cs="Arial"/>
                <w:color w:val="000000"/>
                <w:sz w:val="22"/>
                <w:szCs w:val="22"/>
              </w:rPr>
              <w:t>Intuitive Surgical, Inc.</w:t>
            </w:r>
          </w:p>
        </w:tc>
        <w:tc>
          <w:tcPr>
            <w:tcW w:w="1920" w:type="dxa"/>
            <w:tcBorders>
              <w:top w:val="nil"/>
              <w:left w:val="nil"/>
              <w:bottom w:val="single" w:sz="8" w:space="0" w:color="auto"/>
              <w:right w:val="single" w:sz="8" w:space="0" w:color="auto"/>
            </w:tcBorders>
            <w:shd w:val="clear" w:color="000000" w:fill="FFFFFF"/>
            <w:noWrap/>
            <w:vAlign w:val="center"/>
            <w:hideMark/>
          </w:tcPr>
          <w:p w14:paraId="20927149" w14:textId="77777777" w:rsidR="00826BE4" w:rsidRPr="00826BE4" w:rsidRDefault="00826BE4" w:rsidP="00826BE4">
            <w:pPr>
              <w:jc w:val="center"/>
              <w:rPr>
                <w:rFonts w:cs="Arial"/>
                <w:color w:val="000000"/>
                <w:sz w:val="22"/>
                <w:szCs w:val="22"/>
              </w:rPr>
            </w:pPr>
            <w:r w:rsidRPr="00826BE4">
              <w:rPr>
                <w:rFonts w:cs="Arial"/>
                <w:color w:val="000000"/>
                <w:sz w:val="22"/>
                <w:szCs w:val="22"/>
              </w:rPr>
              <w:t>19/10/2011</w:t>
            </w:r>
          </w:p>
        </w:tc>
        <w:tc>
          <w:tcPr>
            <w:tcW w:w="2740" w:type="dxa"/>
            <w:tcBorders>
              <w:top w:val="nil"/>
              <w:left w:val="nil"/>
              <w:bottom w:val="single" w:sz="8" w:space="0" w:color="auto"/>
              <w:right w:val="single" w:sz="8" w:space="0" w:color="auto"/>
            </w:tcBorders>
            <w:shd w:val="clear" w:color="000000" w:fill="FFFFFF"/>
            <w:noWrap/>
            <w:vAlign w:val="center"/>
            <w:hideMark/>
          </w:tcPr>
          <w:p w14:paraId="2D10B245" w14:textId="77777777" w:rsidR="00826BE4" w:rsidRPr="00826BE4" w:rsidRDefault="00826BE4" w:rsidP="00826BE4">
            <w:pPr>
              <w:jc w:val="center"/>
              <w:rPr>
                <w:rFonts w:cs="Arial"/>
                <w:color w:val="000000"/>
                <w:sz w:val="22"/>
                <w:szCs w:val="22"/>
              </w:rPr>
            </w:pPr>
            <w:r w:rsidRPr="00826BE4">
              <w:rPr>
                <w:rFonts w:cs="Arial"/>
                <w:color w:val="000000"/>
                <w:sz w:val="22"/>
                <w:szCs w:val="22"/>
              </w:rPr>
              <w:t>18/04/2013</w:t>
            </w:r>
          </w:p>
        </w:tc>
        <w:tc>
          <w:tcPr>
            <w:tcW w:w="1860" w:type="dxa"/>
            <w:tcBorders>
              <w:top w:val="nil"/>
              <w:left w:val="nil"/>
              <w:bottom w:val="single" w:sz="8" w:space="0" w:color="auto"/>
              <w:right w:val="single" w:sz="8" w:space="0" w:color="auto"/>
            </w:tcBorders>
            <w:shd w:val="clear" w:color="000000" w:fill="FFFFFF"/>
            <w:noWrap/>
            <w:vAlign w:val="center"/>
            <w:hideMark/>
          </w:tcPr>
          <w:p w14:paraId="7493D61B" w14:textId="77777777" w:rsidR="00826BE4" w:rsidRPr="00826BE4" w:rsidRDefault="00826BE4" w:rsidP="00826BE4">
            <w:pPr>
              <w:jc w:val="right"/>
              <w:rPr>
                <w:rFonts w:cs="Arial"/>
                <w:color w:val="000000"/>
                <w:sz w:val="22"/>
                <w:szCs w:val="22"/>
              </w:rPr>
            </w:pPr>
            <w:r w:rsidRPr="00826BE4">
              <w:rPr>
                <w:rFonts w:cs="Arial"/>
                <w:color w:val="000000"/>
                <w:sz w:val="22"/>
                <w:szCs w:val="22"/>
              </w:rPr>
              <w:t>251.54</w:t>
            </w:r>
          </w:p>
        </w:tc>
      </w:tr>
      <w:tr w:rsidR="00826BE4" w:rsidRPr="00826BE4" w14:paraId="12B98DC2" w14:textId="77777777" w:rsidTr="00826BE4">
        <w:trPr>
          <w:trHeight w:val="300"/>
        </w:trPr>
        <w:tc>
          <w:tcPr>
            <w:tcW w:w="3220" w:type="dxa"/>
            <w:tcBorders>
              <w:top w:val="nil"/>
              <w:left w:val="single" w:sz="8" w:space="0" w:color="auto"/>
              <w:bottom w:val="single" w:sz="8" w:space="0" w:color="auto"/>
              <w:right w:val="single" w:sz="8" w:space="0" w:color="auto"/>
            </w:tcBorders>
            <w:shd w:val="clear" w:color="000000" w:fill="FFFFFF"/>
            <w:noWrap/>
            <w:vAlign w:val="center"/>
            <w:hideMark/>
          </w:tcPr>
          <w:p w14:paraId="50063C2D" w14:textId="77777777" w:rsidR="00826BE4" w:rsidRPr="00826BE4" w:rsidRDefault="00826BE4" w:rsidP="00826BE4">
            <w:pPr>
              <w:rPr>
                <w:rFonts w:cs="Arial"/>
                <w:color w:val="000000"/>
                <w:sz w:val="22"/>
                <w:szCs w:val="22"/>
              </w:rPr>
            </w:pPr>
            <w:r w:rsidRPr="00826BE4">
              <w:rPr>
                <w:rFonts w:cs="Arial"/>
                <w:color w:val="000000"/>
                <w:sz w:val="22"/>
                <w:szCs w:val="22"/>
              </w:rPr>
              <w:t>Barrick Gold Corp.</w:t>
            </w:r>
          </w:p>
        </w:tc>
        <w:tc>
          <w:tcPr>
            <w:tcW w:w="1920" w:type="dxa"/>
            <w:tcBorders>
              <w:top w:val="nil"/>
              <w:left w:val="nil"/>
              <w:bottom w:val="single" w:sz="8" w:space="0" w:color="auto"/>
              <w:right w:val="single" w:sz="8" w:space="0" w:color="auto"/>
            </w:tcBorders>
            <w:shd w:val="clear" w:color="000000" w:fill="FFFFFF"/>
            <w:noWrap/>
            <w:vAlign w:val="center"/>
            <w:hideMark/>
          </w:tcPr>
          <w:p w14:paraId="1A3F74E6" w14:textId="77777777" w:rsidR="00826BE4" w:rsidRPr="00826BE4" w:rsidRDefault="00826BE4" w:rsidP="00826BE4">
            <w:pPr>
              <w:jc w:val="center"/>
              <w:rPr>
                <w:rFonts w:cs="Arial"/>
                <w:color w:val="000000"/>
                <w:sz w:val="22"/>
                <w:szCs w:val="22"/>
              </w:rPr>
            </w:pPr>
            <w:r w:rsidRPr="00826BE4">
              <w:rPr>
                <w:rFonts w:cs="Arial"/>
                <w:color w:val="000000"/>
                <w:sz w:val="22"/>
                <w:szCs w:val="22"/>
              </w:rPr>
              <w:t>07/05/2009</w:t>
            </w:r>
          </w:p>
        </w:tc>
        <w:tc>
          <w:tcPr>
            <w:tcW w:w="2740" w:type="dxa"/>
            <w:tcBorders>
              <w:top w:val="nil"/>
              <w:left w:val="nil"/>
              <w:bottom w:val="single" w:sz="8" w:space="0" w:color="auto"/>
              <w:right w:val="single" w:sz="8" w:space="0" w:color="auto"/>
            </w:tcBorders>
            <w:shd w:val="clear" w:color="000000" w:fill="FFFFFF"/>
            <w:noWrap/>
            <w:vAlign w:val="center"/>
            <w:hideMark/>
          </w:tcPr>
          <w:p w14:paraId="0F745A46" w14:textId="77777777" w:rsidR="00826BE4" w:rsidRPr="00826BE4" w:rsidRDefault="00826BE4" w:rsidP="00826BE4">
            <w:pPr>
              <w:jc w:val="center"/>
              <w:rPr>
                <w:rFonts w:cs="Arial"/>
                <w:color w:val="000000"/>
                <w:sz w:val="22"/>
                <w:szCs w:val="22"/>
              </w:rPr>
            </w:pPr>
            <w:r w:rsidRPr="00826BE4">
              <w:rPr>
                <w:rFonts w:cs="Arial"/>
                <w:color w:val="000000"/>
                <w:sz w:val="22"/>
                <w:szCs w:val="22"/>
              </w:rPr>
              <w:t>23/05/2013</w:t>
            </w:r>
          </w:p>
        </w:tc>
        <w:tc>
          <w:tcPr>
            <w:tcW w:w="1860" w:type="dxa"/>
            <w:tcBorders>
              <w:top w:val="nil"/>
              <w:left w:val="nil"/>
              <w:bottom w:val="single" w:sz="8" w:space="0" w:color="auto"/>
              <w:right w:val="single" w:sz="8" w:space="0" w:color="auto"/>
            </w:tcBorders>
            <w:shd w:val="clear" w:color="000000" w:fill="FFFFFF"/>
            <w:noWrap/>
            <w:vAlign w:val="center"/>
            <w:hideMark/>
          </w:tcPr>
          <w:p w14:paraId="7DB7E42D" w14:textId="77777777" w:rsidR="00826BE4" w:rsidRPr="00826BE4" w:rsidRDefault="00826BE4" w:rsidP="00826BE4">
            <w:pPr>
              <w:jc w:val="right"/>
              <w:rPr>
                <w:rFonts w:cs="Arial"/>
                <w:color w:val="000000"/>
                <w:sz w:val="22"/>
                <w:szCs w:val="22"/>
              </w:rPr>
            </w:pPr>
            <w:r w:rsidRPr="00826BE4">
              <w:rPr>
                <w:rFonts w:cs="Arial"/>
                <w:color w:val="000000"/>
                <w:sz w:val="22"/>
                <w:szCs w:val="22"/>
              </w:rPr>
              <w:t>364.67</w:t>
            </w:r>
          </w:p>
        </w:tc>
      </w:tr>
      <w:tr w:rsidR="00826BE4" w:rsidRPr="00826BE4" w14:paraId="2D3B1EAE" w14:textId="77777777" w:rsidTr="00826BE4">
        <w:trPr>
          <w:trHeight w:val="300"/>
        </w:trPr>
        <w:tc>
          <w:tcPr>
            <w:tcW w:w="3220" w:type="dxa"/>
            <w:tcBorders>
              <w:top w:val="nil"/>
              <w:left w:val="single" w:sz="8" w:space="0" w:color="auto"/>
              <w:bottom w:val="single" w:sz="8" w:space="0" w:color="auto"/>
              <w:right w:val="single" w:sz="8" w:space="0" w:color="auto"/>
            </w:tcBorders>
            <w:shd w:val="clear" w:color="000000" w:fill="FFFFFF"/>
            <w:noWrap/>
            <w:vAlign w:val="center"/>
            <w:hideMark/>
          </w:tcPr>
          <w:p w14:paraId="7380053E" w14:textId="77777777" w:rsidR="00826BE4" w:rsidRPr="00826BE4" w:rsidRDefault="00826BE4" w:rsidP="00826BE4">
            <w:pPr>
              <w:rPr>
                <w:rFonts w:cs="Arial"/>
                <w:color w:val="000000"/>
                <w:sz w:val="22"/>
                <w:szCs w:val="22"/>
              </w:rPr>
            </w:pPr>
            <w:r w:rsidRPr="00826BE4">
              <w:rPr>
                <w:rFonts w:cs="Arial"/>
                <w:color w:val="000000"/>
                <w:sz w:val="22"/>
                <w:szCs w:val="22"/>
              </w:rPr>
              <w:t>CenturyLink, Inc.</w:t>
            </w:r>
          </w:p>
        </w:tc>
        <w:tc>
          <w:tcPr>
            <w:tcW w:w="1920" w:type="dxa"/>
            <w:tcBorders>
              <w:top w:val="nil"/>
              <w:left w:val="nil"/>
              <w:bottom w:val="single" w:sz="8" w:space="0" w:color="auto"/>
              <w:right w:val="single" w:sz="8" w:space="0" w:color="auto"/>
            </w:tcBorders>
            <w:shd w:val="clear" w:color="000000" w:fill="FFFFFF"/>
            <w:noWrap/>
            <w:vAlign w:val="center"/>
            <w:hideMark/>
          </w:tcPr>
          <w:p w14:paraId="11561D74" w14:textId="77777777" w:rsidR="00826BE4" w:rsidRPr="00826BE4" w:rsidRDefault="00826BE4" w:rsidP="00826BE4">
            <w:pPr>
              <w:jc w:val="center"/>
              <w:rPr>
                <w:rFonts w:cs="Arial"/>
                <w:color w:val="000000"/>
                <w:sz w:val="22"/>
                <w:szCs w:val="22"/>
              </w:rPr>
            </w:pPr>
            <w:r w:rsidRPr="00826BE4">
              <w:rPr>
                <w:rFonts w:cs="Arial"/>
                <w:color w:val="000000"/>
                <w:sz w:val="22"/>
                <w:szCs w:val="22"/>
              </w:rPr>
              <w:t>08/08/2012</w:t>
            </w:r>
          </w:p>
        </w:tc>
        <w:tc>
          <w:tcPr>
            <w:tcW w:w="2740" w:type="dxa"/>
            <w:tcBorders>
              <w:top w:val="nil"/>
              <w:left w:val="nil"/>
              <w:bottom w:val="single" w:sz="8" w:space="0" w:color="auto"/>
              <w:right w:val="single" w:sz="8" w:space="0" w:color="auto"/>
            </w:tcBorders>
            <w:shd w:val="clear" w:color="000000" w:fill="FFFFFF"/>
            <w:noWrap/>
            <w:vAlign w:val="center"/>
            <w:hideMark/>
          </w:tcPr>
          <w:p w14:paraId="2FB49D6B" w14:textId="77777777" w:rsidR="00826BE4" w:rsidRPr="00826BE4" w:rsidRDefault="00826BE4" w:rsidP="00826BE4">
            <w:pPr>
              <w:jc w:val="center"/>
              <w:rPr>
                <w:rFonts w:cs="Arial"/>
                <w:color w:val="000000"/>
                <w:sz w:val="22"/>
                <w:szCs w:val="22"/>
              </w:rPr>
            </w:pPr>
            <w:r w:rsidRPr="00826BE4">
              <w:rPr>
                <w:rFonts w:cs="Arial"/>
                <w:color w:val="000000"/>
                <w:sz w:val="22"/>
                <w:szCs w:val="22"/>
              </w:rPr>
              <w:t>14/02/2013</w:t>
            </w:r>
          </w:p>
        </w:tc>
        <w:tc>
          <w:tcPr>
            <w:tcW w:w="1860" w:type="dxa"/>
            <w:tcBorders>
              <w:top w:val="nil"/>
              <w:left w:val="nil"/>
              <w:bottom w:val="single" w:sz="8" w:space="0" w:color="auto"/>
              <w:right w:val="single" w:sz="8" w:space="0" w:color="auto"/>
            </w:tcBorders>
            <w:shd w:val="clear" w:color="000000" w:fill="FFFFFF"/>
            <w:noWrap/>
            <w:vAlign w:val="center"/>
            <w:hideMark/>
          </w:tcPr>
          <w:p w14:paraId="3F07E724" w14:textId="77777777" w:rsidR="00826BE4" w:rsidRPr="00826BE4" w:rsidRDefault="00826BE4" w:rsidP="00826BE4">
            <w:pPr>
              <w:jc w:val="right"/>
              <w:rPr>
                <w:rFonts w:cs="Arial"/>
                <w:color w:val="000000"/>
                <w:sz w:val="22"/>
                <w:szCs w:val="22"/>
              </w:rPr>
            </w:pPr>
            <w:r w:rsidRPr="00826BE4">
              <w:rPr>
                <w:rFonts w:cs="Arial"/>
                <w:color w:val="000000"/>
                <w:sz w:val="22"/>
                <w:szCs w:val="22"/>
              </w:rPr>
              <w:t>521.63</w:t>
            </w:r>
          </w:p>
        </w:tc>
      </w:tr>
      <w:tr w:rsidR="00826BE4" w:rsidRPr="00826BE4" w14:paraId="6CB92398" w14:textId="77777777" w:rsidTr="00826BE4">
        <w:trPr>
          <w:trHeight w:val="300"/>
        </w:trPr>
        <w:tc>
          <w:tcPr>
            <w:tcW w:w="3220" w:type="dxa"/>
            <w:tcBorders>
              <w:top w:val="nil"/>
              <w:left w:val="single" w:sz="8" w:space="0" w:color="auto"/>
              <w:bottom w:val="single" w:sz="8" w:space="0" w:color="auto"/>
              <w:right w:val="single" w:sz="8" w:space="0" w:color="auto"/>
            </w:tcBorders>
            <w:shd w:val="clear" w:color="000000" w:fill="FFFFFF"/>
            <w:noWrap/>
            <w:vAlign w:val="center"/>
            <w:hideMark/>
          </w:tcPr>
          <w:p w14:paraId="5014C171" w14:textId="77777777" w:rsidR="00826BE4" w:rsidRPr="00826BE4" w:rsidRDefault="00826BE4" w:rsidP="00826BE4">
            <w:pPr>
              <w:rPr>
                <w:rFonts w:cs="Arial"/>
                <w:color w:val="000000"/>
                <w:sz w:val="22"/>
                <w:szCs w:val="22"/>
              </w:rPr>
            </w:pPr>
            <w:r w:rsidRPr="00826BE4">
              <w:rPr>
                <w:rFonts w:cs="Arial"/>
                <w:color w:val="000000"/>
                <w:sz w:val="22"/>
                <w:szCs w:val="22"/>
              </w:rPr>
              <w:t>ITT Educational Services, Inc.</w:t>
            </w:r>
          </w:p>
        </w:tc>
        <w:tc>
          <w:tcPr>
            <w:tcW w:w="1920" w:type="dxa"/>
            <w:tcBorders>
              <w:top w:val="nil"/>
              <w:left w:val="nil"/>
              <w:bottom w:val="single" w:sz="8" w:space="0" w:color="auto"/>
              <w:right w:val="single" w:sz="8" w:space="0" w:color="auto"/>
            </w:tcBorders>
            <w:shd w:val="clear" w:color="000000" w:fill="FFFFFF"/>
            <w:noWrap/>
            <w:vAlign w:val="center"/>
            <w:hideMark/>
          </w:tcPr>
          <w:p w14:paraId="474DE9C9" w14:textId="77777777" w:rsidR="00826BE4" w:rsidRPr="00826BE4" w:rsidRDefault="00826BE4" w:rsidP="00826BE4">
            <w:pPr>
              <w:jc w:val="center"/>
              <w:rPr>
                <w:rFonts w:cs="Arial"/>
                <w:color w:val="000000"/>
                <w:sz w:val="22"/>
                <w:szCs w:val="22"/>
              </w:rPr>
            </w:pPr>
            <w:r w:rsidRPr="00826BE4">
              <w:rPr>
                <w:rFonts w:cs="Arial"/>
                <w:color w:val="000000"/>
                <w:sz w:val="22"/>
                <w:szCs w:val="22"/>
              </w:rPr>
              <w:t>24/04/2008</w:t>
            </w:r>
          </w:p>
        </w:tc>
        <w:tc>
          <w:tcPr>
            <w:tcW w:w="2740" w:type="dxa"/>
            <w:tcBorders>
              <w:top w:val="nil"/>
              <w:left w:val="nil"/>
              <w:bottom w:val="single" w:sz="8" w:space="0" w:color="auto"/>
              <w:right w:val="single" w:sz="8" w:space="0" w:color="auto"/>
            </w:tcBorders>
            <w:shd w:val="clear" w:color="000000" w:fill="FFFFFF"/>
            <w:noWrap/>
            <w:vAlign w:val="center"/>
            <w:hideMark/>
          </w:tcPr>
          <w:p w14:paraId="130EA6C7" w14:textId="77777777" w:rsidR="00826BE4" w:rsidRPr="00826BE4" w:rsidRDefault="00826BE4" w:rsidP="00826BE4">
            <w:pPr>
              <w:jc w:val="center"/>
              <w:rPr>
                <w:rFonts w:cs="Arial"/>
                <w:color w:val="000000"/>
                <w:sz w:val="22"/>
                <w:szCs w:val="22"/>
              </w:rPr>
            </w:pPr>
            <w:r w:rsidRPr="00826BE4">
              <w:rPr>
                <w:rFonts w:cs="Arial"/>
                <w:color w:val="000000"/>
                <w:sz w:val="22"/>
                <w:szCs w:val="22"/>
              </w:rPr>
              <w:t>25/02/2013</w:t>
            </w:r>
          </w:p>
        </w:tc>
        <w:tc>
          <w:tcPr>
            <w:tcW w:w="1860" w:type="dxa"/>
            <w:tcBorders>
              <w:top w:val="nil"/>
              <w:left w:val="nil"/>
              <w:bottom w:val="single" w:sz="8" w:space="0" w:color="auto"/>
              <w:right w:val="single" w:sz="8" w:space="0" w:color="auto"/>
            </w:tcBorders>
            <w:shd w:val="clear" w:color="000000" w:fill="FFFFFF"/>
            <w:noWrap/>
            <w:vAlign w:val="center"/>
            <w:hideMark/>
          </w:tcPr>
          <w:p w14:paraId="3420E334" w14:textId="77777777" w:rsidR="00826BE4" w:rsidRPr="00826BE4" w:rsidRDefault="00826BE4" w:rsidP="00826BE4">
            <w:pPr>
              <w:jc w:val="right"/>
              <w:rPr>
                <w:rFonts w:cs="Arial"/>
                <w:color w:val="000000"/>
                <w:sz w:val="22"/>
                <w:szCs w:val="22"/>
              </w:rPr>
            </w:pPr>
            <w:r w:rsidRPr="00826BE4">
              <w:rPr>
                <w:rFonts w:cs="Arial"/>
                <w:color w:val="000000"/>
                <w:sz w:val="22"/>
                <w:szCs w:val="22"/>
              </w:rPr>
              <w:t>760.06</w:t>
            </w:r>
          </w:p>
        </w:tc>
      </w:tr>
      <w:tr w:rsidR="00826BE4" w:rsidRPr="00826BE4" w14:paraId="7E75763E" w14:textId="77777777" w:rsidTr="00826BE4">
        <w:trPr>
          <w:trHeight w:val="300"/>
        </w:trPr>
        <w:tc>
          <w:tcPr>
            <w:tcW w:w="3220" w:type="dxa"/>
            <w:tcBorders>
              <w:top w:val="nil"/>
              <w:left w:val="single" w:sz="8" w:space="0" w:color="auto"/>
              <w:bottom w:val="single" w:sz="8" w:space="0" w:color="auto"/>
              <w:right w:val="single" w:sz="8" w:space="0" w:color="auto"/>
            </w:tcBorders>
            <w:shd w:val="clear" w:color="000000" w:fill="FFFFFF"/>
            <w:noWrap/>
            <w:vAlign w:val="center"/>
            <w:hideMark/>
          </w:tcPr>
          <w:p w14:paraId="15977907" w14:textId="77777777" w:rsidR="00826BE4" w:rsidRPr="00826BE4" w:rsidRDefault="00826BE4" w:rsidP="00826BE4">
            <w:pPr>
              <w:rPr>
                <w:rFonts w:cs="Arial"/>
                <w:color w:val="000000"/>
                <w:sz w:val="22"/>
                <w:szCs w:val="22"/>
              </w:rPr>
            </w:pPr>
            <w:r w:rsidRPr="00826BE4">
              <w:rPr>
                <w:rFonts w:cs="Arial"/>
                <w:color w:val="000000"/>
                <w:sz w:val="22"/>
                <w:szCs w:val="22"/>
              </w:rPr>
              <w:t>Weight Watchers International, Inc.</w:t>
            </w:r>
          </w:p>
        </w:tc>
        <w:tc>
          <w:tcPr>
            <w:tcW w:w="1920" w:type="dxa"/>
            <w:tcBorders>
              <w:top w:val="nil"/>
              <w:left w:val="nil"/>
              <w:bottom w:val="single" w:sz="8" w:space="0" w:color="auto"/>
              <w:right w:val="single" w:sz="8" w:space="0" w:color="auto"/>
            </w:tcBorders>
            <w:shd w:val="clear" w:color="000000" w:fill="FFFFFF"/>
            <w:noWrap/>
            <w:vAlign w:val="center"/>
            <w:hideMark/>
          </w:tcPr>
          <w:p w14:paraId="6F0AD04A" w14:textId="77777777" w:rsidR="00826BE4" w:rsidRPr="00826BE4" w:rsidRDefault="00826BE4" w:rsidP="00826BE4">
            <w:pPr>
              <w:jc w:val="center"/>
              <w:rPr>
                <w:rFonts w:cs="Arial"/>
                <w:color w:val="000000"/>
                <w:sz w:val="22"/>
                <w:szCs w:val="22"/>
              </w:rPr>
            </w:pPr>
            <w:r w:rsidRPr="00826BE4">
              <w:rPr>
                <w:rFonts w:cs="Arial"/>
                <w:color w:val="000000"/>
                <w:sz w:val="22"/>
                <w:szCs w:val="22"/>
              </w:rPr>
              <w:t>14/02/2012</w:t>
            </w:r>
          </w:p>
        </w:tc>
        <w:tc>
          <w:tcPr>
            <w:tcW w:w="2740" w:type="dxa"/>
            <w:tcBorders>
              <w:top w:val="nil"/>
              <w:left w:val="nil"/>
              <w:bottom w:val="single" w:sz="8" w:space="0" w:color="auto"/>
              <w:right w:val="single" w:sz="8" w:space="0" w:color="auto"/>
            </w:tcBorders>
            <w:shd w:val="clear" w:color="000000" w:fill="FFFFFF"/>
            <w:noWrap/>
            <w:vAlign w:val="center"/>
            <w:hideMark/>
          </w:tcPr>
          <w:p w14:paraId="0CE5A36B" w14:textId="77777777" w:rsidR="00826BE4" w:rsidRPr="00826BE4" w:rsidRDefault="00826BE4" w:rsidP="00826BE4">
            <w:pPr>
              <w:jc w:val="center"/>
              <w:rPr>
                <w:rFonts w:cs="Arial"/>
                <w:color w:val="000000"/>
                <w:sz w:val="22"/>
                <w:szCs w:val="22"/>
              </w:rPr>
            </w:pPr>
            <w:r w:rsidRPr="00826BE4">
              <w:rPr>
                <w:rFonts w:cs="Arial"/>
                <w:color w:val="000000"/>
                <w:sz w:val="22"/>
                <w:szCs w:val="22"/>
              </w:rPr>
              <w:t>30/10/2013</w:t>
            </w:r>
          </w:p>
        </w:tc>
        <w:tc>
          <w:tcPr>
            <w:tcW w:w="1860" w:type="dxa"/>
            <w:tcBorders>
              <w:top w:val="nil"/>
              <w:left w:val="nil"/>
              <w:bottom w:val="single" w:sz="8" w:space="0" w:color="auto"/>
              <w:right w:val="single" w:sz="8" w:space="0" w:color="auto"/>
            </w:tcBorders>
            <w:shd w:val="clear" w:color="000000" w:fill="FFFFFF"/>
            <w:noWrap/>
            <w:vAlign w:val="center"/>
            <w:hideMark/>
          </w:tcPr>
          <w:p w14:paraId="60BAEF26" w14:textId="77777777" w:rsidR="00826BE4" w:rsidRPr="00826BE4" w:rsidRDefault="00826BE4" w:rsidP="00826BE4">
            <w:pPr>
              <w:jc w:val="right"/>
              <w:rPr>
                <w:rFonts w:cs="Arial"/>
                <w:color w:val="000000"/>
                <w:sz w:val="22"/>
                <w:szCs w:val="22"/>
              </w:rPr>
            </w:pPr>
            <w:r w:rsidRPr="00826BE4">
              <w:rPr>
                <w:rFonts w:cs="Arial"/>
                <w:color w:val="000000"/>
                <w:sz w:val="22"/>
                <w:szCs w:val="22"/>
              </w:rPr>
              <w:t>2,265.97</w:t>
            </w:r>
          </w:p>
        </w:tc>
      </w:tr>
      <w:tr w:rsidR="00826BE4" w:rsidRPr="00826BE4" w14:paraId="6212CD61" w14:textId="77777777" w:rsidTr="00826BE4">
        <w:trPr>
          <w:trHeight w:val="300"/>
        </w:trPr>
        <w:tc>
          <w:tcPr>
            <w:tcW w:w="3220" w:type="dxa"/>
            <w:tcBorders>
              <w:top w:val="nil"/>
              <w:left w:val="single" w:sz="8" w:space="0" w:color="auto"/>
              <w:bottom w:val="single" w:sz="8" w:space="0" w:color="auto"/>
              <w:right w:val="single" w:sz="8" w:space="0" w:color="auto"/>
            </w:tcBorders>
            <w:shd w:val="clear" w:color="000000" w:fill="FFFFFF"/>
            <w:noWrap/>
            <w:vAlign w:val="center"/>
            <w:hideMark/>
          </w:tcPr>
          <w:p w14:paraId="7B4628DF" w14:textId="77777777" w:rsidR="00826BE4" w:rsidRPr="00826BE4" w:rsidRDefault="00826BE4" w:rsidP="00826BE4">
            <w:pPr>
              <w:rPr>
                <w:rFonts w:cs="Arial"/>
                <w:color w:val="000000"/>
                <w:sz w:val="22"/>
                <w:szCs w:val="22"/>
              </w:rPr>
            </w:pPr>
            <w:r w:rsidRPr="00826BE4">
              <w:rPr>
                <w:rFonts w:cs="Arial"/>
                <w:color w:val="000000"/>
                <w:sz w:val="22"/>
                <w:szCs w:val="22"/>
              </w:rPr>
              <w:t>Petroleo Brasileiro S.A. Petrobras</w:t>
            </w:r>
          </w:p>
        </w:tc>
        <w:tc>
          <w:tcPr>
            <w:tcW w:w="1920" w:type="dxa"/>
            <w:tcBorders>
              <w:top w:val="nil"/>
              <w:left w:val="nil"/>
              <w:bottom w:val="single" w:sz="8" w:space="0" w:color="auto"/>
              <w:right w:val="single" w:sz="8" w:space="0" w:color="auto"/>
            </w:tcBorders>
            <w:shd w:val="clear" w:color="000000" w:fill="FFFFFF"/>
            <w:noWrap/>
            <w:vAlign w:val="center"/>
            <w:hideMark/>
          </w:tcPr>
          <w:p w14:paraId="4D9AF90F" w14:textId="77777777" w:rsidR="00826BE4" w:rsidRPr="00826BE4" w:rsidRDefault="00826BE4" w:rsidP="00826BE4">
            <w:pPr>
              <w:jc w:val="center"/>
              <w:rPr>
                <w:rFonts w:cs="Arial"/>
                <w:color w:val="000000"/>
                <w:sz w:val="22"/>
                <w:szCs w:val="22"/>
              </w:rPr>
            </w:pPr>
            <w:r w:rsidRPr="00826BE4">
              <w:rPr>
                <w:rFonts w:cs="Arial"/>
                <w:color w:val="000000"/>
                <w:sz w:val="22"/>
                <w:szCs w:val="22"/>
              </w:rPr>
              <w:t>07/01/2010</w:t>
            </w:r>
          </w:p>
        </w:tc>
        <w:tc>
          <w:tcPr>
            <w:tcW w:w="2740" w:type="dxa"/>
            <w:tcBorders>
              <w:top w:val="nil"/>
              <w:left w:val="nil"/>
              <w:bottom w:val="single" w:sz="8" w:space="0" w:color="auto"/>
              <w:right w:val="single" w:sz="8" w:space="0" w:color="auto"/>
            </w:tcBorders>
            <w:shd w:val="clear" w:color="000000" w:fill="FFFFFF"/>
            <w:noWrap/>
            <w:vAlign w:val="center"/>
            <w:hideMark/>
          </w:tcPr>
          <w:p w14:paraId="4D518CA4" w14:textId="77777777" w:rsidR="00826BE4" w:rsidRPr="00826BE4" w:rsidRDefault="00826BE4" w:rsidP="00826BE4">
            <w:pPr>
              <w:jc w:val="center"/>
              <w:rPr>
                <w:rFonts w:cs="Arial"/>
                <w:color w:val="000000"/>
                <w:sz w:val="22"/>
                <w:szCs w:val="22"/>
              </w:rPr>
            </w:pPr>
            <w:r w:rsidRPr="00826BE4">
              <w:rPr>
                <w:rFonts w:cs="Arial"/>
                <w:color w:val="000000"/>
                <w:sz w:val="22"/>
                <w:szCs w:val="22"/>
              </w:rPr>
              <w:t>26/11/2014</w:t>
            </w:r>
          </w:p>
        </w:tc>
        <w:tc>
          <w:tcPr>
            <w:tcW w:w="1860" w:type="dxa"/>
            <w:tcBorders>
              <w:top w:val="nil"/>
              <w:left w:val="nil"/>
              <w:bottom w:val="single" w:sz="8" w:space="0" w:color="auto"/>
              <w:right w:val="single" w:sz="8" w:space="0" w:color="auto"/>
            </w:tcBorders>
            <w:shd w:val="clear" w:color="000000" w:fill="FFFFFF"/>
            <w:noWrap/>
            <w:vAlign w:val="center"/>
            <w:hideMark/>
          </w:tcPr>
          <w:p w14:paraId="4C8D4166" w14:textId="77777777" w:rsidR="00826BE4" w:rsidRPr="00826BE4" w:rsidRDefault="00826BE4" w:rsidP="00826BE4">
            <w:pPr>
              <w:jc w:val="right"/>
              <w:rPr>
                <w:rFonts w:cs="Arial"/>
                <w:color w:val="000000"/>
                <w:sz w:val="22"/>
                <w:szCs w:val="22"/>
              </w:rPr>
            </w:pPr>
            <w:r w:rsidRPr="00826BE4">
              <w:rPr>
                <w:rFonts w:cs="Arial"/>
                <w:color w:val="000000"/>
                <w:sz w:val="22"/>
                <w:szCs w:val="22"/>
              </w:rPr>
              <w:t>6,158.91</w:t>
            </w:r>
          </w:p>
        </w:tc>
      </w:tr>
    </w:tbl>
    <w:p w14:paraId="5E8DE656" w14:textId="77777777" w:rsidR="00826BE4" w:rsidRDefault="00826BE4" w:rsidP="007A2F86">
      <w:pPr>
        <w:rPr>
          <w:bCs/>
          <w:color w:val="000000" w:themeColor="text1"/>
        </w:rPr>
      </w:pPr>
    </w:p>
    <w:p w14:paraId="5AC200E9" w14:textId="5D0D563A" w:rsidR="00826BE4" w:rsidRDefault="00941C24" w:rsidP="00ED4B33">
      <w:pPr>
        <w:jc w:val="both"/>
        <w:rPr>
          <w:bCs/>
          <w:color w:val="000000" w:themeColor="text1"/>
        </w:rPr>
      </w:pPr>
      <w:r>
        <w:rPr>
          <w:bCs/>
          <w:color w:val="000000" w:themeColor="text1"/>
        </w:rPr>
        <w:t>In each of these cases</w:t>
      </w:r>
      <w:r w:rsidR="00F62327">
        <w:rPr>
          <w:bCs/>
          <w:color w:val="000000" w:themeColor="text1"/>
        </w:rPr>
        <w:t>,</w:t>
      </w:r>
      <w:r w:rsidR="00826BE4">
        <w:rPr>
          <w:bCs/>
          <w:color w:val="000000" w:themeColor="text1"/>
        </w:rPr>
        <w:t xml:space="preserve"> </w:t>
      </w:r>
      <w:r w:rsidR="00211AA0">
        <w:rPr>
          <w:bCs/>
          <w:color w:val="000000" w:themeColor="text1"/>
        </w:rPr>
        <w:t>the Fund ha</w:t>
      </w:r>
      <w:r>
        <w:rPr>
          <w:bCs/>
          <w:color w:val="000000" w:themeColor="text1"/>
        </w:rPr>
        <w:t>s</w:t>
      </w:r>
      <w:r w:rsidR="00211AA0">
        <w:rPr>
          <w:bCs/>
          <w:color w:val="000000" w:themeColor="text1"/>
        </w:rPr>
        <w:t xml:space="preserve"> been</w:t>
      </w:r>
      <w:r>
        <w:rPr>
          <w:bCs/>
          <w:color w:val="000000" w:themeColor="text1"/>
        </w:rPr>
        <w:t xml:space="preserve"> </w:t>
      </w:r>
      <w:r w:rsidR="00211AA0">
        <w:rPr>
          <w:bCs/>
          <w:color w:val="000000" w:themeColor="text1"/>
        </w:rPr>
        <w:t xml:space="preserve">advised to continue </w:t>
      </w:r>
      <w:r w:rsidR="00F62327">
        <w:rPr>
          <w:bCs/>
          <w:color w:val="000000" w:themeColor="text1"/>
        </w:rPr>
        <w:t>monitor</w:t>
      </w:r>
      <w:r w:rsidR="00211AA0">
        <w:rPr>
          <w:bCs/>
          <w:color w:val="000000" w:themeColor="text1"/>
        </w:rPr>
        <w:t>ing</w:t>
      </w:r>
      <w:r w:rsidR="00F62327">
        <w:rPr>
          <w:bCs/>
          <w:color w:val="000000" w:themeColor="text1"/>
        </w:rPr>
        <w:t xml:space="preserve"> progress</w:t>
      </w:r>
      <w:r w:rsidR="005F323E">
        <w:rPr>
          <w:bCs/>
          <w:color w:val="000000" w:themeColor="text1"/>
        </w:rPr>
        <w:t xml:space="preserve">, </w:t>
      </w:r>
      <w:r w:rsidR="00D24BA6">
        <w:rPr>
          <w:bCs/>
          <w:color w:val="000000" w:themeColor="text1"/>
        </w:rPr>
        <w:t xml:space="preserve">but </w:t>
      </w:r>
      <w:r w:rsidR="005F323E">
        <w:rPr>
          <w:bCs/>
          <w:color w:val="000000" w:themeColor="text1"/>
        </w:rPr>
        <w:t xml:space="preserve">with no other </w:t>
      </w:r>
      <w:r>
        <w:rPr>
          <w:bCs/>
          <w:color w:val="000000" w:themeColor="text1"/>
        </w:rPr>
        <w:t xml:space="preserve">action </w:t>
      </w:r>
      <w:r w:rsidR="00211AA0">
        <w:rPr>
          <w:bCs/>
          <w:color w:val="000000" w:themeColor="text1"/>
        </w:rPr>
        <w:t>required</w:t>
      </w:r>
      <w:r w:rsidR="005F323E">
        <w:rPr>
          <w:bCs/>
          <w:color w:val="000000" w:themeColor="text1"/>
        </w:rPr>
        <w:t xml:space="preserve"> at this stage</w:t>
      </w:r>
      <w:r w:rsidR="00826BE4" w:rsidRPr="00826BE4">
        <w:rPr>
          <w:bCs/>
          <w:color w:val="000000" w:themeColor="text1"/>
        </w:rPr>
        <w:t xml:space="preserve">. </w:t>
      </w:r>
    </w:p>
    <w:p w14:paraId="2F6F47C1" w14:textId="77777777" w:rsidR="000E4240" w:rsidRPr="004751FA" w:rsidRDefault="000E4240" w:rsidP="00655108">
      <w:pPr>
        <w:spacing w:before="100" w:beforeAutospacing="1" w:after="120"/>
        <w:rPr>
          <w:b/>
        </w:rPr>
      </w:pPr>
      <w:r w:rsidRPr="004751FA">
        <w:rPr>
          <w:b/>
        </w:rPr>
        <w:t>United Kingdom</w:t>
      </w:r>
    </w:p>
    <w:p w14:paraId="5B208B08" w14:textId="0C1AD19C" w:rsidR="00A633CD" w:rsidRPr="003A105E" w:rsidRDefault="00A633CD" w:rsidP="00ED4B33">
      <w:pPr>
        <w:widowControl w:val="0"/>
        <w:spacing w:after="240"/>
        <w:jc w:val="both"/>
        <w:outlineLvl w:val="0"/>
        <w:rPr>
          <w:bCs/>
          <w:color w:val="000000" w:themeColor="text1"/>
        </w:rPr>
      </w:pPr>
      <w:r>
        <w:rPr>
          <w:bCs/>
          <w:color w:val="000000" w:themeColor="text1"/>
        </w:rPr>
        <w:t>S</w:t>
      </w:r>
      <w:r w:rsidR="000E4240" w:rsidRPr="003A105E">
        <w:rPr>
          <w:bCs/>
          <w:color w:val="000000" w:themeColor="text1"/>
        </w:rPr>
        <w:t>ecurities claims in the UK require investors to file actions indi</w:t>
      </w:r>
      <w:r w:rsidR="007F3D46" w:rsidRPr="003A105E">
        <w:rPr>
          <w:bCs/>
          <w:color w:val="000000" w:themeColor="text1"/>
        </w:rPr>
        <w:t xml:space="preserve">vidually </w:t>
      </w:r>
      <w:r w:rsidR="000E4240" w:rsidRPr="003A105E">
        <w:rPr>
          <w:bCs/>
          <w:color w:val="000000" w:themeColor="text1"/>
        </w:rPr>
        <w:t>in order to b</w:t>
      </w:r>
      <w:r w:rsidR="003A105E" w:rsidRPr="003A105E">
        <w:rPr>
          <w:bCs/>
          <w:color w:val="000000" w:themeColor="text1"/>
        </w:rPr>
        <w:t xml:space="preserve">enefit from a successful </w:t>
      </w:r>
      <w:r w:rsidR="00711F11">
        <w:rPr>
          <w:bCs/>
          <w:color w:val="000000" w:themeColor="text1"/>
        </w:rPr>
        <w:t xml:space="preserve">group </w:t>
      </w:r>
      <w:r w:rsidR="003A105E" w:rsidRPr="003A105E">
        <w:rPr>
          <w:bCs/>
          <w:color w:val="000000" w:themeColor="text1"/>
        </w:rPr>
        <w:t>action</w:t>
      </w:r>
      <w:r w:rsidR="000E4240" w:rsidRPr="003A105E">
        <w:rPr>
          <w:bCs/>
          <w:color w:val="000000" w:themeColor="text1"/>
        </w:rPr>
        <w:t xml:space="preserve"> </w:t>
      </w:r>
      <w:r w:rsidR="003A105E" w:rsidRPr="003A105E">
        <w:rPr>
          <w:bCs/>
          <w:color w:val="000000" w:themeColor="text1"/>
        </w:rPr>
        <w:t xml:space="preserve">(they must be </w:t>
      </w:r>
      <w:r w:rsidR="00334769">
        <w:rPr>
          <w:bCs/>
          <w:color w:val="000000" w:themeColor="text1"/>
        </w:rPr>
        <w:t xml:space="preserve">a </w:t>
      </w:r>
      <w:r w:rsidR="003A105E" w:rsidRPr="003A105E">
        <w:rPr>
          <w:bCs/>
          <w:color w:val="000000" w:themeColor="text1"/>
        </w:rPr>
        <w:t xml:space="preserve">named claimant on an issued Claim Form). </w:t>
      </w:r>
      <w:r w:rsidR="006256C5" w:rsidRPr="003A105E">
        <w:rPr>
          <w:bCs/>
          <w:color w:val="000000" w:themeColor="text1"/>
        </w:rPr>
        <w:t xml:space="preserve">Actions are much less prevalent </w:t>
      </w:r>
      <w:r w:rsidR="003A105E">
        <w:rPr>
          <w:bCs/>
          <w:color w:val="000000" w:themeColor="text1"/>
        </w:rPr>
        <w:t xml:space="preserve">in the UK than </w:t>
      </w:r>
      <w:r w:rsidR="004751FA">
        <w:rPr>
          <w:bCs/>
          <w:color w:val="000000" w:themeColor="text1"/>
        </w:rPr>
        <w:t>equivalent class actions in the US</w:t>
      </w:r>
      <w:r w:rsidR="007357EE" w:rsidRPr="003A105E">
        <w:rPr>
          <w:bCs/>
          <w:color w:val="000000" w:themeColor="text1"/>
        </w:rPr>
        <w:t>.</w:t>
      </w:r>
      <w:r w:rsidR="006256C5" w:rsidRPr="003A105E">
        <w:rPr>
          <w:bCs/>
          <w:color w:val="000000" w:themeColor="text1"/>
        </w:rPr>
        <w:t xml:space="preserve"> </w:t>
      </w:r>
    </w:p>
    <w:p w14:paraId="0A829C88" w14:textId="77777777" w:rsidR="00ED2BF4" w:rsidRPr="00ED4B33" w:rsidRDefault="00ED2BF4" w:rsidP="00ED4B33">
      <w:pPr>
        <w:widowControl w:val="0"/>
        <w:spacing w:after="240"/>
        <w:jc w:val="both"/>
        <w:outlineLvl w:val="0"/>
        <w:rPr>
          <w:rFonts w:cs="Arial"/>
          <w:bCs/>
          <w:i/>
          <w:color w:val="000000" w:themeColor="text1"/>
        </w:rPr>
      </w:pPr>
      <w:r w:rsidRPr="00ED4B33">
        <w:rPr>
          <w:rFonts w:cs="Arial"/>
          <w:bCs/>
          <w:i/>
          <w:color w:val="000000" w:themeColor="text1"/>
        </w:rPr>
        <w:t xml:space="preserve">Royal Bank of Scotland </w:t>
      </w:r>
    </w:p>
    <w:p w14:paraId="65546774" w14:textId="562A3F95" w:rsidR="00D516A1" w:rsidRPr="00ED4B33" w:rsidRDefault="00D516A1" w:rsidP="00ED4B33">
      <w:pPr>
        <w:pStyle w:val="Default"/>
        <w:jc w:val="both"/>
        <w:rPr>
          <w:bCs/>
          <w:color w:val="000000" w:themeColor="text1"/>
        </w:rPr>
      </w:pPr>
      <w:r w:rsidRPr="00ED4B33">
        <w:rPr>
          <w:bCs/>
          <w:color w:val="000000" w:themeColor="text1"/>
        </w:rPr>
        <w:t xml:space="preserve">As </w:t>
      </w:r>
      <w:r w:rsidR="00941C24" w:rsidRPr="00ED4B33">
        <w:rPr>
          <w:bCs/>
          <w:color w:val="000000" w:themeColor="text1"/>
        </w:rPr>
        <w:t xml:space="preserve">previously </w:t>
      </w:r>
      <w:r w:rsidRPr="00ED4B33">
        <w:rPr>
          <w:bCs/>
          <w:color w:val="000000" w:themeColor="text1"/>
        </w:rPr>
        <w:t>reported, t</w:t>
      </w:r>
      <w:r w:rsidR="00D63039" w:rsidRPr="00ED4B33">
        <w:rPr>
          <w:bCs/>
          <w:color w:val="000000" w:themeColor="text1"/>
        </w:rPr>
        <w:t xml:space="preserve">he Fund has joined </w:t>
      </w:r>
      <w:r w:rsidR="0071110E" w:rsidRPr="00ED4B33">
        <w:rPr>
          <w:bCs/>
          <w:color w:val="000000" w:themeColor="text1"/>
        </w:rPr>
        <w:t>a large group of institutional investors</w:t>
      </w:r>
      <w:r w:rsidR="00B40C71" w:rsidRPr="00ED4B33">
        <w:rPr>
          <w:bCs/>
          <w:color w:val="000000" w:themeColor="text1"/>
        </w:rPr>
        <w:t xml:space="preserve"> in a </w:t>
      </w:r>
      <w:r w:rsidR="0071110E" w:rsidRPr="00ED4B33">
        <w:rPr>
          <w:bCs/>
          <w:color w:val="000000" w:themeColor="text1"/>
        </w:rPr>
        <w:t xml:space="preserve">group action </w:t>
      </w:r>
      <w:r w:rsidR="00D63039" w:rsidRPr="00ED4B33">
        <w:rPr>
          <w:bCs/>
          <w:color w:val="000000" w:themeColor="text1"/>
        </w:rPr>
        <w:t>against</w:t>
      </w:r>
      <w:r w:rsidR="000E4240" w:rsidRPr="00ED4B33">
        <w:rPr>
          <w:bCs/>
          <w:color w:val="000000" w:themeColor="text1"/>
        </w:rPr>
        <w:t xml:space="preserve"> Royal Bank of Scotland Group Plc (RBS)</w:t>
      </w:r>
      <w:r w:rsidR="00767C8E" w:rsidRPr="00ED4B33">
        <w:rPr>
          <w:bCs/>
          <w:color w:val="000000" w:themeColor="text1"/>
        </w:rPr>
        <w:t xml:space="preserve"> under which i</w:t>
      </w:r>
      <w:r w:rsidR="000E4240" w:rsidRPr="00ED4B33">
        <w:rPr>
          <w:bCs/>
          <w:color w:val="000000" w:themeColor="text1"/>
        </w:rPr>
        <w:t>t is argued</w:t>
      </w:r>
      <w:r w:rsidR="002259B3" w:rsidRPr="00ED4B33">
        <w:rPr>
          <w:bCs/>
          <w:color w:val="000000" w:themeColor="text1"/>
        </w:rPr>
        <w:t xml:space="preserve"> that </w:t>
      </w:r>
      <w:r w:rsidR="000E4240" w:rsidRPr="00ED4B33">
        <w:rPr>
          <w:bCs/>
          <w:color w:val="000000" w:themeColor="text1"/>
        </w:rPr>
        <w:t xml:space="preserve">investors </w:t>
      </w:r>
      <w:r w:rsidR="00D63039" w:rsidRPr="00ED4B33">
        <w:rPr>
          <w:bCs/>
          <w:color w:val="000000" w:themeColor="text1"/>
        </w:rPr>
        <w:t xml:space="preserve">have </w:t>
      </w:r>
      <w:r w:rsidR="000E4240" w:rsidRPr="00ED4B33">
        <w:rPr>
          <w:bCs/>
          <w:color w:val="000000" w:themeColor="text1"/>
        </w:rPr>
        <w:t xml:space="preserve">suffered losses in </w:t>
      </w:r>
      <w:r w:rsidR="00B40C71" w:rsidRPr="00ED4B33">
        <w:rPr>
          <w:bCs/>
          <w:color w:val="000000" w:themeColor="text1"/>
        </w:rPr>
        <w:t xml:space="preserve">connection with </w:t>
      </w:r>
      <w:r w:rsidR="0071110E" w:rsidRPr="00ED4B33">
        <w:rPr>
          <w:bCs/>
          <w:color w:val="000000" w:themeColor="text1"/>
        </w:rPr>
        <w:t xml:space="preserve">a </w:t>
      </w:r>
      <w:r w:rsidR="000E4240" w:rsidRPr="00ED4B33">
        <w:rPr>
          <w:bCs/>
          <w:color w:val="000000" w:themeColor="text1"/>
        </w:rPr>
        <w:t>Rights Issue in 2008.</w:t>
      </w:r>
      <w:r w:rsidR="0071110E" w:rsidRPr="00ED4B33">
        <w:rPr>
          <w:bCs/>
          <w:color w:val="000000" w:themeColor="text1"/>
        </w:rPr>
        <w:t xml:space="preserve"> </w:t>
      </w:r>
      <w:r w:rsidR="00354A3F" w:rsidRPr="00ED4B33">
        <w:rPr>
          <w:bCs/>
          <w:color w:val="000000" w:themeColor="text1"/>
        </w:rPr>
        <w:t>T</w:t>
      </w:r>
      <w:r w:rsidR="003A105E" w:rsidRPr="00ED4B33">
        <w:rPr>
          <w:bCs/>
          <w:color w:val="000000" w:themeColor="text1"/>
        </w:rPr>
        <w:t xml:space="preserve">he law firm representing </w:t>
      </w:r>
      <w:r w:rsidRPr="00ED4B33">
        <w:rPr>
          <w:bCs/>
          <w:color w:val="000000" w:themeColor="text1"/>
        </w:rPr>
        <w:t>our</w:t>
      </w:r>
      <w:r w:rsidR="003A105E" w:rsidRPr="00ED4B33">
        <w:rPr>
          <w:bCs/>
          <w:color w:val="000000" w:themeColor="text1"/>
        </w:rPr>
        <w:t xml:space="preserve"> </w:t>
      </w:r>
      <w:r w:rsidR="00D63039" w:rsidRPr="00ED4B33">
        <w:rPr>
          <w:bCs/>
          <w:color w:val="000000" w:themeColor="text1"/>
        </w:rPr>
        <w:t xml:space="preserve">investor </w:t>
      </w:r>
      <w:r w:rsidR="003A105E" w:rsidRPr="00ED4B33">
        <w:rPr>
          <w:bCs/>
          <w:color w:val="000000" w:themeColor="text1"/>
        </w:rPr>
        <w:t>group</w:t>
      </w:r>
      <w:r w:rsidR="00354A3F" w:rsidRPr="00ED4B33">
        <w:rPr>
          <w:bCs/>
          <w:color w:val="000000" w:themeColor="text1"/>
        </w:rPr>
        <w:t xml:space="preserve"> provides </w:t>
      </w:r>
      <w:r w:rsidR="00211AA0" w:rsidRPr="00ED4B33">
        <w:rPr>
          <w:bCs/>
          <w:color w:val="000000" w:themeColor="text1"/>
        </w:rPr>
        <w:t xml:space="preserve">a </w:t>
      </w:r>
      <w:r w:rsidR="00354A3F" w:rsidRPr="00ED4B33">
        <w:rPr>
          <w:bCs/>
          <w:color w:val="000000" w:themeColor="text1"/>
        </w:rPr>
        <w:t xml:space="preserve">monthly </w:t>
      </w:r>
      <w:r w:rsidR="00731711" w:rsidRPr="00ED4B33">
        <w:rPr>
          <w:bCs/>
          <w:color w:val="000000" w:themeColor="text1"/>
        </w:rPr>
        <w:t>update</w:t>
      </w:r>
      <w:r w:rsidR="00354A3F" w:rsidRPr="00ED4B33">
        <w:rPr>
          <w:bCs/>
          <w:color w:val="000000" w:themeColor="text1"/>
        </w:rPr>
        <w:t xml:space="preserve"> on pre-trial progress </w:t>
      </w:r>
      <w:r w:rsidR="00774F47" w:rsidRPr="00ED4B33">
        <w:rPr>
          <w:bCs/>
          <w:color w:val="000000" w:themeColor="text1"/>
        </w:rPr>
        <w:t xml:space="preserve">with </w:t>
      </w:r>
      <w:r w:rsidR="00354A3F" w:rsidRPr="00ED4B33">
        <w:rPr>
          <w:bCs/>
          <w:color w:val="000000" w:themeColor="text1"/>
        </w:rPr>
        <w:t>the case</w:t>
      </w:r>
      <w:r w:rsidR="003A105E" w:rsidRPr="00ED4B33">
        <w:rPr>
          <w:bCs/>
          <w:color w:val="000000" w:themeColor="text1"/>
        </w:rPr>
        <w:t>.</w:t>
      </w:r>
      <w:r w:rsidR="002259B3" w:rsidRPr="00ED4B33">
        <w:rPr>
          <w:bCs/>
          <w:color w:val="000000" w:themeColor="text1"/>
        </w:rPr>
        <w:t xml:space="preserve">  </w:t>
      </w:r>
    </w:p>
    <w:p w14:paraId="2DB5207D" w14:textId="77777777" w:rsidR="00D516A1" w:rsidRPr="00ED4B33" w:rsidRDefault="00D516A1" w:rsidP="00ED4B33">
      <w:pPr>
        <w:pStyle w:val="Default"/>
        <w:jc w:val="both"/>
        <w:rPr>
          <w:bCs/>
          <w:color w:val="000000" w:themeColor="text1"/>
        </w:rPr>
      </w:pPr>
    </w:p>
    <w:p w14:paraId="0D1A5BC1" w14:textId="0C1E8030" w:rsidR="00757B06" w:rsidRPr="00ED4B33" w:rsidRDefault="00D516A1" w:rsidP="00ED4B33">
      <w:pPr>
        <w:pStyle w:val="Default"/>
        <w:jc w:val="both"/>
      </w:pPr>
      <w:r w:rsidRPr="00ED4B33">
        <w:rPr>
          <w:bCs/>
          <w:color w:val="000000" w:themeColor="text1"/>
        </w:rPr>
        <w:t xml:space="preserve">The latest report </w:t>
      </w:r>
      <w:r w:rsidR="00941C24" w:rsidRPr="00ED4B33">
        <w:rPr>
          <w:bCs/>
          <w:color w:val="000000" w:themeColor="text1"/>
        </w:rPr>
        <w:t>confirms</w:t>
      </w:r>
      <w:r w:rsidRPr="00ED4B33">
        <w:rPr>
          <w:bCs/>
          <w:color w:val="000000" w:themeColor="text1"/>
        </w:rPr>
        <w:t xml:space="preserve"> that s</w:t>
      </w:r>
      <w:r w:rsidR="00ED2BF4" w:rsidRPr="00ED4B33">
        <w:rPr>
          <w:bCs/>
          <w:color w:val="000000" w:themeColor="text1"/>
        </w:rPr>
        <w:t xml:space="preserve">ince the </w:t>
      </w:r>
      <w:r w:rsidR="00D63039" w:rsidRPr="00ED4B33">
        <w:rPr>
          <w:bCs/>
          <w:color w:val="000000" w:themeColor="text1"/>
        </w:rPr>
        <w:t>last</w:t>
      </w:r>
      <w:r w:rsidR="00774F47" w:rsidRPr="00ED4B33">
        <w:rPr>
          <w:bCs/>
          <w:color w:val="000000" w:themeColor="text1"/>
        </w:rPr>
        <w:t xml:space="preserve"> meeting of the </w:t>
      </w:r>
      <w:r w:rsidR="00D63039" w:rsidRPr="00ED4B33">
        <w:rPr>
          <w:bCs/>
          <w:color w:val="000000" w:themeColor="text1"/>
        </w:rPr>
        <w:t xml:space="preserve">Pension Fund </w:t>
      </w:r>
      <w:r w:rsidR="00774F47" w:rsidRPr="00ED4B33">
        <w:rPr>
          <w:bCs/>
          <w:color w:val="000000" w:themeColor="text1"/>
        </w:rPr>
        <w:t>Committee</w:t>
      </w:r>
      <w:r w:rsidR="00ED2BF4" w:rsidRPr="00ED4B33">
        <w:rPr>
          <w:bCs/>
          <w:color w:val="000000" w:themeColor="text1"/>
        </w:rPr>
        <w:t xml:space="preserve"> a </w:t>
      </w:r>
      <w:r w:rsidR="0039739E" w:rsidRPr="00ED4B33">
        <w:rPr>
          <w:bCs/>
          <w:color w:val="000000" w:themeColor="text1"/>
        </w:rPr>
        <w:t>7</w:t>
      </w:r>
      <w:r w:rsidR="006256C5" w:rsidRPr="00ED4B33">
        <w:rPr>
          <w:bCs/>
          <w:color w:val="000000" w:themeColor="text1"/>
          <w:vertAlign w:val="superscript"/>
        </w:rPr>
        <w:t>th</w:t>
      </w:r>
      <w:r w:rsidR="006256C5" w:rsidRPr="00ED4B33">
        <w:rPr>
          <w:bCs/>
          <w:color w:val="000000" w:themeColor="text1"/>
        </w:rPr>
        <w:t xml:space="preserve"> </w:t>
      </w:r>
      <w:r w:rsidR="00ED2BF4" w:rsidRPr="00ED4B33">
        <w:rPr>
          <w:bCs/>
          <w:color w:val="000000" w:themeColor="text1"/>
        </w:rPr>
        <w:t xml:space="preserve">Case Management Conference (CMC) </w:t>
      </w:r>
      <w:r w:rsidR="001E1715" w:rsidRPr="00ED4B33">
        <w:rPr>
          <w:bCs/>
          <w:color w:val="000000" w:themeColor="text1"/>
        </w:rPr>
        <w:t xml:space="preserve">has taken </w:t>
      </w:r>
      <w:r w:rsidR="006256C5" w:rsidRPr="00ED4B33">
        <w:rPr>
          <w:bCs/>
          <w:color w:val="000000" w:themeColor="text1"/>
        </w:rPr>
        <w:t>place at the High Court in London</w:t>
      </w:r>
      <w:r w:rsidR="001E1715" w:rsidRPr="00ED4B33">
        <w:rPr>
          <w:bCs/>
          <w:color w:val="000000" w:themeColor="text1"/>
        </w:rPr>
        <w:t xml:space="preserve"> (</w:t>
      </w:r>
      <w:r w:rsidR="0039739E" w:rsidRPr="00ED4B33">
        <w:t xml:space="preserve">28 and 29 July </w:t>
      </w:r>
      <w:r w:rsidR="001E1715" w:rsidRPr="00ED4B33">
        <w:rPr>
          <w:bCs/>
          <w:color w:val="000000" w:themeColor="text1"/>
        </w:rPr>
        <w:t>2015)</w:t>
      </w:r>
      <w:r w:rsidR="00ED2BF4" w:rsidRPr="00ED4B33">
        <w:rPr>
          <w:bCs/>
          <w:color w:val="000000" w:themeColor="text1"/>
        </w:rPr>
        <w:t xml:space="preserve">. </w:t>
      </w:r>
      <w:r w:rsidR="003A105E" w:rsidRPr="00ED4B33">
        <w:rPr>
          <w:bCs/>
          <w:color w:val="000000" w:themeColor="text1"/>
        </w:rPr>
        <w:t>The o</w:t>
      </w:r>
      <w:r w:rsidR="002259B3" w:rsidRPr="00ED4B33">
        <w:rPr>
          <w:bCs/>
          <w:color w:val="000000" w:themeColor="text1"/>
        </w:rPr>
        <w:t>utcome</w:t>
      </w:r>
      <w:r w:rsidR="007357EE" w:rsidRPr="00ED4B33">
        <w:rPr>
          <w:bCs/>
          <w:color w:val="000000" w:themeColor="text1"/>
        </w:rPr>
        <w:t xml:space="preserve"> </w:t>
      </w:r>
      <w:r w:rsidR="004751FA" w:rsidRPr="00ED4B33">
        <w:rPr>
          <w:bCs/>
          <w:color w:val="000000" w:themeColor="text1"/>
        </w:rPr>
        <w:t>was</w:t>
      </w:r>
      <w:r w:rsidR="003A105E" w:rsidRPr="00ED4B33">
        <w:rPr>
          <w:bCs/>
          <w:color w:val="000000" w:themeColor="text1"/>
        </w:rPr>
        <w:t xml:space="preserve"> reported</w:t>
      </w:r>
      <w:r w:rsidR="004751FA" w:rsidRPr="00ED4B33">
        <w:rPr>
          <w:bCs/>
          <w:color w:val="000000" w:themeColor="text1"/>
        </w:rPr>
        <w:t>ly</w:t>
      </w:r>
      <w:r w:rsidR="003A105E" w:rsidRPr="00ED4B33">
        <w:rPr>
          <w:bCs/>
          <w:color w:val="000000" w:themeColor="text1"/>
        </w:rPr>
        <w:t xml:space="preserve"> </w:t>
      </w:r>
      <w:r w:rsidR="004751FA" w:rsidRPr="00ED4B33">
        <w:rPr>
          <w:bCs/>
          <w:color w:val="000000" w:themeColor="text1"/>
        </w:rPr>
        <w:t>positive</w:t>
      </w:r>
      <w:r w:rsidR="00941C24" w:rsidRPr="00ED4B33">
        <w:rPr>
          <w:bCs/>
          <w:color w:val="000000" w:themeColor="text1"/>
        </w:rPr>
        <w:t>,</w:t>
      </w:r>
      <w:r w:rsidR="004751FA" w:rsidRPr="00ED4B33">
        <w:rPr>
          <w:bCs/>
          <w:color w:val="000000" w:themeColor="text1"/>
        </w:rPr>
        <w:t xml:space="preserve"> </w:t>
      </w:r>
      <w:r w:rsidR="00AA657C" w:rsidRPr="00ED4B33">
        <w:rPr>
          <w:bCs/>
          <w:color w:val="000000" w:themeColor="text1"/>
        </w:rPr>
        <w:t>w</w:t>
      </w:r>
      <w:r w:rsidR="00767C8E" w:rsidRPr="00ED4B33">
        <w:rPr>
          <w:bCs/>
          <w:color w:val="000000" w:themeColor="text1"/>
        </w:rPr>
        <w:t>ith</w:t>
      </w:r>
      <w:r w:rsidR="002F4B8E" w:rsidRPr="00ED4B33">
        <w:rPr>
          <w:bCs/>
          <w:color w:val="000000" w:themeColor="text1"/>
        </w:rPr>
        <w:t xml:space="preserve"> </w:t>
      </w:r>
      <w:r w:rsidR="00731711" w:rsidRPr="00ED4B33">
        <w:t xml:space="preserve">the Court being </w:t>
      </w:r>
      <w:r w:rsidR="001179AC" w:rsidRPr="00ED4B33">
        <w:t xml:space="preserve">favourably disposed to positions proposed </w:t>
      </w:r>
      <w:r w:rsidR="00941C24" w:rsidRPr="00ED4B33">
        <w:rPr>
          <w:bCs/>
          <w:color w:val="000000" w:themeColor="text1"/>
        </w:rPr>
        <w:t xml:space="preserve">by claimants </w:t>
      </w:r>
      <w:r w:rsidR="00731711" w:rsidRPr="00ED4B33">
        <w:t xml:space="preserve">and committed to ensuring the timetable </w:t>
      </w:r>
      <w:r w:rsidR="008179ED" w:rsidRPr="00ED4B33">
        <w:t>to trial is not extended</w:t>
      </w:r>
      <w:r w:rsidR="00486D4A" w:rsidRPr="00ED4B33">
        <w:rPr>
          <w:bCs/>
          <w:color w:val="000000" w:themeColor="text1"/>
        </w:rPr>
        <w:t>.</w:t>
      </w:r>
      <w:r w:rsidR="00ED4B33">
        <w:rPr>
          <w:bCs/>
          <w:color w:val="000000" w:themeColor="text1"/>
        </w:rPr>
        <w:t xml:space="preserve"> </w:t>
      </w:r>
      <w:r w:rsidR="0039739E" w:rsidRPr="00ED4B33">
        <w:rPr>
          <w:bCs/>
          <w:color w:val="000000" w:themeColor="text1"/>
        </w:rPr>
        <w:t>A further (8</w:t>
      </w:r>
      <w:r w:rsidR="00757B06" w:rsidRPr="00ED4B33">
        <w:rPr>
          <w:bCs/>
          <w:color w:val="000000" w:themeColor="text1"/>
        </w:rPr>
        <w:t xml:space="preserve">th) CMC is </w:t>
      </w:r>
      <w:r w:rsidR="008179ED" w:rsidRPr="00ED4B33">
        <w:rPr>
          <w:bCs/>
          <w:color w:val="000000" w:themeColor="text1"/>
        </w:rPr>
        <w:t xml:space="preserve">provisionally </w:t>
      </w:r>
      <w:r w:rsidR="00757B06" w:rsidRPr="00ED4B33">
        <w:rPr>
          <w:bCs/>
          <w:color w:val="000000" w:themeColor="text1"/>
        </w:rPr>
        <w:t xml:space="preserve">scheduled for </w:t>
      </w:r>
      <w:r w:rsidR="0039739E" w:rsidRPr="00ED4B33">
        <w:rPr>
          <w:bCs/>
          <w:color w:val="000000" w:themeColor="text1"/>
        </w:rPr>
        <w:t xml:space="preserve">October </w:t>
      </w:r>
      <w:r w:rsidR="00757B06" w:rsidRPr="00ED4B33">
        <w:rPr>
          <w:bCs/>
          <w:color w:val="000000" w:themeColor="text1"/>
        </w:rPr>
        <w:t>2015</w:t>
      </w:r>
      <w:r w:rsidR="008179ED" w:rsidRPr="00ED4B33">
        <w:rPr>
          <w:bCs/>
          <w:color w:val="000000" w:themeColor="text1"/>
        </w:rPr>
        <w:t xml:space="preserve"> </w:t>
      </w:r>
      <w:r w:rsidR="00211AA0" w:rsidRPr="00ED4B33">
        <w:rPr>
          <w:bCs/>
          <w:color w:val="000000" w:themeColor="text1"/>
        </w:rPr>
        <w:t>after</w:t>
      </w:r>
      <w:r w:rsidR="00D63039" w:rsidRPr="00ED4B33">
        <w:rPr>
          <w:bCs/>
          <w:color w:val="000000" w:themeColor="text1"/>
        </w:rPr>
        <w:t xml:space="preserve"> the</w:t>
      </w:r>
      <w:r w:rsidR="00E831B0" w:rsidRPr="00ED4B33">
        <w:rPr>
          <w:bCs/>
          <w:color w:val="000000" w:themeColor="text1"/>
        </w:rPr>
        <w:t xml:space="preserve"> </w:t>
      </w:r>
      <w:r w:rsidR="008179ED" w:rsidRPr="00ED4B33">
        <w:rPr>
          <w:bCs/>
          <w:color w:val="000000" w:themeColor="text1"/>
        </w:rPr>
        <w:t>expiration of a number of procedural deadlines</w:t>
      </w:r>
      <w:r w:rsidR="00F94B75" w:rsidRPr="00ED4B33">
        <w:rPr>
          <w:bCs/>
          <w:color w:val="000000" w:themeColor="text1"/>
        </w:rPr>
        <w:t xml:space="preserve"> during August and September</w:t>
      </w:r>
      <w:r w:rsidR="008179ED" w:rsidRPr="00ED4B33">
        <w:rPr>
          <w:bCs/>
          <w:color w:val="000000" w:themeColor="text1"/>
        </w:rPr>
        <w:t>. T</w:t>
      </w:r>
      <w:r w:rsidR="00767C8E" w:rsidRPr="00ED4B33">
        <w:rPr>
          <w:bCs/>
          <w:color w:val="000000" w:themeColor="text1"/>
        </w:rPr>
        <w:t>he</w:t>
      </w:r>
      <w:r w:rsidR="00757B06" w:rsidRPr="00ED4B33">
        <w:rPr>
          <w:bCs/>
          <w:color w:val="000000" w:themeColor="text1"/>
        </w:rPr>
        <w:t xml:space="preserve"> trial date </w:t>
      </w:r>
      <w:r w:rsidR="008179ED" w:rsidRPr="00ED4B33">
        <w:rPr>
          <w:bCs/>
          <w:color w:val="000000" w:themeColor="text1"/>
        </w:rPr>
        <w:t>remains unchanged</w:t>
      </w:r>
      <w:r w:rsidR="00767C8E" w:rsidRPr="00ED4B33">
        <w:rPr>
          <w:bCs/>
          <w:color w:val="000000" w:themeColor="text1"/>
        </w:rPr>
        <w:t xml:space="preserve"> </w:t>
      </w:r>
      <w:r w:rsidR="00E831B0" w:rsidRPr="00ED4B33">
        <w:rPr>
          <w:bCs/>
          <w:color w:val="000000" w:themeColor="text1"/>
        </w:rPr>
        <w:t>(</w:t>
      </w:r>
      <w:r w:rsidR="00757B06" w:rsidRPr="00ED4B33">
        <w:rPr>
          <w:bCs/>
          <w:color w:val="000000" w:themeColor="text1"/>
        </w:rPr>
        <w:t>7 December 2016</w:t>
      </w:r>
      <w:r w:rsidR="008179ED" w:rsidRPr="00ED4B33">
        <w:rPr>
          <w:bCs/>
          <w:color w:val="000000" w:themeColor="text1"/>
        </w:rPr>
        <w:t>)</w:t>
      </w:r>
      <w:r w:rsidR="0059650D" w:rsidRPr="00ED4B33">
        <w:rPr>
          <w:bCs/>
          <w:color w:val="000000" w:themeColor="text1"/>
        </w:rPr>
        <w:t xml:space="preserve"> with an anticipated trial window </w:t>
      </w:r>
      <w:r w:rsidR="00D97286" w:rsidRPr="00ED4B33">
        <w:rPr>
          <w:bCs/>
          <w:color w:val="000000" w:themeColor="text1"/>
        </w:rPr>
        <w:t xml:space="preserve">of </w:t>
      </w:r>
      <w:r w:rsidR="0059650D" w:rsidRPr="00ED4B33">
        <w:rPr>
          <w:bCs/>
          <w:color w:val="000000" w:themeColor="text1"/>
        </w:rPr>
        <w:t>2</w:t>
      </w:r>
      <w:r w:rsidR="00757B06" w:rsidRPr="00ED4B33">
        <w:rPr>
          <w:bCs/>
          <w:color w:val="000000" w:themeColor="text1"/>
        </w:rPr>
        <w:t xml:space="preserve">5 weeks. </w:t>
      </w:r>
      <w:r w:rsidR="002259B3" w:rsidRPr="00ED4B33">
        <w:rPr>
          <w:bCs/>
          <w:color w:val="000000" w:themeColor="text1"/>
        </w:rPr>
        <w:t xml:space="preserve"> </w:t>
      </w:r>
    </w:p>
    <w:p w14:paraId="4B2423DF" w14:textId="77777777" w:rsidR="00711F11" w:rsidRPr="00ED4B33" w:rsidRDefault="00711F11" w:rsidP="00ED4B33">
      <w:pPr>
        <w:autoSpaceDE w:val="0"/>
        <w:autoSpaceDN w:val="0"/>
        <w:adjustRightInd w:val="0"/>
        <w:jc w:val="both"/>
        <w:rPr>
          <w:rFonts w:cs="Arial"/>
          <w:i/>
          <w:color w:val="000000" w:themeColor="text1"/>
          <w:szCs w:val="24"/>
        </w:rPr>
      </w:pPr>
    </w:p>
    <w:p w14:paraId="4481007F" w14:textId="77777777" w:rsidR="0016562E" w:rsidRPr="00ED4B33" w:rsidRDefault="00D97286" w:rsidP="00ED4B33">
      <w:pPr>
        <w:autoSpaceDE w:val="0"/>
        <w:autoSpaceDN w:val="0"/>
        <w:adjustRightInd w:val="0"/>
        <w:jc w:val="both"/>
        <w:rPr>
          <w:rFonts w:cs="Arial"/>
          <w:b/>
          <w:szCs w:val="24"/>
        </w:rPr>
      </w:pPr>
      <w:r w:rsidRPr="00ED4B33">
        <w:rPr>
          <w:rFonts w:cs="Arial"/>
          <w:b/>
          <w:szCs w:val="24"/>
        </w:rPr>
        <w:t>4.</w:t>
      </w:r>
      <w:r w:rsidR="0016562E" w:rsidRPr="00ED4B33">
        <w:rPr>
          <w:rFonts w:cs="Arial"/>
          <w:b/>
          <w:szCs w:val="24"/>
        </w:rPr>
        <w:t xml:space="preserve"> Active Investing</w:t>
      </w:r>
    </w:p>
    <w:p w14:paraId="23FCE3DA" w14:textId="77777777" w:rsidR="0002150F" w:rsidRPr="00ED4B33" w:rsidRDefault="0002150F" w:rsidP="00ED4B33">
      <w:pPr>
        <w:autoSpaceDE w:val="0"/>
        <w:autoSpaceDN w:val="0"/>
        <w:adjustRightInd w:val="0"/>
        <w:jc w:val="both"/>
        <w:rPr>
          <w:rFonts w:cs="Arial"/>
          <w:color w:val="000000" w:themeColor="text1"/>
          <w:szCs w:val="24"/>
        </w:rPr>
      </w:pPr>
    </w:p>
    <w:p w14:paraId="6D7D0F17" w14:textId="02A1605E" w:rsidR="00941C24" w:rsidRPr="00ED4B33" w:rsidRDefault="006E3430" w:rsidP="00ED4B33">
      <w:pPr>
        <w:autoSpaceDE w:val="0"/>
        <w:autoSpaceDN w:val="0"/>
        <w:adjustRightInd w:val="0"/>
        <w:jc w:val="both"/>
        <w:rPr>
          <w:rFonts w:cs="Arial"/>
          <w:szCs w:val="24"/>
        </w:rPr>
      </w:pPr>
      <w:r w:rsidRPr="00ED4B33">
        <w:rPr>
          <w:rFonts w:cs="Arial"/>
          <w:szCs w:val="24"/>
        </w:rPr>
        <w:t>Active i</w:t>
      </w:r>
      <w:r w:rsidR="00D622C8" w:rsidRPr="00ED4B33">
        <w:rPr>
          <w:rFonts w:cs="Arial"/>
          <w:szCs w:val="24"/>
        </w:rPr>
        <w:t>nvest</w:t>
      </w:r>
      <w:r w:rsidRPr="00ED4B33">
        <w:rPr>
          <w:rFonts w:cs="Arial"/>
          <w:szCs w:val="24"/>
        </w:rPr>
        <w:t>ing</w:t>
      </w:r>
      <w:r w:rsidR="00D622C8" w:rsidRPr="00ED4B33">
        <w:rPr>
          <w:rFonts w:cs="Arial"/>
          <w:szCs w:val="24"/>
        </w:rPr>
        <w:t xml:space="preserve"> is the fourth </w:t>
      </w:r>
      <w:r w:rsidR="00070548" w:rsidRPr="00ED4B33">
        <w:rPr>
          <w:rFonts w:cs="Arial"/>
          <w:szCs w:val="24"/>
        </w:rPr>
        <w:t>and most challenging strand of</w:t>
      </w:r>
      <w:r w:rsidR="00D622C8" w:rsidRPr="00ED4B33">
        <w:rPr>
          <w:rFonts w:cs="Arial"/>
          <w:szCs w:val="24"/>
        </w:rPr>
        <w:t xml:space="preserve"> the Fund's </w:t>
      </w:r>
      <w:r w:rsidR="001153A7" w:rsidRPr="00ED4B33">
        <w:rPr>
          <w:rFonts w:cs="Arial"/>
          <w:szCs w:val="24"/>
        </w:rPr>
        <w:t xml:space="preserve">developing </w:t>
      </w:r>
      <w:r w:rsidR="00D622C8" w:rsidRPr="00ED4B33">
        <w:rPr>
          <w:rFonts w:cs="Arial"/>
          <w:szCs w:val="24"/>
        </w:rPr>
        <w:t>approach to RI</w:t>
      </w:r>
      <w:r w:rsidR="00AB5562" w:rsidRPr="00ED4B33">
        <w:rPr>
          <w:rFonts w:cs="Arial"/>
          <w:szCs w:val="24"/>
        </w:rPr>
        <w:t xml:space="preserve"> and relates to </w:t>
      </w:r>
      <w:r w:rsidR="00E04285" w:rsidRPr="00ED4B33">
        <w:rPr>
          <w:rFonts w:cs="Arial"/>
          <w:i/>
          <w:szCs w:val="24"/>
        </w:rPr>
        <w:t>"</w:t>
      </w:r>
      <w:r w:rsidR="00AB5562" w:rsidRPr="00ED4B33">
        <w:rPr>
          <w:rFonts w:cs="Arial"/>
          <w:i/>
          <w:szCs w:val="24"/>
        </w:rPr>
        <w:t>seeking investments with ESG characteristics, provided these meet the Fund’s requirements of strong returns combined with best practice in ESG and/or corporate governance</w:t>
      </w:r>
      <w:r w:rsidR="00E04285" w:rsidRPr="00ED4B33">
        <w:rPr>
          <w:rFonts w:cs="Arial"/>
          <w:i/>
          <w:szCs w:val="24"/>
        </w:rPr>
        <w:t>"</w:t>
      </w:r>
      <w:r w:rsidR="00E04285" w:rsidRPr="00ED4B33">
        <w:rPr>
          <w:rFonts w:cs="Arial"/>
          <w:szCs w:val="24"/>
        </w:rPr>
        <w:t xml:space="preserve"> (Statement of Investment Principles)</w:t>
      </w:r>
      <w:r w:rsidR="00AB5562" w:rsidRPr="00ED4B33">
        <w:rPr>
          <w:rFonts w:cs="Arial"/>
          <w:szCs w:val="24"/>
        </w:rPr>
        <w:t xml:space="preserve">. </w:t>
      </w:r>
    </w:p>
    <w:p w14:paraId="769652C5" w14:textId="77777777" w:rsidR="00371135" w:rsidRPr="00C05842" w:rsidRDefault="00371135" w:rsidP="00ED4B33">
      <w:pPr>
        <w:autoSpaceDE w:val="0"/>
        <w:autoSpaceDN w:val="0"/>
        <w:adjustRightInd w:val="0"/>
        <w:jc w:val="both"/>
        <w:rPr>
          <w:rFonts w:cs="Arial"/>
          <w:szCs w:val="24"/>
        </w:rPr>
      </w:pPr>
    </w:p>
    <w:p w14:paraId="6F391BF4" w14:textId="414A5C4F" w:rsidR="00371135" w:rsidRPr="00C05842" w:rsidRDefault="00AB5562" w:rsidP="00ED4B33">
      <w:pPr>
        <w:autoSpaceDE w:val="0"/>
        <w:autoSpaceDN w:val="0"/>
        <w:adjustRightInd w:val="0"/>
        <w:jc w:val="both"/>
        <w:rPr>
          <w:rFonts w:cs="Arial"/>
          <w:szCs w:val="24"/>
        </w:rPr>
      </w:pPr>
      <w:r>
        <w:rPr>
          <w:rFonts w:cs="Arial"/>
          <w:szCs w:val="24"/>
        </w:rPr>
        <w:t xml:space="preserve">Within an actively managed portfolio, </w:t>
      </w:r>
      <w:r w:rsidR="00211AA0" w:rsidRPr="00C05842">
        <w:rPr>
          <w:rStyle w:val="Emphasis"/>
          <w:rFonts w:cs="Arial"/>
          <w:b w:val="0"/>
          <w:color w:val="222222"/>
          <w:szCs w:val="24"/>
        </w:rPr>
        <w:t>investments</w:t>
      </w:r>
      <w:r w:rsidR="00211AA0" w:rsidRPr="00C05842">
        <w:rPr>
          <w:rStyle w:val="st"/>
          <w:rFonts w:cs="Arial"/>
          <w:color w:val="222222"/>
          <w:szCs w:val="24"/>
        </w:rPr>
        <w:t xml:space="preserve"> are selected with the goal of a</w:t>
      </w:r>
      <w:r w:rsidR="008C6065">
        <w:rPr>
          <w:rStyle w:val="st"/>
          <w:rFonts w:cs="Arial"/>
          <w:color w:val="222222"/>
          <w:szCs w:val="24"/>
        </w:rPr>
        <w:t xml:space="preserve">chieving returns which exceed a </w:t>
      </w:r>
      <w:r w:rsidR="00211AA0" w:rsidRPr="00C05842">
        <w:rPr>
          <w:rStyle w:val="st"/>
          <w:rFonts w:cs="Arial"/>
          <w:color w:val="222222"/>
          <w:szCs w:val="24"/>
        </w:rPr>
        <w:t xml:space="preserve">benchmark </w:t>
      </w:r>
      <w:r w:rsidR="00BD2EE5">
        <w:rPr>
          <w:rStyle w:val="st"/>
          <w:rFonts w:cs="Arial"/>
          <w:color w:val="222222"/>
          <w:szCs w:val="24"/>
        </w:rPr>
        <w:t xml:space="preserve">investment </w:t>
      </w:r>
      <w:r w:rsidR="00211AA0" w:rsidRPr="00C05842">
        <w:rPr>
          <w:rStyle w:val="st"/>
          <w:rFonts w:cs="Arial"/>
          <w:color w:val="222222"/>
          <w:szCs w:val="24"/>
        </w:rPr>
        <w:t>index (</w:t>
      </w:r>
      <w:r w:rsidR="00334769">
        <w:rPr>
          <w:rStyle w:val="st"/>
          <w:rFonts w:cs="Arial"/>
          <w:color w:val="222222"/>
          <w:szCs w:val="24"/>
        </w:rPr>
        <w:t xml:space="preserve">by </w:t>
      </w:r>
      <w:r w:rsidR="00211AA0" w:rsidRPr="00C05842">
        <w:rPr>
          <w:rStyle w:val="st"/>
          <w:rFonts w:cs="Arial"/>
          <w:color w:val="222222"/>
          <w:szCs w:val="24"/>
        </w:rPr>
        <w:t>outperform</w:t>
      </w:r>
      <w:r w:rsidR="00400037">
        <w:rPr>
          <w:rStyle w:val="st"/>
          <w:rFonts w:cs="Arial"/>
          <w:color w:val="222222"/>
          <w:szCs w:val="24"/>
        </w:rPr>
        <w:t>ing</w:t>
      </w:r>
      <w:r w:rsidR="00211AA0" w:rsidRPr="00C05842">
        <w:rPr>
          <w:rStyle w:val="st"/>
          <w:rFonts w:cs="Arial"/>
          <w:color w:val="222222"/>
          <w:szCs w:val="24"/>
        </w:rPr>
        <w:t xml:space="preserve"> the market)</w:t>
      </w:r>
      <w:r>
        <w:rPr>
          <w:rStyle w:val="st"/>
          <w:rFonts w:cs="Arial"/>
          <w:color w:val="222222"/>
          <w:szCs w:val="24"/>
        </w:rPr>
        <w:t xml:space="preserve">. The identification of optimal opportunities </w:t>
      </w:r>
      <w:r w:rsidR="00211AA0" w:rsidRPr="00C05842">
        <w:rPr>
          <w:rFonts w:cs="Arial"/>
          <w:color w:val="000000"/>
          <w:szCs w:val="24"/>
        </w:rPr>
        <w:t xml:space="preserve">involves using analytical research, forecasting, judgment and experience to make decisions </w:t>
      </w:r>
      <w:r w:rsidR="00397D89">
        <w:rPr>
          <w:rFonts w:cs="Arial"/>
          <w:color w:val="000000"/>
          <w:szCs w:val="24"/>
        </w:rPr>
        <w:t xml:space="preserve">about </w:t>
      </w:r>
      <w:r w:rsidR="00211AA0" w:rsidRPr="00C05842">
        <w:rPr>
          <w:rFonts w:cs="Arial"/>
          <w:color w:val="000000"/>
          <w:szCs w:val="24"/>
        </w:rPr>
        <w:t>which assets to invest in, which to hold and which</w:t>
      </w:r>
      <w:r w:rsidR="001B6F8B">
        <w:rPr>
          <w:rFonts w:cs="Arial"/>
          <w:color w:val="000000"/>
          <w:szCs w:val="24"/>
        </w:rPr>
        <w:t>/when</w:t>
      </w:r>
      <w:r w:rsidR="00211AA0" w:rsidRPr="00C05842">
        <w:rPr>
          <w:rFonts w:cs="Arial"/>
          <w:color w:val="000000"/>
          <w:szCs w:val="24"/>
        </w:rPr>
        <w:t xml:space="preserve"> to sell. </w:t>
      </w:r>
      <w:r w:rsidR="00254FA2" w:rsidRPr="00C05842">
        <w:rPr>
          <w:rFonts w:cs="Arial"/>
          <w:color w:val="000000"/>
          <w:szCs w:val="24"/>
        </w:rPr>
        <w:t xml:space="preserve">The focus </w:t>
      </w:r>
      <w:r w:rsidR="00E04285">
        <w:rPr>
          <w:rFonts w:cs="Arial"/>
          <w:color w:val="000000"/>
          <w:szCs w:val="24"/>
        </w:rPr>
        <w:t xml:space="preserve">is </w:t>
      </w:r>
      <w:r w:rsidR="00561CCD" w:rsidRPr="00C05842">
        <w:rPr>
          <w:rFonts w:cs="Arial"/>
          <w:color w:val="000000"/>
          <w:szCs w:val="24"/>
        </w:rPr>
        <w:t xml:space="preserve">on achieving returns </w:t>
      </w:r>
      <w:r w:rsidR="006476E4">
        <w:rPr>
          <w:rFonts w:cs="Arial"/>
          <w:color w:val="000000"/>
          <w:szCs w:val="24"/>
        </w:rPr>
        <w:t>exceeding those of</w:t>
      </w:r>
      <w:r w:rsidR="00561CCD" w:rsidRPr="00C05842">
        <w:rPr>
          <w:rFonts w:cs="Arial"/>
          <w:color w:val="000000"/>
          <w:szCs w:val="24"/>
        </w:rPr>
        <w:t xml:space="preserve"> investments which passively track the market</w:t>
      </w:r>
      <w:r w:rsidR="00254FA2" w:rsidRPr="00C05842">
        <w:rPr>
          <w:rFonts w:cs="Arial"/>
          <w:color w:val="000000"/>
          <w:szCs w:val="24"/>
        </w:rPr>
        <w:t xml:space="preserve"> </w:t>
      </w:r>
      <w:r w:rsidR="00E04285">
        <w:rPr>
          <w:rFonts w:cs="Arial"/>
          <w:color w:val="000000"/>
          <w:szCs w:val="24"/>
        </w:rPr>
        <w:t xml:space="preserve">and </w:t>
      </w:r>
      <w:r w:rsidR="00254FA2" w:rsidRPr="00C05842">
        <w:rPr>
          <w:rFonts w:cs="Arial"/>
          <w:color w:val="000000"/>
          <w:szCs w:val="24"/>
        </w:rPr>
        <w:t xml:space="preserve">means </w:t>
      </w:r>
      <w:r w:rsidR="006476E4">
        <w:rPr>
          <w:rFonts w:cs="Arial"/>
          <w:color w:val="000000"/>
          <w:szCs w:val="24"/>
        </w:rPr>
        <w:t xml:space="preserve">the effectiveness of </w:t>
      </w:r>
      <w:r w:rsidR="00561CCD" w:rsidRPr="00C05842">
        <w:rPr>
          <w:rFonts w:cs="Arial"/>
          <w:color w:val="000000"/>
          <w:szCs w:val="24"/>
        </w:rPr>
        <w:t>process</w:t>
      </w:r>
      <w:r w:rsidR="006476E4">
        <w:rPr>
          <w:rFonts w:cs="Arial"/>
          <w:color w:val="000000"/>
          <w:szCs w:val="24"/>
        </w:rPr>
        <w:t>es</w:t>
      </w:r>
      <w:r w:rsidR="00561CCD" w:rsidRPr="00C05842">
        <w:rPr>
          <w:rFonts w:cs="Arial"/>
          <w:color w:val="000000"/>
          <w:szCs w:val="24"/>
        </w:rPr>
        <w:t xml:space="preserve"> for identifying </w:t>
      </w:r>
      <w:r w:rsidR="00254FA2" w:rsidRPr="00C05842">
        <w:rPr>
          <w:rFonts w:cs="Arial"/>
          <w:color w:val="000000"/>
          <w:szCs w:val="24"/>
        </w:rPr>
        <w:t>new opportunities</w:t>
      </w:r>
      <w:r w:rsidR="00C05842" w:rsidRPr="00C05842">
        <w:rPr>
          <w:rFonts w:cs="Arial"/>
          <w:color w:val="000000"/>
          <w:szCs w:val="24"/>
        </w:rPr>
        <w:t xml:space="preserve">, </w:t>
      </w:r>
      <w:r w:rsidR="00561CCD" w:rsidRPr="00C05842">
        <w:rPr>
          <w:rFonts w:cs="Arial"/>
          <w:color w:val="000000"/>
          <w:szCs w:val="24"/>
        </w:rPr>
        <w:t xml:space="preserve">selecting from the </w:t>
      </w:r>
      <w:r w:rsidR="008C6065">
        <w:rPr>
          <w:rFonts w:cs="Arial"/>
          <w:color w:val="000000"/>
          <w:szCs w:val="24"/>
        </w:rPr>
        <w:t xml:space="preserve">pool of </w:t>
      </w:r>
      <w:r w:rsidR="000B3939">
        <w:rPr>
          <w:rFonts w:cs="Arial"/>
          <w:szCs w:val="24"/>
        </w:rPr>
        <w:t>options</w:t>
      </w:r>
      <w:r w:rsidR="00371135" w:rsidRPr="00C05842">
        <w:rPr>
          <w:rFonts w:cs="Arial"/>
          <w:szCs w:val="24"/>
        </w:rPr>
        <w:t xml:space="preserve"> available</w:t>
      </w:r>
      <w:r w:rsidR="00C05842" w:rsidRPr="00C05842">
        <w:rPr>
          <w:rFonts w:cs="Arial"/>
          <w:szCs w:val="24"/>
        </w:rPr>
        <w:t xml:space="preserve"> and </w:t>
      </w:r>
      <w:r w:rsidR="00334769">
        <w:rPr>
          <w:rFonts w:cs="Arial"/>
          <w:szCs w:val="24"/>
        </w:rPr>
        <w:t xml:space="preserve">continually </w:t>
      </w:r>
      <w:r w:rsidR="006476E4">
        <w:rPr>
          <w:rFonts w:cs="Arial"/>
          <w:szCs w:val="24"/>
        </w:rPr>
        <w:t>evaluating</w:t>
      </w:r>
      <w:r w:rsidR="00C05842" w:rsidRPr="00C05842">
        <w:rPr>
          <w:rFonts w:cs="Arial"/>
          <w:szCs w:val="24"/>
        </w:rPr>
        <w:t xml:space="preserve"> current </w:t>
      </w:r>
      <w:r w:rsidR="00334769">
        <w:rPr>
          <w:rFonts w:cs="Arial"/>
          <w:szCs w:val="24"/>
        </w:rPr>
        <w:t xml:space="preserve">holdings </w:t>
      </w:r>
      <w:r w:rsidR="006476E4">
        <w:rPr>
          <w:rFonts w:cs="Arial"/>
          <w:szCs w:val="24"/>
        </w:rPr>
        <w:t>i</w:t>
      </w:r>
      <w:r w:rsidR="00561CCD" w:rsidRPr="00C05842">
        <w:rPr>
          <w:rFonts w:cs="Arial"/>
          <w:szCs w:val="24"/>
        </w:rPr>
        <w:t>s a critical success factor</w:t>
      </w:r>
      <w:r w:rsidR="00371135" w:rsidRPr="00C05842">
        <w:rPr>
          <w:rFonts w:cs="Arial"/>
          <w:szCs w:val="24"/>
        </w:rPr>
        <w:t xml:space="preserve">.  </w:t>
      </w:r>
    </w:p>
    <w:p w14:paraId="7CF24D8F" w14:textId="77777777" w:rsidR="00371135" w:rsidRPr="00C05842" w:rsidRDefault="00371135" w:rsidP="00ED4B33">
      <w:pPr>
        <w:autoSpaceDE w:val="0"/>
        <w:autoSpaceDN w:val="0"/>
        <w:adjustRightInd w:val="0"/>
        <w:jc w:val="both"/>
        <w:rPr>
          <w:rFonts w:cs="Arial"/>
          <w:szCs w:val="24"/>
        </w:rPr>
      </w:pPr>
    </w:p>
    <w:p w14:paraId="6DBDCCB0" w14:textId="5CC4223A" w:rsidR="005D4F76" w:rsidRDefault="00AC1765" w:rsidP="00ED4B33">
      <w:pPr>
        <w:autoSpaceDE w:val="0"/>
        <w:autoSpaceDN w:val="0"/>
        <w:adjustRightInd w:val="0"/>
        <w:jc w:val="both"/>
        <w:rPr>
          <w:rFonts w:cs="Arial"/>
          <w:color w:val="000000"/>
          <w:szCs w:val="24"/>
        </w:rPr>
      </w:pPr>
      <w:r>
        <w:rPr>
          <w:rFonts w:cs="Arial"/>
          <w:color w:val="000000"/>
          <w:szCs w:val="24"/>
        </w:rPr>
        <w:t>A</w:t>
      </w:r>
      <w:r w:rsidR="005318C9">
        <w:rPr>
          <w:rFonts w:cs="Arial"/>
          <w:color w:val="000000"/>
          <w:szCs w:val="24"/>
        </w:rPr>
        <w:t xml:space="preserve"> commitment to seek</w:t>
      </w:r>
      <w:r w:rsidR="006E3430">
        <w:rPr>
          <w:rFonts w:cs="Arial"/>
          <w:color w:val="000000"/>
          <w:szCs w:val="24"/>
        </w:rPr>
        <w:t>ing</w:t>
      </w:r>
      <w:r w:rsidR="00AB5562">
        <w:rPr>
          <w:rFonts w:cs="Arial"/>
          <w:color w:val="000000"/>
          <w:szCs w:val="24"/>
        </w:rPr>
        <w:t xml:space="preserve"> investment opportunities which display ESG characteristics </w:t>
      </w:r>
      <w:r w:rsidR="00BD1727">
        <w:rPr>
          <w:rFonts w:cs="Arial"/>
          <w:color w:val="000000"/>
          <w:szCs w:val="24"/>
        </w:rPr>
        <w:t xml:space="preserve">ultimately involves </w:t>
      </w:r>
      <w:r w:rsidR="00FD2D84">
        <w:rPr>
          <w:rFonts w:cs="Arial"/>
          <w:color w:val="000000"/>
          <w:szCs w:val="24"/>
        </w:rPr>
        <w:t xml:space="preserve">including </w:t>
      </w:r>
      <w:r w:rsidR="00BD1727">
        <w:rPr>
          <w:rFonts w:cs="Arial"/>
          <w:color w:val="000000"/>
          <w:szCs w:val="24"/>
        </w:rPr>
        <w:t xml:space="preserve">the </w:t>
      </w:r>
      <w:r w:rsidR="005318C9">
        <w:rPr>
          <w:rFonts w:cs="Arial"/>
          <w:color w:val="000000"/>
          <w:szCs w:val="24"/>
        </w:rPr>
        <w:t>evalu</w:t>
      </w:r>
      <w:r>
        <w:rPr>
          <w:rFonts w:cs="Arial"/>
          <w:color w:val="000000"/>
          <w:szCs w:val="24"/>
        </w:rPr>
        <w:t xml:space="preserve">ation of </w:t>
      </w:r>
      <w:r w:rsidR="00BD1727">
        <w:rPr>
          <w:rFonts w:cs="Arial"/>
          <w:color w:val="000000"/>
          <w:szCs w:val="24"/>
        </w:rPr>
        <w:t>ESG</w:t>
      </w:r>
      <w:r w:rsidR="006E3430">
        <w:rPr>
          <w:rFonts w:cs="Arial"/>
          <w:color w:val="000000"/>
          <w:szCs w:val="24"/>
        </w:rPr>
        <w:t xml:space="preserve"> characteristics </w:t>
      </w:r>
      <w:r w:rsidR="006D42C8">
        <w:rPr>
          <w:rFonts w:cs="Arial"/>
          <w:color w:val="000000"/>
          <w:szCs w:val="24"/>
        </w:rPr>
        <w:t>with</w:t>
      </w:r>
      <w:r w:rsidR="00FD2D84">
        <w:rPr>
          <w:rFonts w:cs="Arial"/>
          <w:color w:val="000000"/>
          <w:szCs w:val="24"/>
        </w:rPr>
        <w:t>in the</w:t>
      </w:r>
      <w:r w:rsidR="004C1A06">
        <w:rPr>
          <w:rFonts w:cs="Arial"/>
          <w:color w:val="000000"/>
          <w:szCs w:val="24"/>
        </w:rPr>
        <w:t xml:space="preserve"> dynamic</w:t>
      </w:r>
      <w:r w:rsidR="005318C9">
        <w:rPr>
          <w:rFonts w:cs="Arial"/>
          <w:color w:val="000000"/>
          <w:szCs w:val="24"/>
        </w:rPr>
        <w:t xml:space="preserve"> investment selection process</w:t>
      </w:r>
      <w:r w:rsidR="006E3430">
        <w:rPr>
          <w:rFonts w:cs="Arial"/>
          <w:color w:val="000000"/>
          <w:szCs w:val="24"/>
        </w:rPr>
        <w:t xml:space="preserve">. </w:t>
      </w:r>
      <w:r w:rsidR="001B6F8B">
        <w:rPr>
          <w:rFonts w:cs="Arial"/>
          <w:color w:val="000000"/>
          <w:szCs w:val="24"/>
        </w:rPr>
        <w:t xml:space="preserve">How </w:t>
      </w:r>
      <w:r w:rsidR="00BD1727">
        <w:rPr>
          <w:rFonts w:cs="Arial"/>
          <w:color w:val="000000"/>
          <w:szCs w:val="24"/>
        </w:rPr>
        <w:t xml:space="preserve">and to what extent </w:t>
      </w:r>
      <w:r>
        <w:rPr>
          <w:rFonts w:cs="Arial"/>
          <w:color w:val="000000"/>
          <w:szCs w:val="24"/>
        </w:rPr>
        <w:t xml:space="preserve">this </w:t>
      </w:r>
      <w:r w:rsidR="00E04285">
        <w:rPr>
          <w:rFonts w:cs="Arial"/>
          <w:color w:val="000000"/>
          <w:szCs w:val="24"/>
        </w:rPr>
        <w:t>can/</w:t>
      </w:r>
      <w:r w:rsidR="006D42C8">
        <w:rPr>
          <w:rFonts w:cs="Arial"/>
          <w:color w:val="000000"/>
          <w:szCs w:val="24"/>
        </w:rPr>
        <w:t>should</w:t>
      </w:r>
      <w:r w:rsidR="00BD1727">
        <w:rPr>
          <w:rFonts w:cs="Arial"/>
          <w:color w:val="000000"/>
          <w:szCs w:val="24"/>
        </w:rPr>
        <w:t xml:space="preserve"> be </w:t>
      </w:r>
      <w:r w:rsidR="005D4F76">
        <w:rPr>
          <w:rFonts w:cs="Arial"/>
          <w:color w:val="000000"/>
          <w:szCs w:val="24"/>
        </w:rPr>
        <w:t xml:space="preserve">pursued </w:t>
      </w:r>
      <w:r w:rsidR="004C1A06">
        <w:rPr>
          <w:rFonts w:cs="Arial"/>
          <w:color w:val="000000"/>
          <w:szCs w:val="24"/>
        </w:rPr>
        <w:t>given</w:t>
      </w:r>
      <w:r w:rsidR="00D55B67">
        <w:rPr>
          <w:rFonts w:cs="Arial"/>
          <w:color w:val="000000"/>
          <w:szCs w:val="24"/>
        </w:rPr>
        <w:t xml:space="preserve"> the </w:t>
      </w:r>
      <w:r w:rsidR="00FD2D84">
        <w:rPr>
          <w:rFonts w:cs="Arial"/>
          <w:color w:val="000000"/>
          <w:szCs w:val="24"/>
        </w:rPr>
        <w:t xml:space="preserve">Fund's </w:t>
      </w:r>
      <w:r w:rsidR="00D55B67">
        <w:rPr>
          <w:rFonts w:cs="Arial"/>
          <w:color w:val="000000"/>
          <w:szCs w:val="24"/>
        </w:rPr>
        <w:t>primary duty to maximise</w:t>
      </w:r>
      <w:r w:rsidR="00FD2D84">
        <w:rPr>
          <w:rFonts w:cs="Arial"/>
          <w:color w:val="000000"/>
          <w:szCs w:val="24"/>
        </w:rPr>
        <w:t xml:space="preserve"> investment returns forms part of the key </w:t>
      </w:r>
      <w:r w:rsidR="005D4F76">
        <w:rPr>
          <w:rFonts w:cs="Arial"/>
          <w:color w:val="000000"/>
          <w:szCs w:val="24"/>
        </w:rPr>
        <w:t xml:space="preserve">considerations associated with developing an RI Policy for the Fund. </w:t>
      </w:r>
    </w:p>
    <w:p w14:paraId="4E9D3EB0" w14:textId="77777777" w:rsidR="005D4F76" w:rsidRDefault="005D4F76" w:rsidP="00ED4B33">
      <w:pPr>
        <w:autoSpaceDE w:val="0"/>
        <w:autoSpaceDN w:val="0"/>
        <w:adjustRightInd w:val="0"/>
        <w:jc w:val="both"/>
        <w:rPr>
          <w:rFonts w:cs="Arial"/>
          <w:color w:val="000000"/>
          <w:szCs w:val="24"/>
        </w:rPr>
      </w:pPr>
    </w:p>
    <w:p w14:paraId="37FC51C6" w14:textId="3A8972FB" w:rsidR="006D42C8" w:rsidRDefault="001B6F8B" w:rsidP="00ED4B33">
      <w:pPr>
        <w:autoSpaceDE w:val="0"/>
        <w:autoSpaceDN w:val="0"/>
        <w:adjustRightInd w:val="0"/>
        <w:jc w:val="both"/>
        <w:rPr>
          <w:rFonts w:cs="Arial"/>
          <w:color w:val="000000"/>
          <w:szCs w:val="24"/>
        </w:rPr>
      </w:pPr>
      <w:r>
        <w:rPr>
          <w:rFonts w:cs="Arial"/>
          <w:color w:val="000000"/>
          <w:szCs w:val="24"/>
        </w:rPr>
        <w:t>RI encompasses</w:t>
      </w:r>
      <w:r w:rsidR="0082386C">
        <w:rPr>
          <w:rFonts w:cs="Arial"/>
          <w:color w:val="000000"/>
          <w:szCs w:val="24"/>
        </w:rPr>
        <w:t xml:space="preserve"> the integration of relevant and material Economic, Social and Governance considerations into investment decision-making with the intention of supporting a longer term investment focus </w:t>
      </w:r>
      <w:r w:rsidR="00E04285">
        <w:rPr>
          <w:rFonts w:cs="Arial"/>
          <w:color w:val="000000"/>
          <w:szCs w:val="24"/>
        </w:rPr>
        <w:t>via</w:t>
      </w:r>
      <w:r w:rsidR="0082386C">
        <w:rPr>
          <w:rFonts w:cs="Arial"/>
          <w:color w:val="000000"/>
          <w:szCs w:val="24"/>
        </w:rPr>
        <w:t xml:space="preserve"> which investors form stable associations which produce better managed companies and increased shareholder value. </w:t>
      </w:r>
      <w:r>
        <w:rPr>
          <w:rFonts w:cs="Arial"/>
          <w:color w:val="000000"/>
          <w:szCs w:val="24"/>
        </w:rPr>
        <w:t>However, views on w</w:t>
      </w:r>
      <w:r w:rsidR="006D42C8">
        <w:rPr>
          <w:rFonts w:cs="Arial"/>
          <w:color w:val="000000"/>
          <w:szCs w:val="24"/>
        </w:rPr>
        <w:t xml:space="preserve">hat is relevant and what is material </w:t>
      </w:r>
      <w:r>
        <w:rPr>
          <w:rFonts w:cs="Arial"/>
          <w:color w:val="000000"/>
          <w:szCs w:val="24"/>
        </w:rPr>
        <w:t xml:space="preserve">are </w:t>
      </w:r>
      <w:r w:rsidR="001153A7">
        <w:rPr>
          <w:rFonts w:cs="Arial"/>
          <w:color w:val="000000"/>
          <w:szCs w:val="24"/>
        </w:rPr>
        <w:t xml:space="preserve">often </w:t>
      </w:r>
      <w:r>
        <w:rPr>
          <w:rFonts w:cs="Arial"/>
          <w:color w:val="000000"/>
          <w:szCs w:val="24"/>
        </w:rPr>
        <w:t xml:space="preserve">subjective, </w:t>
      </w:r>
      <w:r w:rsidR="006D42C8">
        <w:rPr>
          <w:rFonts w:cs="Arial"/>
          <w:color w:val="000000"/>
          <w:szCs w:val="24"/>
        </w:rPr>
        <w:t xml:space="preserve">change </w:t>
      </w:r>
      <w:r w:rsidR="00E04285">
        <w:rPr>
          <w:rFonts w:cs="Arial"/>
          <w:color w:val="000000"/>
          <w:szCs w:val="24"/>
        </w:rPr>
        <w:t xml:space="preserve">continually </w:t>
      </w:r>
      <w:r w:rsidR="006D42C8">
        <w:rPr>
          <w:rFonts w:cs="Arial"/>
          <w:color w:val="000000"/>
          <w:szCs w:val="24"/>
        </w:rPr>
        <w:t xml:space="preserve">over time and differ </w:t>
      </w:r>
      <w:r w:rsidR="00E04285">
        <w:rPr>
          <w:rFonts w:cs="Arial"/>
          <w:color w:val="000000"/>
          <w:szCs w:val="24"/>
        </w:rPr>
        <w:t>significantly</w:t>
      </w:r>
      <w:r w:rsidR="006D42C8">
        <w:rPr>
          <w:rFonts w:cs="Arial"/>
          <w:color w:val="000000"/>
          <w:szCs w:val="24"/>
        </w:rPr>
        <w:t xml:space="preserve"> by asset class, geographical region</w:t>
      </w:r>
      <w:r w:rsidR="0082386C">
        <w:rPr>
          <w:rFonts w:cs="Arial"/>
          <w:color w:val="000000"/>
          <w:szCs w:val="24"/>
        </w:rPr>
        <w:t xml:space="preserve"> </w:t>
      </w:r>
      <w:r w:rsidR="006D42C8">
        <w:rPr>
          <w:rFonts w:cs="Arial"/>
          <w:color w:val="000000"/>
          <w:szCs w:val="24"/>
        </w:rPr>
        <w:t xml:space="preserve">and the time horizon of the investments under consideration. </w:t>
      </w:r>
    </w:p>
    <w:p w14:paraId="71CDE911" w14:textId="77777777" w:rsidR="006D42C8" w:rsidRDefault="006D42C8" w:rsidP="00ED4B33">
      <w:pPr>
        <w:autoSpaceDE w:val="0"/>
        <w:autoSpaceDN w:val="0"/>
        <w:adjustRightInd w:val="0"/>
        <w:jc w:val="both"/>
        <w:rPr>
          <w:rFonts w:cs="Arial"/>
          <w:color w:val="000000"/>
          <w:szCs w:val="24"/>
        </w:rPr>
      </w:pPr>
    </w:p>
    <w:p w14:paraId="65AB2E25" w14:textId="6A4FB9A0" w:rsidR="006D42C8" w:rsidRDefault="006D42C8" w:rsidP="00ED4B33">
      <w:pPr>
        <w:autoSpaceDE w:val="0"/>
        <w:autoSpaceDN w:val="0"/>
        <w:adjustRightInd w:val="0"/>
        <w:jc w:val="both"/>
        <w:rPr>
          <w:rFonts w:cs="Arial"/>
          <w:color w:val="000000"/>
          <w:szCs w:val="24"/>
        </w:rPr>
      </w:pPr>
      <w:r>
        <w:rPr>
          <w:rFonts w:cs="Arial"/>
          <w:color w:val="000000"/>
          <w:szCs w:val="24"/>
        </w:rPr>
        <w:t>ESG offers a supplementary lens through which to v</w:t>
      </w:r>
      <w:r w:rsidR="001B6F8B">
        <w:rPr>
          <w:rFonts w:cs="Arial"/>
          <w:color w:val="000000"/>
          <w:szCs w:val="24"/>
        </w:rPr>
        <w:t>iew investment options which</w:t>
      </w:r>
      <w:r>
        <w:rPr>
          <w:rFonts w:cs="Arial"/>
          <w:color w:val="000000"/>
          <w:szCs w:val="24"/>
        </w:rPr>
        <w:t xml:space="preserve"> enriches (rather than replaces) the fundamental analysis of core financial information. The primary impetus for developing RI as part of active portfolio management is not in order to achieve specific environmental, societal or cultural ou</w:t>
      </w:r>
      <w:r w:rsidR="00522EF1">
        <w:rPr>
          <w:rFonts w:cs="Arial"/>
          <w:color w:val="000000"/>
          <w:szCs w:val="24"/>
        </w:rPr>
        <w:t>tcomes (these ar</w:t>
      </w:r>
      <w:r w:rsidR="00E04285">
        <w:rPr>
          <w:rFonts w:cs="Arial"/>
          <w:color w:val="000000"/>
          <w:szCs w:val="24"/>
        </w:rPr>
        <w:t xml:space="preserve">e the ethical goals </w:t>
      </w:r>
      <w:r w:rsidR="00522EF1">
        <w:rPr>
          <w:rFonts w:cs="Arial"/>
          <w:color w:val="000000"/>
          <w:szCs w:val="24"/>
        </w:rPr>
        <w:t xml:space="preserve">of </w:t>
      </w:r>
      <w:r>
        <w:rPr>
          <w:rFonts w:cs="Arial"/>
          <w:color w:val="000000"/>
          <w:szCs w:val="24"/>
        </w:rPr>
        <w:t xml:space="preserve">impact investing) but to aid the identification of investment opportunities which offer the "best fit" for the portfolio given the risk adjusted returns required over the applicable time horizon and the </w:t>
      </w:r>
      <w:r w:rsidR="00522EF1">
        <w:rPr>
          <w:rFonts w:cs="Arial"/>
          <w:color w:val="000000"/>
          <w:szCs w:val="24"/>
        </w:rPr>
        <w:t xml:space="preserve">significance </w:t>
      </w:r>
      <w:r w:rsidR="001B6F8B">
        <w:rPr>
          <w:rFonts w:cs="Arial"/>
          <w:color w:val="000000"/>
          <w:szCs w:val="24"/>
        </w:rPr>
        <w:t xml:space="preserve">being </w:t>
      </w:r>
      <w:r w:rsidR="00522EF1">
        <w:rPr>
          <w:rFonts w:cs="Arial"/>
          <w:color w:val="000000"/>
          <w:szCs w:val="24"/>
        </w:rPr>
        <w:t xml:space="preserve">given to </w:t>
      </w:r>
      <w:r>
        <w:rPr>
          <w:rFonts w:cs="Arial"/>
          <w:color w:val="000000"/>
          <w:szCs w:val="24"/>
        </w:rPr>
        <w:t xml:space="preserve">sustainability.  </w:t>
      </w:r>
    </w:p>
    <w:p w14:paraId="731632CE" w14:textId="77777777" w:rsidR="006D42C8" w:rsidRDefault="006D42C8" w:rsidP="00ED4B33">
      <w:pPr>
        <w:autoSpaceDE w:val="0"/>
        <w:autoSpaceDN w:val="0"/>
        <w:adjustRightInd w:val="0"/>
        <w:jc w:val="both"/>
        <w:rPr>
          <w:rFonts w:cs="Arial"/>
          <w:color w:val="000000"/>
          <w:szCs w:val="24"/>
        </w:rPr>
      </w:pPr>
    </w:p>
    <w:p w14:paraId="28C452C1" w14:textId="6DECB9E1" w:rsidR="00F002CC" w:rsidRDefault="001B6F8B" w:rsidP="00ED4B33">
      <w:pPr>
        <w:autoSpaceDE w:val="0"/>
        <w:autoSpaceDN w:val="0"/>
        <w:adjustRightInd w:val="0"/>
        <w:jc w:val="both"/>
        <w:rPr>
          <w:rFonts w:cs="Arial"/>
          <w:color w:val="000000"/>
          <w:szCs w:val="24"/>
        </w:rPr>
      </w:pPr>
      <w:r>
        <w:rPr>
          <w:rFonts w:cs="Arial"/>
          <w:color w:val="000000"/>
          <w:szCs w:val="24"/>
        </w:rPr>
        <w:t>In light of the above, i</w:t>
      </w:r>
      <w:r w:rsidR="00852626">
        <w:rPr>
          <w:rFonts w:cs="Arial"/>
          <w:color w:val="000000"/>
          <w:szCs w:val="24"/>
        </w:rPr>
        <w:t xml:space="preserve">t </w:t>
      </w:r>
      <w:r w:rsidR="0082386C">
        <w:rPr>
          <w:rFonts w:cs="Arial"/>
          <w:color w:val="000000"/>
          <w:szCs w:val="24"/>
        </w:rPr>
        <w:t>is</w:t>
      </w:r>
      <w:r w:rsidR="004C1A06">
        <w:rPr>
          <w:rFonts w:cs="Arial"/>
          <w:color w:val="000000"/>
          <w:szCs w:val="24"/>
        </w:rPr>
        <w:t xml:space="preserve"> </w:t>
      </w:r>
      <w:r w:rsidR="0087517D">
        <w:rPr>
          <w:rFonts w:cs="Arial"/>
          <w:color w:val="000000"/>
          <w:szCs w:val="24"/>
        </w:rPr>
        <w:t xml:space="preserve">more fruitful to </w:t>
      </w:r>
      <w:r w:rsidR="00522EF1">
        <w:rPr>
          <w:rFonts w:cs="Arial"/>
          <w:color w:val="000000"/>
          <w:szCs w:val="24"/>
        </w:rPr>
        <w:t xml:space="preserve">see ESG integration as </w:t>
      </w:r>
      <w:r w:rsidR="00F002CC">
        <w:rPr>
          <w:rFonts w:cs="Arial"/>
          <w:color w:val="000000"/>
          <w:szCs w:val="24"/>
        </w:rPr>
        <w:t xml:space="preserve">a framework </w:t>
      </w:r>
      <w:r w:rsidR="004C1A06">
        <w:rPr>
          <w:rFonts w:cs="Arial"/>
          <w:color w:val="000000"/>
          <w:szCs w:val="24"/>
        </w:rPr>
        <w:t xml:space="preserve">for </w:t>
      </w:r>
      <w:r w:rsidR="0082386C">
        <w:rPr>
          <w:rFonts w:cs="Arial"/>
          <w:color w:val="000000"/>
          <w:szCs w:val="24"/>
        </w:rPr>
        <w:t>taking account of relevant and mate</w:t>
      </w:r>
      <w:r w:rsidR="00CD214E">
        <w:rPr>
          <w:rFonts w:cs="Arial"/>
          <w:color w:val="000000"/>
          <w:szCs w:val="24"/>
        </w:rPr>
        <w:t xml:space="preserve">rial "extra-financial" factors </w:t>
      </w:r>
      <w:r>
        <w:rPr>
          <w:rFonts w:cs="Arial"/>
          <w:color w:val="000000"/>
          <w:szCs w:val="24"/>
        </w:rPr>
        <w:t xml:space="preserve">than a means for ensuring that a defined quota of "desirable" investments will feature within the portfolio </w:t>
      </w:r>
      <w:r w:rsidR="00F002CC">
        <w:rPr>
          <w:rFonts w:cs="Arial"/>
          <w:color w:val="000000"/>
          <w:szCs w:val="24"/>
        </w:rPr>
        <w:t>or certain</w:t>
      </w:r>
      <w:r>
        <w:rPr>
          <w:rFonts w:cs="Arial"/>
          <w:color w:val="000000"/>
          <w:szCs w:val="24"/>
        </w:rPr>
        <w:t xml:space="preserve"> "undesirable" asset types will be excluded. This </w:t>
      </w:r>
      <w:r w:rsidR="00F002CC">
        <w:rPr>
          <w:rFonts w:cs="Arial"/>
          <w:color w:val="000000"/>
          <w:szCs w:val="24"/>
        </w:rPr>
        <w:t xml:space="preserve">latter </w:t>
      </w:r>
      <w:r>
        <w:rPr>
          <w:rFonts w:cs="Arial"/>
          <w:color w:val="000000"/>
          <w:szCs w:val="24"/>
        </w:rPr>
        <w:t xml:space="preserve">type of approach would require the Fund to define, </w:t>
      </w:r>
      <w:r w:rsidR="00F002CC">
        <w:rPr>
          <w:rFonts w:cs="Arial"/>
          <w:color w:val="000000"/>
          <w:szCs w:val="24"/>
        </w:rPr>
        <w:t xml:space="preserve">justify, </w:t>
      </w:r>
      <w:r>
        <w:rPr>
          <w:rFonts w:cs="Arial"/>
          <w:color w:val="000000"/>
          <w:szCs w:val="24"/>
        </w:rPr>
        <w:t>agree and continually review its list of preferred and excluded inv</w:t>
      </w:r>
      <w:r w:rsidR="00F002CC">
        <w:rPr>
          <w:rFonts w:cs="Arial"/>
          <w:color w:val="000000"/>
          <w:szCs w:val="24"/>
        </w:rPr>
        <w:t>estment types and to build them</w:t>
      </w:r>
      <w:r>
        <w:rPr>
          <w:rFonts w:cs="Arial"/>
          <w:color w:val="000000"/>
          <w:szCs w:val="24"/>
        </w:rPr>
        <w:t xml:space="preserve"> into its investment policies and mandates – something which</w:t>
      </w:r>
      <w:r w:rsidR="00F002CC">
        <w:rPr>
          <w:rFonts w:cs="Arial"/>
          <w:color w:val="000000"/>
          <w:szCs w:val="24"/>
        </w:rPr>
        <w:t xml:space="preserve"> would impose a </w:t>
      </w:r>
      <w:r>
        <w:rPr>
          <w:rFonts w:cs="Arial"/>
          <w:color w:val="000000"/>
          <w:szCs w:val="24"/>
        </w:rPr>
        <w:t>restrict</w:t>
      </w:r>
      <w:r w:rsidR="00F002CC">
        <w:rPr>
          <w:rFonts w:cs="Arial"/>
          <w:color w:val="000000"/>
          <w:szCs w:val="24"/>
        </w:rPr>
        <w:t>ed</w:t>
      </w:r>
      <w:r>
        <w:rPr>
          <w:rFonts w:cs="Arial"/>
          <w:color w:val="000000"/>
          <w:szCs w:val="24"/>
        </w:rPr>
        <w:t xml:space="preserve"> investment choice</w:t>
      </w:r>
      <w:r w:rsidR="00F002CC">
        <w:rPr>
          <w:rFonts w:cs="Arial"/>
          <w:color w:val="000000"/>
          <w:szCs w:val="24"/>
        </w:rPr>
        <w:t xml:space="preserve"> and </w:t>
      </w:r>
      <w:r w:rsidR="001153A7">
        <w:rPr>
          <w:rFonts w:cs="Arial"/>
          <w:color w:val="000000"/>
          <w:szCs w:val="24"/>
        </w:rPr>
        <w:t xml:space="preserve">potentially prompt </w:t>
      </w:r>
      <w:r w:rsidR="00E04285">
        <w:rPr>
          <w:rFonts w:cs="Arial"/>
          <w:color w:val="000000"/>
          <w:szCs w:val="24"/>
        </w:rPr>
        <w:t xml:space="preserve">an </w:t>
      </w:r>
      <w:r w:rsidR="00F002CC">
        <w:rPr>
          <w:rFonts w:cs="Arial"/>
          <w:color w:val="000000"/>
          <w:szCs w:val="24"/>
        </w:rPr>
        <w:t xml:space="preserve">adjustment </w:t>
      </w:r>
      <w:r w:rsidR="00E04285">
        <w:rPr>
          <w:rFonts w:cs="Arial"/>
          <w:color w:val="000000"/>
          <w:szCs w:val="24"/>
        </w:rPr>
        <w:t>in</w:t>
      </w:r>
      <w:r w:rsidR="001153A7">
        <w:rPr>
          <w:rFonts w:cs="Arial"/>
          <w:color w:val="000000"/>
          <w:szCs w:val="24"/>
        </w:rPr>
        <w:t xml:space="preserve"> </w:t>
      </w:r>
      <w:r>
        <w:rPr>
          <w:rFonts w:cs="Arial"/>
          <w:color w:val="000000"/>
          <w:szCs w:val="24"/>
        </w:rPr>
        <w:t>the benchmark return expected.</w:t>
      </w:r>
      <w:r w:rsidR="00F002CC">
        <w:rPr>
          <w:rFonts w:cs="Arial"/>
          <w:color w:val="000000"/>
          <w:szCs w:val="24"/>
        </w:rPr>
        <w:t xml:space="preserve"> </w:t>
      </w:r>
    </w:p>
    <w:p w14:paraId="0BD13A64" w14:textId="77777777" w:rsidR="001153A7" w:rsidRDefault="001153A7" w:rsidP="00ED4B33">
      <w:pPr>
        <w:autoSpaceDE w:val="0"/>
        <w:autoSpaceDN w:val="0"/>
        <w:adjustRightInd w:val="0"/>
        <w:jc w:val="both"/>
        <w:rPr>
          <w:rFonts w:cs="Arial"/>
          <w:color w:val="000000"/>
          <w:szCs w:val="24"/>
        </w:rPr>
      </w:pPr>
    </w:p>
    <w:p w14:paraId="49AFD81D" w14:textId="680BB93D" w:rsidR="004C1A06" w:rsidRDefault="00F002CC" w:rsidP="00ED4B33">
      <w:pPr>
        <w:autoSpaceDE w:val="0"/>
        <w:autoSpaceDN w:val="0"/>
        <w:adjustRightInd w:val="0"/>
        <w:jc w:val="both"/>
        <w:rPr>
          <w:rFonts w:cs="Arial"/>
          <w:color w:val="000000"/>
          <w:szCs w:val="24"/>
        </w:rPr>
      </w:pPr>
      <w:r>
        <w:rPr>
          <w:rFonts w:cs="Arial"/>
          <w:color w:val="000000"/>
          <w:szCs w:val="24"/>
        </w:rPr>
        <w:t xml:space="preserve">ESG integration </w:t>
      </w:r>
      <w:r w:rsidR="00E04285">
        <w:rPr>
          <w:rFonts w:cs="Arial"/>
          <w:color w:val="000000"/>
          <w:szCs w:val="24"/>
        </w:rPr>
        <w:t>offers</w:t>
      </w:r>
      <w:r>
        <w:rPr>
          <w:rFonts w:cs="Arial"/>
          <w:color w:val="000000"/>
          <w:szCs w:val="24"/>
        </w:rPr>
        <w:t xml:space="preserve"> </w:t>
      </w:r>
      <w:r w:rsidR="001153A7">
        <w:rPr>
          <w:rFonts w:cs="Arial"/>
          <w:color w:val="000000"/>
          <w:szCs w:val="24"/>
        </w:rPr>
        <w:t>a way of</w:t>
      </w:r>
      <w:r>
        <w:rPr>
          <w:rFonts w:cs="Arial"/>
          <w:color w:val="000000"/>
          <w:szCs w:val="24"/>
        </w:rPr>
        <w:t xml:space="preserve"> enhancing the objective comparison of risk adjusted returns across diverse and competing investment opportunities and variable time horizons</w:t>
      </w:r>
      <w:r w:rsidR="001153A7">
        <w:rPr>
          <w:rFonts w:cs="Arial"/>
          <w:color w:val="000000"/>
          <w:szCs w:val="24"/>
        </w:rPr>
        <w:t xml:space="preserve"> and</w:t>
      </w:r>
      <w:r w:rsidR="00E04285">
        <w:rPr>
          <w:rFonts w:cs="Arial"/>
          <w:color w:val="000000"/>
          <w:szCs w:val="24"/>
        </w:rPr>
        <w:t xml:space="preserve"> c</w:t>
      </w:r>
      <w:r>
        <w:rPr>
          <w:rFonts w:cs="Arial"/>
          <w:color w:val="000000"/>
          <w:szCs w:val="24"/>
        </w:rPr>
        <w:t>ould improve the Fund's ability to recognise and take account of both t</w:t>
      </w:r>
      <w:r w:rsidR="0082386C">
        <w:rPr>
          <w:rFonts w:cs="Arial"/>
          <w:color w:val="000000"/>
          <w:szCs w:val="24"/>
        </w:rPr>
        <w:t>hreats</w:t>
      </w:r>
      <w:r w:rsidR="00CD214E">
        <w:rPr>
          <w:rFonts w:cs="Arial"/>
          <w:color w:val="000000"/>
          <w:szCs w:val="24"/>
        </w:rPr>
        <w:t xml:space="preserve"> (such as those</w:t>
      </w:r>
      <w:r w:rsidR="0082386C">
        <w:rPr>
          <w:rFonts w:cs="Arial"/>
          <w:color w:val="000000"/>
          <w:szCs w:val="24"/>
        </w:rPr>
        <w:t xml:space="preserve"> posed by climate ch</w:t>
      </w:r>
      <w:r w:rsidR="00522EF1">
        <w:rPr>
          <w:rFonts w:cs="Arial"/>
          <w:color w:val="000000"/>
          <w:szCs w:val="24"/>
        </w:rPr>
        <w:t>ange, forthcoming regulation/</w:t>
      </w:r>
      <w:r w:rsidR="00CD214E">
        <w:rPr>
          <w:rFonts w:cs="Arial"/>
          <w:color w:val="000000"/>
          <w:szCs w:val="24"/>
        </w:rPr>
        <w:t xml:space="preserve">legislation, workforce/industrial </w:t>
      </w:r>
      <w:r w:rsidR="0082386C">
        <w:rPr>
          <w:rFonts w:cs="Arial"/>
          <w:color w:val="000000"/>
          <w:szCs w:val="24"/>
        </w:rPr>
        <w:t>dispute</w:t>
      </w:r>
      <w:r w:rsidR="00CD214E">
        <w:rPr>
          <w:rFonts w:cs="Arial"/>
          <w:color w:val="000000"/>
          <w:szCs w:val="24"/>
        </w:rPr>
        <w:t>) and opportunities</w:t>
      </w:r>
      <w:r>
        <w:rPr>
          <w:rFonts w:cs="Arial"/>
          <w:color w:val="000000"/>
          <w:szCs w:val="24"/>
        </w:rPr>
        <w:t xml:space="preserve">, including those </w:t>
      </w:r>
      <w:r w:rsidR="001153A7">
        <w:rPr>
          <w:rFonts w:cs="Arial"/>
          <w:color w:val="000000"/>
          <w:szCs w:val="24"/>
        </w:rPr>
        <w:t xml:space="preserve">to </w:t>
      </w:r>
      <w:r w:rsidR="0014213D">
        <w:rPr>
          <w:rFonts w:cs="Arial"/>
          <w:color w:val="000000"/>
          <w:szCs w:val="24"/>
        </w:rPr>
        <w:t xml:space="preserve">increase </w:t>
      </w:r>
      <w:r w:rsidR="001153A7">
        <w:rPr>
          <w:rFonts w:cs="Arial"/>
          <w:color w:val="000000"/>
          <w:szCs w:val="24"/>
        </w:rPr>
        <w:t xml:space="preserve">investment </w:t>
      </w:r>
      <w:r w:rsidR="00CD214E">
        <w:rPr>
          <w:rFonts w:cs="Arial"/>
          <w:color w:val="000000"/>
          <w:szCs w:val="24"/>
        </w:rPr>
        <w:t>in new and sustainable technologies</w:t>
      </w:r>
      <w:r w:rsidR="00F10E53">
        <w:rPr>
          <w:rFonts w:cs="Arial"/>
          <w:color w:val="000000"/>
          <w:szCs w:val="24"/>
        </w:rPr>
        <w:t xml:space="preserve"> including "green" industries</w:t>
      </w:r>
      <w:r w:rsidR="00CD214E">
        <w:rPr>
          <w:rFonts w:cs="Arial"/>
          <w:color w:val="000000"/>
          <w:szCs w:val="24"/>
        </w:rPr>
        <w:t>.</w:t>
      </w:r>
      <w:r w:rsidR="0082386C">
        <w:rPr>
          <w:rFonts w:cs="Arial"/>
          <w:color w:val="000000"/>
          <w:szCs w:val="24"/>
        </w:rPr>
        <w:t xml:space="preserve"> </w:t>
      </w:r>
    </w:p>
    <w:p w14:paraId="542C4C96" w14:textId="77777777" w:rsidR="004C1A06" w:rsidRDefault="004C1A06" w:rsidP="00D622C8">
      <w:pPr>
        <w:autoSpaceDE w:val="0"/>
        <w:autoSpaceDN w:val="0"/>
        <w:adjustRightInd w:val="0"/>
        <w:rPr>
          <w:rFonts w:cs="Arial"/>
          <w:color w:val="000000"/>
          <w:szCs w:val="24"/>
        </w:rPr>
      </w:pPr>
    </w:p>
    <w:p w14:paraId="5DCC98BA" w14:textId="13E3FC65" w:rsidR="00F11021" w:rsidRDefault="00F002CC" w:rsidP="00ED4B33">
      <w:pPr>
        <w:autoSpaceDE w:val="0"/>
        <w:autoSpaceDN w:val="0"/>
        <w:adjustRightInd w:val="0"/>
        <w:jc w:val="both"/>
        <w:rPr>
          <w:rFonts w:cs="Arial"/>
          <w:color w:val="000000"/>
          <w:szCs w:val="24"/>
        </w:rPr>
      </w:pPr>
      <w:r>
        <w:rPr>
          <w:rFonts w:cs="Arial"/>
          <w:color w:val="000000"/>
          <w:szCs w:val="24"/>
        </w:rPr>
        <w:t>M</w:t>
      </w:r>
      <w:r w:rsidR="00F10E53">
        <w:rPr>
          <w:rFonts w:cs="Arial"/>
          <w:color w:val="000000"/>
          <w:szCs w:val="24"/>
        </w:rPr>
        <w:t xml:space="preserve">edia </w:t>
      </w:r>
      <w:r>
        <w:rPr>
          <w:rFonts w:cs="Arial"/>
          <w:color w:val="000000"/>
          <w:szCs w:val="24"/>
        </w:rPr>
        <w:t>reports indicate a</w:t>
      </w:r>
      <w:r w:rsidR="00F10E53">
        <w:rPr>
          <w:rFonts w:cs="Arial"/>
          <w:color w:val="000000"/>
          <w:szCs w:val="24"/>
        </w:rPr>
        <w:t xml:space="preserve"> </w:t>
      </w:r>
      <w:r w:rsidR="005F323E">
        <w:rPr>
          <w:rFonts w:cs="Arial"/>
          <w:color w:val="000000"/>
          <w:szCs w:val="24"/>
        </w:rPr>
        <w:t xml:space="preserve">growing </w:t>
      </w:r>
      <w:r w:rsidR="007F551C">
        <w:rPr>
          <w:rFonts w:cs="Arial"/>
          <w:color w:val="000000"/>
          <w:szCs w:val="24"/>
        </w:rPr>
        <w:t>r</w:t>
      </w:r>
      <w:r w:rsidR="00212535">
        <w:rPr>
          <w:rFonts w:cs="Arial"/>
          <w:color w:val="000000"/>
          <w:szCs w:val="24"/>
        </w:rPr>
        <w:t xml:space="preserve">ecognition of the </w:t>
      </w:r>
      <w:r w:rsidR="002D3DE4">
        <w:rPr>
          <w:rFonts w:cs="Arial"/>
          <w:color w:val="000000"/>
          <w:szCs w:val="24"/>
        </w:rPr>
        <w:t>importance of</w:t>
      </w:r>
      <w:r w:rsidR="002D66D8">
        <w:rPr>
          <w:rFonts w:cs="Arial"/>
          <w:color w:val="000000"/>
          <w:szCs w:val="24"/>
        </w:rPr>
        <w:t xml:space="preserve"> </w:t>
      </w:r>
      <w:r w:rsidR="00896BCE">
        <w:rPr>
          <w:rFonts w:cs="Arial"/>
          <w:color w:val="000000"/>
          <w:szCs w:val="24"/>
        </w:rPr>
        <w:t xml:space="preserve">considering </w:t>
      </w:r>
      <w:r w:rsidR="00212535">
        <w:rPr>
          <w:rFonts w:cs="Arial"/>
          <w:color w:val="000000"/>
          <w:szCs w:val="24"/>
        </w:rPr>
        <w:t xml:space="preserve">a </w:t>
      </w:r>
      <w:r w:rsidR="0032297B">
        <w:rPr>
          <w:rFonts w:cs="Arial"/>
          <w:color w:val="000000"/>
          <w:szCs w:val="24"/>
        </w:rPr>
        <w:t xml:space="preserve">broader </w:t>
      </w:r>
      <w:r w:rsidR="00212535">
        <w:rPr>
          <w:rFonts w:cs="Arial"/>
          <w:color w:val="000000"/>
          <w:szCs w:val="24"/>
        </w:rPr>
        <w:t xml:space="preserve">range of </w:t>
      </w:r>
      <w:r w:rsidR="002D66D8">
        <w:rPr>
          <w:rFonts w:cs="Arial"/>
          <w:color w:val="000000"/>
          <w:szCs w:val="24"/>
        </w:rPr>
        <w:t xml:space="preserve">factors and </w:t>
      </w:r>
      <w:r w:rsidR="00212535">
        <w:rPr>
          <w:rFonts w:cs="Arial"/>
          <w:color w:val="000000"/>
          <w:szCs w:val="24"/>
        </w:rPr>
        <w:t xml:space="preserve">information than </w:t>
      </w:r>
      <w:r w:rsidR="008C6065">
        <w:rPr>
          <w:rFonts w:cs="Arial"/>
          <w:color w:val="000000"/>
          <w:szCs w:val="24"/>
        </w:rPr>
        <w:t>purely financial analysis when</w:t>
      </w:r>
      <w:r w:rsidR="00E83B35">
        <w:rPr>
          <w:rFonts w:cs="Arial"/>
          <w:color w:val="000000"/>
          <w:szCs w:val="24"/>
        </w:rPr>
        <w:t xml:space="preserve"> making investment decisions. </w:t>
      </w:r>
      <w:r w:rsidR="008C6065">
        <w:rPr>
          <w:rFonts w:cs="Arial"/>
          <w:color w:val="000000"/>
          <w:szCs w:val="24"/>
        </w:rPr>
        <w:t xml:space="preserve">This </w:t>
      </w:r>
      <w:r w:rsidR="002D66D8">
        <w:rPr>
          <w:rFonts w:cs="Arial"/>
          <w:color w:val="000000"/>
          <w:szCs w:val="24"/>
        </w:rPr>
        <w:t xml:space="preserve">at least partly </w:t>
      </w:r>
      <w:r w:rsidR="001107E2">
        <w:rPr>
          <w:rFonts w:cs="Arial"/>
          <w:color w:val="000000"/>
          <w:szCs w:val="24"/>
        </w:rPr>
        <w:t>reflec</w:t>
      </w:r>
      <w:r w:rsidR="003E6DB5">
        <w:rPr>
          <w:rFonts w:cs="Arial"/>
          <w:color w:val="000000"/>
          <w:szCs w:val="24"/>
        </w:rPr>
        <w:t xml:space="preserve">ts </w:t>
      </w:r>
      <w:r w:rsidR="002D66D8">
        <w:rPr>
          <w:rFonts w:cs="Arial"/>
          <w:color w:val="000000"/>
          <w:szCs w:val="24"/>
        </w:rPr>
        <w:t xml:space="preserve">the increased availability </w:t>
      </w:r>
      <w:r w:rsidR="001107E2">
        <w:rPr>
          <w:rFonts w:cs="Arial"/>
          <w:color w:val="000000"/>
          <w:szCs w:val="24"/>
        </w:rPr>
        <w:t xml:space="preserve">of </w:t>
      </w:r>
      <w:r w:rsidR="002D66D8">
        <w:rPr>
          <w:rFonts w:cs="Arial"/>
          <w:color w:val="000000"/>
          <w:szCs w:val="24"/>
        </w:rPr>
        <w:t xml:space="preserve">relevant </w:t>
      </w:r>
      <w:r w:rsidR="00C02650">
        <w:rPr>
          <w:rFonts w:cs="Arial"/>
          <w:color w:val="000000"/>
          <w:szCs w:val="24"/>
        </w:rPr>
        <w:t xml:space="preserve">sources </w:t>
      </w:r>
      <w:r w:rsidR="00293EF6">
        <w:rPr>
          <w:rFonts w:cs="Arial"/>
          <w:color w:val="000000"/>
          <w:szCs w:val="24"/>
        </w:rPr>
        <w:t xml:space="preserve">of information </w:t>
      </w:r>
      <w:r w:rsidR="00F10E53">
        <w:rPr>
          <w:rFonts w:cs="Arial"/>
          <w:color w:val="000000"/>
          <w:szCs w:val="24"/>
        </w:rPr>
        <w:t>and their</w:t>
      </w:r>
      <w:r w:rsidR="003E6DB5">
        <w:rPr>
          <w:rFonts w:cs="Arial"/>
          <w:color w:val="000000"/>
          <w:szCs w:val="24"/>
        </w:rPr>
        <w:t xml:space="preserve"> </w:t>
      </w:r>
      <w:r w:rsidR="00C54F19">
        <w:rPr>
          <w:rFonts w:cs="Arial"/>
          <w:color w:val="000000"/>
          <w:szCs w:val="24"/>
        </w:rPr>
        <w:t xml:space="preserve">greater </w:t>
      </w:r>
      <w:r w:rsidR="003E6DB5">
        <w:rPr>
          <w:rFonts w:cs="Arial"/>
          <w:color w:val="000000"/>
          <w:szCs w:val="24"/>
        </w:rPr>
        <w:t>accessibility</w:t>
      </w:r>
      <w:r w:rsidR="00C8146C">
        <w:rPr>
          <w:rFonts w:cs="Arial"/>
          <w:color w:val="000000"/>
          <w:szCs w:val="24"/>
        </w:rPr>
        <w:t xml:space="preserve"> via</w:t>
      </w:r>
      <w:r w:rsidR="007F551C">
        <w:rPr>
          <w:rFonts w:cs="Arial"/>
          <w:color w:val="000000"/>
          <w:szCs w:val="24"/>
        </w:rPr>
        <w:t xml:space="preserve"> </w:t>
      </w:r>
      <w:r w:rsidR="008C6065">
        <w:rPr>
          <w:rFonts w:cs="Arial"/>
          <w:color w:val="000000"/>
          <w:szCs w:val="24"/>
        </w:rPr>
        <w:t xml:space="preserve">modern media. </w:t>
      </w:r>
      <w:r w:rsidR="00E83B35">
        <w:rPr>
          <w:rFonts w:cs="Arial"/>
          <w:color w:val="000000"/>
          <w:szCs w:val="24"/>
        </w:rPr>
        <w:t xml:space="preserve">The </w:t>
      </w:r>
      <w:r w:rsidR="007F551C">
        <w:rPr>
          <w:rFonts w:cs="Arial"/>
          <w:color w:val="000000"/>
          <w:szCs w:val="24"/>
        </w:rPr>
        <w:t>Law Commission's opinion</w:t>
      </w:r>
      <w:r w:rsidR="00E83B35">
        <w:rPr>
          <w:rFonts w:cs="Arial"/>
          <w:color w:val="000000"/>
          <w:szCs w:val="24"/>
        </w:rPr>
        <w:t xml:space="preserve"> that it is permissible </w:t>
      </w:r>
      <w:r w:rsidR="008C6065">
        <w:rPr>
          <w:rFonts w:cs="Arial"/>
          <w:color w:val="000000"/>
          <w:szCs w:val="24"/>
        </w:rPr>
        <w:t xml:space="preserve">to </w:t>
      </w:r>
      <w:r w:rsidR="00E83B35">
        <w:rPr>
          <w:rFonts w:cs="Arial"/>
          <w:color w:val="000000"/>
          <w:szCs w:val="24"/>
        </w:rPr>
        <w:t>integrate E</w:t>
      </w:r>
      <w:r w:rsidR="00F11021">
        <w:rPr>
          <w:rFonts w:cs="Arial"/>
          <w:color w:val="000000"/>
          <w:szCs w:val="24"/>
        </w:rPr>
        <w:t xml:space="preserve">SG </w:t>
      </w:r>
      <w:r w:rsidR="008C6065">
        <w:rPr>
          <w:rFonts w:cs="Arial"/>
          <w:color w:val="000000"/>
          <w:szCs w:val="24"/>
        </w:rPr>
        <w:t xml:space="preserve">considerations </w:t>
      </w:r>
      <w:r w:rsidR="00F10E53">
        <w:rPr>
          <w:rFonts w:cs="Arial"/>
          <w:color w:val="000000"/>
          <w:szCs w:val="24"/>
        </w:rPr>
        <w:t xml:space="preserve">into investment selection is increasingly </w:t>
      </w:r>
      <w:r w:rsidR="00A96D74">
        <w:rPr>
          <w:rFonts w:cs="Arial"/>
          <w:color w:val="000000"/>
          <w:szCs w:val="24"/>
        </w:rPr>
        <w:t xml:space="preserve">being </w:t>
      </w:r>
      <w:r w:rsidR="008C6065">
        <w:rPr>
          <w:rFonts w:cs="Arial"/>
          <w:color w:val="000000"/>
          <w:szCs w:val="24"/>
        </w:rPr>
        <w:t>superseded</w:t>
      </w:r>
      <w:r w:rsidR="00F11021">
        <w:rPr>
          <w:rFonts w:cs="Arial"/>
          <w:color w:val="000000"/>
          <w:szCs w:val="24"/>
        </w:rPr>
        <w:t xml:space="preserve"> by </w:t>
      </w:r>
      <w:r w:rsidR="00C02650">
        <w:rPr>
          <w:rFonts w:cs="Arial"/>
          <w:color w:val="000000"/>
          <w:szCs w:val="24"/>
        </w:rPr>
        <w:t>the</w:t>
      </w:r>
      <w:r w:rsidR="007F551C">
        <w:rPr>
          <w:rFonts w:cs="Arial"/>
          <w:color w:val="000000"/>
          <w:szCs w:val="24"/>
        </w:rPr>
        <w:t xml:space="preserve"> </w:t>
      </w:r>
      <w:r w:rsidR="00A96D74">
        <w:rPr>
          <w:rFonts w:cs="Arial"/>
          <w:color w:val="000000"/>
          <w:szCs w:val="24"/>
        </w:rPr>
        <w:t xml:space="preserve">impression that </w:t>
      </w:r>
      <w:r w:rsidR="00F10E53">
        <w:rPr>
          <w:rFonts w:cs="Arial"/>
          <w:color w:val="000000"/>
          <w:szCs w:val="24"/>
        </w:rPr>
        <w:t>fail</w:t>
      </w:r>
      <w:r w:rsidR="00A87AFB">
        <w:rPr>
          <w:rFonts w:cs="Arial"/>
          <w:color w:val="000000"/>
          <w:szCs w:val="24"/>
        </w:rPr>
        <w:t>ing</w:t>
      </w:r>
      <w:r w:rsidR="008C6065">
        <w:rPr>
          <w:rFonts w:cs="Arial"/>
          <w:color w:val="000000"/>
          <w:szCs w:val="24"/>
        </w:rPr>
        <w:t xml:space="preserve"> </w:t>
      </w:r>
      <w:r w:rsidR="00F11021">
        <w:rPr>
          <w:rFonts w:cs="Arial"/>
          <w:color w:val="000000"/>
          <w:szCs w:val="24"/>
        </w:rPr>
        <w:t xml:space="preserve">to </w:t>
      </w:r>
      <w:r w:rsidR="00176BA5">
        <w:rPr>
          <w:rFonts w:cs="Arial"/>
          <w:color w:val="000000"/>
          <w:szCs w:val="24"/>
        </w:rPr>
        <w:t xml:space="preserve">give due regard to </w:t>
      </w:r>
      <w:r w:rsidR="00BD2EE5">
        <w:rPr>
          <w:rFonts w:cs="Arial"/>
          <w:color w:val="000000"/>
          <w:szCs w:val="24"/>
        </w:rPr>
        <w:t xml:space="preserve">relevant </w:t>
      </w:r>
      <w:r w:rsidR="00F11021">
        <w:rPr>
          <w:rFonts w:cs="Arial"/>
          <w:color w:val="000000"/>
          <w:szCs w:val="24"/>
        </w:rPr>
        <w:t xml:space="preserve">ESG considerations </w:t>
      </w:r>
      <w:r w:rsidR="00F10E53">
        <w:rPr>
          <w:rFonts w:cs="Arial"/>
          <w:color w:val="000000"/>
          <w:szCs w:val="24"/>
        </w:rPr>
        <w:t>could</w:t>
      </w:r>
      <w:r w:rsidR="00A87AFB">
        <w:rPr>
          <w:rFonts w:cs="Arial"/>
          <w:color w:val="000000"/>
          <w:szCs w:val="24"/>
        </w:rPr>
        <w:t xml:space="preserve"> </w:t>
      </w:r>
      <w:r w:rsidR="008C6065">
        <w:rPr>
          <w:rFonts w:cs="Arial"/>
          <w:color w:val="000000"/>
          <w:szCs w:val="24"/>
        </w:rPr>
        <w:t>amount to</w:t>
      </w:r>
      <w:r w:rsidR="00176BA5">
        <w:rPr>
          <w:rFonts w:cs="Arial"/>
          <w:color w:val="000000"/>
          <w:szCs w:val="24"/>
        </w:rPr>
        <w:t xml:space="preserve"> </w:t>
      </w:r>
      <w:r w:rsidR="00F11021">
        <w:rPr>
          <w:rFonts w:cs="Arial"/>
          <w:color w:val="000000"/>
          <w:szCs w:val="24"/>
        </w:rPr>
        <w:t>a breach of fiduciary responsibilities.</w:t>
      </w:r>
      <w:r w:rsidR="002D3DE4" w:rsidRPr="002D3DE4">
        <w:rPr>
          <w:rFonts w:cs="Arial"/>
          <w:color w:val="000000"/>
          <w:szCs w:val="24"/>
        </w:rPr>
        <w:t xml:space="preserve"> </w:t>
      </w:r>
    </w:p>
    <w:p w14:paraId="23F102DF" w14:textId="77777777" w:rsidR="00176BA5" w:rsidRDefault="00176BA5" w:rsidP="00ED4B33">
      <w:pPr>
        <w:autoSpaceDE w:val="0"/>
        <w:autoSpaceDN w:val="0"/>
        <w:adjustRightInd w:val="0"/>
        <w:jc w:val="both"/>
        <w:rPr>
          <w:rFonts w:cs="Arial"/>
          <w:color w:val="000000"/>
          <w:szCs w:val="24"/>
        </w:rPr>
      </w:pPr>
    </w:p>
    <w:p w14:paraId="4221F197" w14:textId="79602142" w:rsidR="00FA7CA1" w:rsidRDefault="00FA7CA1" w:rsidP="00ED4B33">
      <w:pPr>
        <w:autoSpaceDE w:val="0"/>
        <w:autoSpaceDN w:val="0"/>
        <w:adjustRightInd w:val="0"/>
        <w:jc w:val="both"/>
        <w:rPr>
          <w:rFonts w:cs="Arial"/>
          <w:color w:val="000000"/>
          <w:szCs w:val="24"/>
        </w:rPr>
      </w:pPr>
      <w:r>
        <w:rPr>
          <w:rFonts w:cs="Arial"/>
          <w:color w:val="000000"/>
          <w:szCs w:val="24"/>
        </w:rPr>
        <w:t xml:space="preserve">It is important to stress that RI is a relatively new and evolving discipline and one size/approach does not fit all. </w:t>
      </w:r>
      <w:r w:rsidR="00991A5C">
        <w:rPr>
          <w:rFonts w:cs="Arial"/>
          <w:color w:val="000000"/>
          <w:szCs w:val="24"/>
        </w:rPr>
        <w:t xml:space="preserve">Acknowledging the </w:t>
      </w:r>
      <w:r w:rsidR="008C6065">
        <w:rPr>
          <w:rFonts w:cs="Arial"/>
          <w:color w:val="000000"/>
          <w:szCs w:val="24"/>
        </w:rPr>
        <w:t xml:space="preserve">potential </w:t>
      </w:r>
      <w:r w:rsidR="00BD2EE5">
        <w:rPr>
          <w:rFonts w:cs="Arial"/>
          <w:color w:val="000000"/>
          <w:szCs w:val="24"/>
        </w:rPr>
        <w:t>benefits</w:t>
      </w:r>
      <w:r w:rsidR="00991A5C">
        <w:rPr>
          <w:rFonts w:cs="Arial"/>
          <w:color w:val="000000"/>
          <w:szCs w:val="24"/>
        </w:rPr>
        <w:t xml:space="preserve"> </w:t>
      </w:r>
      <w:r w:rsidR="008C6065">
        <w:rPr>
          <w:rFonts w:cs="Arial"/>
          <w:color w:val="000000"/>
          <w:szCs w:val="24"/>
        </w:rPr>
        <w:t>of</w:t>
      </w:r>
      <w:r w:rsidR="00176BA5">
        <w:rPr>
          <w:rFonts w:cs="Arial"/>
          <w:color w:val="000000"/>
          <w:szCs w:val="24"/>
        </w:rPr>
        <w:t xml:space="preserve"> </w:t>
      </w:r>
      <w:r w:rsidR="00F10E53">
        <w:rPr>
          <w:rFonts w:cs="Arial"/>
          <w:color w:val="000000"/>
          <w:szCs w:val="24"/>
        </w:rPr>
        <w:t xml:space="preserve">ESG integration </w:t>
      </w:r>
      <w:r w:rsidR="00991A5C">
        <w:rPr>
          <w:rFonts w:cs="Arial"/>
          <w:color w:val="000000"/>
          <w:szCs w:val="24"/>
        </w:rPr>
        <w:t>is a</w:t>
      </w:r>
      <w:r w:rsidR="001107E2">
        <w:rPr>
          <w:rFonts w:cs="Arial"/>
          <w:color w:val="000000"/>
          <w:szCs w:val="24"/>
        </w:rPr>
        <w:t xml:space="preserve">n important </w:t>
      </w:r>
      <w:r w:rsidR="00991A5C">
        <w:rPr>
          <w:rFonts w:cs="Arial"/>
          <w:color w:val="000000"/>
          <w:szCs w:val="24"/>
        </w:rPr>
        <w:t>starting point</w:t>
      </w:r>
      <w:r w:rsidR="001107E2">
        <w:rPr>
          <w:rFonts w:cs="Arial"/>
          <w:color w:val="000000"/>
          <w:szCs w:val="24"/>
        </w:rPr>
        <w:t xml:space="preserve">, </w:t>
      </w:r>
      <w:r w:rsidR="00A96D74">
        <w:rPr>
          <w:rFonts w:cs="Arial"/>
          <w:color w:val="000000"/>
          <w:szCs w:val="24"/>
        </w:rPr>
        <w:t>but</w:t>
      </w:r>
      <w:r w:rsidR="001107E2">
        <w:rPr>
          <w:rFonts w:cs="Arial"/>
          <w:color w:val="000000"/>
          <w:szCs w:val="24"/>
        </w:rPr>
        <w:t xml:space="preserve"> one </w:t>
      </w:r>
      <w:r w:rsidR="00F10E53">
        <w:rPr>
          <w:rFonts w:cs="Arial"/>
          <w:color w:val="000000"/>
          <w:szCs w:val="24"/>
        </w:rPr>
        <w:t xml:space="preserve">that the Fund </w:t>
      </w:r>
      <w:r w:rsidR="00A96D74">
        <w:rPr>
          <w:rFonts w:cs="Arial"/>
          <w:color w:val="000000"/>
          <w:szCs w:val="24"/>
        </w:rPr>
        <w:t>need</w:t>
      </w:r>
      <w:r w:rsidR="00F10E53">
        <w:rPr>
          <w:rFonts w:cs="Arial"/>
          <w:color w:val="000000"/>
          <w:szCs w:val="24"/>
        </w:rPr>
        <w:t>s</w:t>
      </w:r>
      <w:r w:rsidR="00A96D74">
        <w:rPr>
          <w:rFonts w:cs="Arial"/>
          <w:color w:val="000000"/>
          <w:szCs w:val="24"/>
        </w:rPr>
        <w:t xml:space="preserve"> to</w:t>
      </w:r>
      <w:r w:rsidR="00991A5C">
        <w:rPr>
          <w:rFonts w:cs="Arial"/>
          <w:color w:val="000000"/>
          <w:szCs w:val="24"/>
        </w:rPr>
        <w:t xml:space="preserve"> move forward </w:t>
      </w:r>
      <w:r w:rsidR="00A96D74">
        <w:rPr>
          <w:rFonts w:cs="Arial"/>
          <w:color w:val="000000"/>
          <w:szCs w:val="24"/>
        </w:rPr>
        <w:t xml:space="preserve">from </w:t>
      </w:r>
      <w:r w:rsidR="00A87AFB">
        <w:rPr>
          <w:rFonts w:cs="Arial"/>
          <w:color w:val="000000"/>
          <w:szCs w:val="24"/>
        </w:rPr>
        <w:t>by</w:t>
      </w:r>
      <w:r w:rsidR="00A96D74">
        <w:rPr>
          <w:rFonts w:cs="Arial"/>
          <w:color w:val="000000"/>
          <w:szCs w:val="24"/>
        </w:rPr>
        <w:t xml:space="preserve"> </w:t>
      </w:r>
      <w:r w:rsidR="001153A7">
        <w:rPr>
          <w:rFonts w:cs="Arial"/>
          <w:color w:val="000000"/>
          <w:szCs w:val="24"/>
        </w:rPr>
        <w:t xml:space="preserve">carefully </w:t>
      </w:r>
      <w:r w:rsidR="00A87AFB">
        <w:rPr>
          <w:rFonts w:cs="Arial"/>
          <w:color w:val="000000"/>
          <w:szCs w:val="24"/>
        </w:rPr>
        <w:t xml:space="preserve">formulating </w:t>
      </w:r>
      <w:r w:rsidR="00896BCE">
        <w:rPr>
          <w:rFonts w:cs="Arial"/>
          <w:color w:val="000000"/>
          <w:szCs w:val="24"/>
        </w:rPr>
        <w:t xml:space="preserve">an approach which </w:t>
      </w:r>
      <w:r>
        <w:rPr>
          <w:rFonts w:cs="Arial"/>
          <w:color w:val="000000"/>
          <w:szCs w:val="24"/>
        </w:rPr>
        <w:t>facilitates and enhances</w:t>
      </w:r>
      <w:r w:rsidR="00896BCE">
        <w:rPr>
          <w:rFonts w:cs="Arial"/>
          <w:color w:val="000000"/>
          <w:szCs w:val="24"/>
        </w:rPr>
        <w:t xml:space="preserve"> its </w:t>
      </w:r>
      <w:r w:rsidR="00A87AFB">
        <w:rPr>
          <w:rFonts w:cs="Arial"/>
          <w:color w:val="000000"/>
          <w:szCs w:val="24"/>
        </w:rPr>
        <w:t xml:space="preserve">underlying </w:t>
      </w:r>
      <w:r w:rsidR="00896BCE">
        <w:rPr>
          <w:rFonts w:cs="Arial"/>
          <w:color w:val="000000"/>
          <w:szCs w:val="24"/>
        </w:rPr>
        <w:t>investment</w:t>
      </w:r>
      <w:r w:rsidR="00A87AFB">
        <w:rPr>
          <w:rFonts w:cs="Arial"/>
          <w:color w:val="000000"/>
          <w:szCs w:val="24"/>
        </w:rPr>
        <w:t xml:space="preserve"> strategy</w:t>
      </w:r>
      <w:r w:rsidR="00896BCE">
        <w:rPr>
          <w:rFonts w:cs="Arial"/>
          <w:color w:val="000000"/>
          <w:szCs w:val="24"/>
        </w:rPr>
        <w:t xml:space="preserve">. </w:t>
      </w:r>
      <w:r w:rsidR="00A96D74">
        <w:rPr>
          <w:rFonts w:cs="Arial"/>
          <w:color w:val="000000"/>
          <w:szCs w:val="24"/>
        </w:rPr>
        <w:t>B</w:t>
      </w:r>
      <w:r w:rsidR="001107E2">
        <w:rPr>
          <w:rFonts w:cs="Arial"/>
          <w:color w:val="000000"/>
          <w:szCs w:val="24"/>
        </w:rPr>
        <w:t xml:space="preserve">asic questions </w:t>
      </w:r>
      <w:r w:rsidR="00A96D74">
        <w:rPr>
          <w:rFonts w:cs="Arial"/>
          <w:color w:val="000000"/>
          <w:szCs w:val="24"/>
        </w:rPr>
        <w:t xml:space="preserve">to be answered </w:t>
      </w:r>
      <w:r w:rsidR="000E750E">
        <w:rPr>
          <w:rFonts w:cs="Arial"/>
          <w:color w:val="000000"/>
          <w:szCs w:val="24"/>
        </w:rPr>
        <w:t>include</w:t>
      </w:r>
      <w:r w:rsidR="001107E2">
        <w:rPr>
          <w:rFonts w:cs="Arial"/>
          <w:color w:val="000000"/>
          <w:szCs w:val="24"/>
        </w:rPr>
        <w:t xml:space="preserve"> the applicability</w:t>
      </w:r>
      <w:r w:rsidR="00C02650">
        <w:rPr>
          <w:rFonts w:cs="Arial"/>
          <w:color w:val="000000"/>
          <w:szCs w:val="24"/>
        </w:rPr>
        <w:t xml:space="preserve"> </w:t>
      </w:r>
      <w:r w:rsidR="00A96D74">
        <w:rPr>
          <w:rFonts w:cs="Arial"/>
          <w:color w:val="000000"/>
          <w:szCs w:val="24"/>
        </w:rPr>
        <w:t>(</w:t>
      </w:r>
      <w:r w:rsidR="00C02650">
        <w:rPr>
          <w:rFonts w:cs="Arial"/>
          <w:color w:val="000000"/>
          <w:szCs w:val="24"/>
        </w:rPr>
        <w:t>and adaptability</w:t>
      </w:r>
      <w:r w:rsidR="00A96D74">
        <w:rPr>
          <w:rFonts w:cs="Arial"/>
          <w:color w:val="000000"/>
          <w:szCs w:val="24"/>
        </w:rPr>
        <w:t>)</w:t>
      </w:r>
      <w:r w:rsidR="00792FD0">
        <w:rPr>
          <w:rFonts w:cs="Arial"/>
          <w:color w:val="000000"/>
          <w:szCs w:val="24"/>
        </w:rPr>
        <w:t xml:space="preserve"> of ESG integration </w:t>
      </w:r>
      <w:r w:rsidR="001107E2">
        <w:rPr>
          <w:rFonts w:cs="Arial"/>
          <w:color w:val="000000"/>
          <w:szCs w:val="24"/>
        </w:rPr>
        <w:t xml:space="preserve">to </w:t>
      </w:r>
      <w:r w:rsidR="00E04285">
        <w:rPr>
          <w:rFonts w:cs="Arial"/>
          <w:color w:val="000000"/>
          <w:szCs w:val="24"/>
        </w:rPr>
        <w:t xml:space="preserve">each of </w:t>
      </w:r>
      <w:r w:rsidR="001107E2">
        <w:rPr>
          <w:rFonts w:cs="Arial"/>
          <w:color w:val="000000"/>
          <w:szCs w:val="24"/>
        </w:rPr>
        <w:t xml:space="preserve">the different asset classes </w:t>
      </w:r>
      <w:r w:rsidR="00473299">
        <w:rPr>
          <w:rFonts w:cs="Arial"/>
          <w:color w:val="000000"/>
          <w:szCs w:val="24"/>
        </w:rPr>
        <w:t xml:space="preserve">which make up the </w:t>
      </w:r>
      <w:r w:rsidR="00A96D74">
        <w:rPr>
          <w:rFonts w:cs="Arial"/>
          <w:color w:val="000000"/>
          <w:szCs w:val="24"/>
        </w:rPr>
        <w:t xml:space="preserve">Fund's </w:t>
      </w:r>
      <w:r w:rsidR="007F551C">
        <w:rPr>
          <w:rFonts w:cs="Arial"/>
          <w:color w:val="000000"/>
          <w:szCs w:val="24"/>
        </w:rPr>
        <w:t>portfolio</w:t>
      </w:r>
      <w:r w:rsidR="000E750E">
        <w:rPr>
          <w:rFonts w:cs="Arial"/>
          <w:color w:val="000000"/>
          <w:szCs w:val="24"/>
        </w:rPr>
        <w:t xml:space="preserve">. </w:t>
      </w:r>
    </w:p>
    <w:p w14:paraId="032AA6D4" w14:textId="77777777" w:rsidR="00FA7CA1" w:rsidRDefault="00FA7CA1" w:rsidP="00ED4B33">
      <w:pPr>
        <w:autoSpaceDE w:val="0"/>
        <w:autoSpaceDN w:val="0"/>
        <w:adjustRightInd w:val="0"/>
        <w:jc w:val="both"/>
        <w:rPr>
          <w:rFonts w:cs="Arial"/>
          <w:color w:val="000000"/>
          <w:szCs w:val="24"/>
        </w:rPr>
      </w:pPr>
    </w:p>
    <w:p w14:paraId="1AC9F30F" w14:textId="6C7AE4C6" w:rsidR="00473299" w:rsidRDefault="000E750E" w:rsidP="00ED4B33">
      <w:pPr>
        <w:autoSpaceDE w:val="0"/>
        <w:autoSpaceDN w:val="0"/>
        <w:adjustRightInd w:val="0"/>
        <w:jc w:val="both"/>
        <w:rPr>
          <w:rFonts w:cs="Arial"/>
          <w:color w:val="000000"/>
          <w:szCs w:val="24"/>
        </w:rPr>
      </w:pPr>
      <w:r>
        <w:rPr>
          <w:rFonts w:cs="Arial"/>
          <w:color w:val="000000"/>
          <w:szCs w:val="24"/>
        </w:rPr>
        <w:t>E</w:t>
      </w:r>
      <w:r w:rsidR="00C8146C">
        <w:rPr>
          <w:rFonts w:cs="Arial"/>
          <w:color w:val="000000"/>
          <w:szCs w:val="24"/>
        </w:rPr>
        <w:t xml:space="preserve">fforts to gain </w:t>
      </w:r>
      <w:r w:rsidR="00473299">
        <w:rPr>
          <w:rFonts w:cs="Arial"/>
          <w:color w:val="000000"/>
          <w:szCs w:val="24"/>
        </w:rPr>
        <w:t xml:space="preserve">initial insight are </w:t>
      </w:r>
      <w:r w:rsidR="00896BCE">
        <w:rPr>
          <w:rFonts w:cs="Arial"/>
          <w:color w:val="000000"/>
          <w:szCs w:val="24"/>
        </w:rPr>
        <w:t xml:space="preserve">being </w:t>
      </w:r>
      <w:r w:rsidR="00473299">
        <w:rPr>
          <w:rFonts w:cs="Arial"/>
          <w:color w:val="000000"/>
          <w:szCs w:val="24"/>
        </w:rPr>
        <w:t>focuss</w:t>
      </w:r>
      <w:r w:rsidR="00A96D74">
        <w:rPr>
          <w:rFonts w:cs="Arial"/>
          <w:color w:val="000000"/>
          <w:szCs w:val="24"/>
        </w:rPr>
        <w:t>ed</w:t>
      </w:r>
      <w:r w:rsidR="00473299">
        <w:rPr>
          <w:rFonts w:cs="Arial"/>
          <w:color w:val="000000"/>
          <w:szCs w:val="24"/>
        </w:rPr>
        <w:t xml:space="preserve"> on publicly listed assets</w:t>
      </w:r>
      <w:r>
        <w:rPr>
          <w:rFonts w:cs="Arial"/>
          <w:color w:val="000000"/>
          <w:szCs w:val="24"/>
        </w:rPr>
        <w:t xml:space="preserve"> which make up 40% of Fund</w:t>
      </w:r>
      <w:r w:rsidR="00FA7CA1">
        <w:rPr>
          <w:rFonts w:cs="Arial"/>
          <w:color w:val="000000"/>
          <w:szCs w:val="24"/>
        </w:rPr>
        <w:t xml:space="preserve"> </w:t>
      </w:r>
      <w:r>
        <w:rPr>
          <w:rFonts w:cs="Arial"/>
          <w:color w:val="000000"/>
          <w:szCs w:val="24"/>
        </w:rPr>
        <w:t>holdings</w:t>
      </w:r>
      <w:r w:rsidR="00792FD0">
        <w:rPr>
          <w:rFonts w:cs="Arial"/>
          <w:color w:val="000000"/>
          <w:szCs w:val="24"/>
        </w:rPr>
        <w:t xml:space="preserve"> (c</w:t>
      </w:r>
      <w:r w:rsidR="00A87AFB">
        <w:rPr>
          <w:rFonts w:cs="Arial"/>
          <w:color w:val="000000"/>
          <w:szCs w:val="24"/>
        </w:rPr>
        <w:t>. £</w:t>
      </w:r>
      <w:r w:rsidR="00792FD0">
        <w:rPr>
          <w:rFonts w:cs="Arial"/>
          <w:color w:val="000000"/>
          <w:szCs w:val="24"/>
        </w:rPr>
        <w:t>2.5bn)</w:t>
      </w:r>
      <w:r>
        <w:rPr>
          <w:rFonts w:cs="Arial"/>
          <w:color w:val="000000"/>
          <w:szCs w:val="24"/>
        </w:rPr>
        <w:t>.</w:t>
      </w:r>
      <w:r w:rsidR="00FA7CA1">
        <w:rPr>
          <w:rFonts w:cs="Arial"/>
          <w:color w:val="000000"/>
          <w:szCs w:val="24"/>
        </w:rPr>
        <w:t xml:space="preserve"> </w:t>
      </w:r>
      <w:r w:rsidR="00473299">
        <w:rPr>
          <w:rFonts w:cs="Arial"/>
          <w:color w:val="000000"/>
          <w:szCs w:val="24"/>
        </w:rPr>
        <w:t xml:space="preserve">An exercise is underway </w:t>
      </w:r>
      <w:r w:rsidR="00BD2EE5">
        <w:rPr>
          <w:rFonts w:cs="Arial"/>
          <w:color w:val="000000"/>
          <w:szCs w:val="24"/>
        </w:rPr>
        <w:t xml:space="preserve">to capture the extent to which </w:t>
      </w:r>
      <w:r w:rsidR="00473299">
        <w:rPr>
          <w:rFonts w:cs="Arial"/>
          <w:color w:val="000000"/>
          <w:szCs w:val="24"/>
        </w:rPr>
        <w:t xml:space="preserve">the Fund is already integrating </w:t>
      </w:r>
      <w:r w:rsidR="00BD2EE5">
        <w:rPr>
          <w:rFonts w:cs="Arial"/>
          <w:color w:val="000000"/>
          <w:szCs w:val="24"/>
        </w:rPr>
        <w:t xml:space="preserve">ESG considerations </w:t>
      </w:r>
      <w:r w:rsidR="00473299">
        <w:rPr>
          <w:rFonts w:cs="Arial"/>
          <w:color w:val="000000"/>
          <w:szCs w:val="24"/>
        </w:rPr>
        <w:t xml:space="preserve">into </w:t>
      </w:r>
      <w:r w:rsidR="003E6DB5">
        <w:rPr>
          <w:rFonts w:cs="Arial"/>
          <w:color w:val="000000"/>
          <w:szCs w:val="24"/>
        </w:rPr>
        <w:t xml:space="preserve">its </w:t>
      </w:r>
      <w:r w:rsidR="00473299">
        <w:rPr>
          <w:rFonts w:cs="Arial"/>
          <w:color w:val="000000"/>
          <w:szCs w:val="24"/>
        </w:rPr>
        <w:t>investment decisions through the actions and policies of its external Fund Managers and inv</w:t>
      </w:r>
      <w:r w:rsidR="00ED4B33">
        <w:rPr>
          <w:rFonts w:cs="Arial"/>
          <w:color w:val="000000"/>
          <w:szCs w:val="24"/>
        </w:rPr>
        <w:t xml:space="preserve">estment consultants. </w:t>
      </w:r>
      <w:r w:rsidR="00C8146C">
        <w:rPr>
          <w:rFonts w:cs="Arial"/>
          <w:color w:val="000000"/>
          <w:szCs w:val="24"/>
        </w:rPr>
        <w:t>The l</w:t>
      </w:r>
      <w:r w:rsidR="00473299">
        <w:rPr>
          <w:rFonts w:cs="Arial"/>
          <w:color w:val="000000"/>
          <w:szCs w:val="24"/>
        </w:rPr>
        <w:t xml:space="preserve">earning </w:t>
      </w:r>
      <w:r w:rsidR="00C02650">
        <w:rPr>
          <w:rFonts w:cs="Arial"/>
          <w:color w:val="000000"/>
          <w:szCs w:val="24"/>
        </w:rPr>
        <w:t xml:space="preserve">gained from </w:t>
      </w:r>
      <w:r w:rsidR="00896BCE">
        <w:rPr>
          <w:rFonts w:cs="Arial"/>
          <w:color w:val="000000"/>
          <w:szCs w:val="24"/>
        </w:rPr>
        <w:t xml:space="preserve">public equity mandates </w:t>
      </w:r>
      <w:r w:rsidR="00C8146C">
        <w:rPr>
          <w:rFonts w:cs="Arial"/>
          <w:color w:val="000000"/>
          <w:szCs w:val="24"/>
        </w:rPr>
        <w:t xml:space="preserve">will </w:t>
      </w:r>
      <w:r w:rsidR="003E6DB5">
        <w:rPr>
          <w:rFonts w:cs="Arial"/>
          <w:color w:val="000000"/>
          <w:szCs w:val="24"/>
        </w:rPr>
        <w:t xml:space="preserve">help to </w:t>
      </w:r>
      <w:r w:rsidR="00C8146C">
        <w:rPr>
          <w:rFonts w:cs="Arial"/>
          <w:color w:val="000000"/>
          <w:szCs w:val="24"/>
        </w:rPr>
        <w:t xml:space="preserve">inform thoughts about </w:t>
      </w:r>
      <w:r w:rsidR="004201CD">
        <w:rPr>
          <w:rFonts w:cs="Arial"/>
          <w:color w:val="000000"/>
          <w:szCs w:val="24"/>
        </w:rPr>
        <w:t xml:space="preserve">the portability </w:t>
      </w:r>
      <w:r w:rsidR="00F10E53">
        <w:rPr>
          <w:rFonts w:cs="Arial"/>
          <w:color w:val="000000"/>
          <w:szCs w:val="24"/>
        </w:rPr>
        <w:t>of best practice</w:t>
      </w:r>
      <w:r w:rsidR="00A374B2">
        <w:rPr>
          <w:rFonts w:cs="Arial"/>
          <w:color w:val="000000"/>
          <w:szCs w:val="24"/>
        </w:rPr>
        <w:t xml:space="preserve"> </w:t>
      </w:r>
      <w:r w:rsidR="004201CD">
        <w:rPr>
          <w:rFonts w:cs="Arial"/>
          <w:color w:val="000000"/>
          <w:szCs w:val="24"/>
        </w:rPr>
        <w:t>to other asset classes</w:t>
      </w:r>
      <w:r w:rsidR="00792FD0">
        <w:rPr>
          <w:rFonts w:cs="Arial"/>
          <w:color w:val="000000"/>
          <w:szCs w:val="24"/>
        </w:rPr>
        <w:t>.</w:t>
      </w:r>
      <w:r w:rsidR="00C8146C">
        <w:rPr>
          <w:rFonts w:cs="Arial"/>
          <w:color w:val="000000"/>
          <w:szCs w:val="24"/>
        </w:rPr>
        <w:t xml:space="preserve"> </w:t>
      </w:r>
      <w:r w:rsidR="00C02650">
        <w:rPr>
          <w:rFonts w:cs="Arial"/>
          <w:color w:val="000000"/>
          <w:szCs w:val="24"/>
        </w:rPr>
        <w:t xml:space="preserve"> </w:t>
      </w:r>
      <w:r w:rsidR="00473299">
        <w:rPr>
          <w:rFonts w:cs="Arial"/>
          <w:color w:val="000000"/>
          <w:szCs w:val="24"/>
        </w:rPr>
        <w:t xml:space="preserve"> </w:t>
      </w:r>
    </w:p>
    <w:p w14:paraId="18D6C45D" w14:textId="77777777" w:rsidR="00473299" w:rsidRDefault="00473299" w:rsidP="00ED4B33">
      <w:pPr>
        <w:autoSpaceDE w:val="0"/>
        <w:autoSpaceDN w:val="0"/>
        <w:adjustRightInd w:val="0"/>
        <w:jc w:val="both"/>
        <w:rPr>
          <w:rFonts w:cs="Arial"/>
          <w:color w:val="000000"/>
          <w:szCs w:val="24"/>
        </w:rPr>
      </w:pPr>
    </w:p>
    <w:p w14:paraId="04DEC8D8" w14:textId="52DF69BB" w:rsidR="008E13AE" w:rsidRDefault="003E6DB5" w:rsidP="00ED4B33">
      <w:pPr>
        <w:autoSpaceDE w:val="0"/>
        <w:autoSpaceDN w:val="0"/>
        <w:adjustRightInd w:val="0"/>
        <w:jc w:val="both"/>
        <w:rPr>
          <w:rFonts w:cs="Arial"/>
          <w:color w:val="000000"/>
          <w:szCs w:val="24"/>
        </w:rPr>
      </w:pPr>
      <w:r>
        <w:rPr>
          <w:rFonts w:cs="Arial"/>
          <w:color w:val="000000"/>
          <w:szCs w:val="24"/>
        </w:rPr>
        <w:t>T</w:t>
      </w:r>
      <w:r w:rsidR="00F65EA3">
        <w:rPr>
          <w:rFonts w:cs="Arial"/>
          <w:color w:val="000000"/>
          <w:szCs w:val="24"/>
        </w:rPr>
        <w:t>he</w:t>
      </w:r>
      <w:r w:rsidR="000A780C">
        <w:rPr>
          <w:rFonts w:cs="Arial"/>
          <w:color w:val="000000"/>
          <w:szCs w:val="24"/>
        </w:rPr>
        <w:t xml:space="preserve">re are </w:t>
      </w:r>
      <w:r w:rsidR="008E13AE">
        <w:rPr>
          <w:rFonts w:cs="Arial"/>
          <w:color w:val="000000"/>
          <w:szCs w:val="24"/>
        </w:rPr>
        <w:t xml:space="preserve">some </w:t>
      </w:r>
      <w:r w:rsidR="00F65EA3">
        <w:rPr>
          <w:rFonts w:cs="Arial"/>
          <w:color w:val="000000"/>
          <w:szCs w:val="24"/>
        </w:rPr>
        <w:t>key questions</w:t>
      </w:r>
      <w:r w:rsidR="008E13AE">
        <w:rPr>
          <w:rFonts w:cs="Arial"/>
          <w:color w:val="000000"/>
          <w:szCs w:val="24"/>
        </w:rPr>
        <w:t xml:space="preserve"> to be addressed </w:t>
      </w:r>
      <w:r w:rsidR="004F05E4">
        <w:rPr>
          <w:rFonts w:cs="Arial"/>
          <w:color w:val="000000"/>
          <w:szCs w:val="24"/>
        </w:rPr>
        <w:t>in developing</w:t>
      </w:r>
      <w:r w:rsidR="00B26A2F">
        <w:rPr>
          <w:rFonts w:cs="Arial"/>
          <w:color w:val="000000"/>
          <w:szCs w:val="24"/>
        </w:rPr>
        <w:t xml:space="preserve"> </w:t>
      </w:r>
      <w:r>
        <w:rPr>
          <w:rFonts w:cs="Arial"/>
          <w:color w:val="000000"/>
          <w:szCs w:val="24"/>
        </w:rPr>
        <w:t xml:space="preserve">ESG integration as part of the Fund's approach </w:t>
      </w:r>
      <w:r w:rsidR="004F05E4">
        <w:rPr>
          <w:rFonts w:cs="Arial"/>
          <w:color w:val="000000"/>
          <w:szCs w:val="24"/>
        </w:rPr>
        <w:t xml:space="preserve">to </w:t>
      </w:r>
      <w:r w:rsidR="008E13AE">
        <w:rPr>
          <w:rFonts w:cs="Arial"/>
          <w:color w:val="000000"/>
          <w:szCs w:val="24"/>
        </w:rPr>
        <w:t>RI</w:t>
      </w:r>
      <w:r w:rsidR="008B3795">
        <w:rPr>
          <w:rFonts w:cs="Arial"/>
          <w:color w:val="000000"/>
          <w:szCs w:val="24"/>
        </w:rPr>
        <w:t xml:space="preserve"> </w:t>
      </w:r>
      <w:r w:rsidR="000A780C">
        <w:rPr>
          <w:rFonts w:cs="Arial"/>
          <w:color w:val="000000"/>
          <w:szCs w:val="24"/>
        </w:rPr>
        <w:t>including</w:t>
      </w:r>
      <w:r w:rsidR="00A374B2">
        <w:rPr>
          <w:rFonts w:cs="Arial"/>
          <w:color w:val="000000"/>
          <w:szCs w:val="24"/>
        </w:rPr>
        <w:t xml:space="preserve"> </w:t>
      </w:r>
      <w:r w:rsidR="004F05E4">
        <w:rPr>
          <w:rFonts w:cs="Arial"/>
          <w:color w:val="000000"/>
          <w:szCs w:val="24"/>
        </w:rPr>
        <w:t xml:space="preserve">practical </w:t>
      </w:r>
      <w:r w:rsidR="000A780C">
        <w:rPr>
          <w:rFonts w:cs="Arial"/>
          <w:color w:val="000000"/>
          <w:szCs w:val="24"/>
        </w:rPr>
        <w:t>challenges</w:t>
      </w:r>
      <w:r w:rsidR="00403379">
        <w:rPr>
          <w:rFonts w:cs="Arial"/>
          <w:color w:val="000000"/>
          <w:szCs w:val="24"/>
        </w:rPr>
        <w:t xml:space="preserve"> </w:t>
      </w:r>
      <w:r w:rsidR="00CE455B">
        <w:rPr>
          <w:rFonts w:cs="Arial"/>
          <w:color w:val="000000"/>
          <w:szCs w:val="24"/>
        </w:rPr>
        <w:t>associated with translating</w:t>
      </w:r>
      <w:r w:rsidR="004F05E4">
        <w:rPr>
          <w:rFonts w:cs="Arial"/>
          <w:color w:val="000000"/>
          <w:szCs w:val="24"/>
        </w:rPr>
        <w:t xml:space="preserve"> the</w:t>
      </w:r>
      <w:r w:rsidR="008E13AE">
        <w:rPr>
          <w:rFonts w:cs="Arial"/>
          <w:color w:val="000000"/>
          <w:szCs w:val="24"/>
        </w:rPr>
        <w:t xml:space="preserve"> priorities identified by the Member Working Group on RI into operational practice</w:t>
      </w:r>
      <w:r w:rsidR="004F05E4">
        <w:rPr>
          <w:rFonts w:cs="Arial"/>
          <w:color w:val="000000"/>
          <w:szCs w:val="24"/>
        </w:rPr>
        <w:t xml:space="preserve">s </w:t>
      </w:r>
      <w:r w:rsidR="00403379">
        <w:rPr>
          <w:rFonts w:cs="Arial"/>
          <w:color w:val="000000"/>
          <w:szCs w:val="24"/>
        </w:rPr>
        <w:t xml:space="preserve">which </w:t>
      </w:r>
      <w:r w:rsidR="004F05E4">
        <w:rPr>
          <w:rFonts w:cs="Arial"/>
          <w:color w:val="000000"/>
          <w:szCs w:val="24"/>
        </w:rPr>
        <w:t>are</w:t>
      </w:r>
      <w:r w:rsidR="00403379">
        <w:rPr>
          <w:rFonts w:cs="Arial"/>
          <w:color w:val="000000"/>
          <w:szCs w:val="24"/>
        </w:rPr>
        <w:t xml:space="preserve"> </w:t>
      </w:r>
      <w:r w:rsidR="0045063B">
        <w:rPr>
          <w:rFonts w:cs="Arial"/>
          <w:color w:val="000000"/>
          <w:szCs w:val="24"/>
        </w:rPr>
        <w:t xml:space="preserve">achievable, relevant, </w:t>
      </w:r>
      <w:r w:rsidR="004F05E4">
        <w:rPr>
          <w:rFonts w:cs="Arial"/>
          <w:color w:val="000000"/>
          <w:szCs w:val="24"/>
        </w:rPr>
        <w:t>add</w:t>
      </w:r>
      <w:r w:rsidR="00403379">
        <w:rPr>
          <w:rFonts w:cs="Arial"/>
          <w:color w:val="000000"/>
          <w:szCs w:val="24"/>
        </w:rPr>
        <w:t xml:space="preserve"> value </w:t>
      </w:r>
      <w:r w:rsidR="0045063B">
        <w:rPr>
          <w:rFonts w:cs="Arial"/>
          <w:color w:val="000000"/>
          <w:szCs w:val="24"/>
        </w:rPr>
        <w:t xml:space="preserve">and </w:t>
      </w:r>
      <w:r w:rsidR="004F05E4">
        <w:rPr>
          <w:rFonts w:cs="Arial"/>
          <w:color w:val="000000"/>
          <w:szCs w:val="24"/>
        </w:rPr>
        <w:t xml:space="preserve">will </w:t>
      </w:r>
      <w:r w:rsidR="0045063B">
        <w:rPr>
          <w:rFonts w:cs="Arial"/>
          <w:color w:val="000000"/>
          <w:szCs w:val="24"/>
        </w:rPr>
        <w:t>continue to be applicable</w:t>
      </w:r>
      <w:r w:rsidR="00A374B2">
        <w:rPr>
          <w:rFonts w:cs="Arial"/>
          <w:color w:val="000000"/>
          <w:szCs w:val="24"/>
        </w:rPr>
        <w:t xml:space="preserve"> </w:t>
      </w:r>
      <w:r w:rsidR="001153A7">
        <w:rPr>
          <w:rFonts w:cs="Arial"/>
          <w:color w:val="000000"/>
          <w:szCs w:val="24"/>
        </w:rPr>
        <w:t xml:space="preserve">given the </w:t>
      </w:r>
      <w:r w:rsidR="000A780C">
        <w:rPr>
          <w:rFonts w:cs="Arial"/>
          <w:color w:val="000000"/>
          <w:szCs w:val="24"/>
        </w:rPr>
        <w:t xml:space="preserve">changes </w:t>
      </w:r>
      <w:r w:rsidR="001153A7">
        <w:rPr>
          <w:rFonts w:cs="Arial"/>
          <w:color w:val="000000"/>
          <w:szCs w:val="24"/>
        </w:rPr>
        <w:t xml:space="preserve">potentially </w:t>
      </w:r>
      <w:r w:rsidR="000A780C">
        <w:rPr>
          <w:rFonts w:cs="Arial"/>
          <w:color w:val="000000"/>
          <w:szCs w:val="24"/>
        </w:rPr>
        <w:t>associated with the</w:t>
      </w:r>
      <w:r w:rsidR="00FF3A06">
        <w:rPr>
          <w:rFonts w:cs="Arial"/>
          <w:color w:val="000000"/>
          <w:szCs w:val="24"/>
        </w:rPr>
        <w:t xml:space="preserve"> </w:t>
      </w:r>
      <w:r w:rsidR="0045063B">
        <w:rPr>
          <w:rFonts w:cs="Arial"/>
          <w:color w:val="000000"/>
          <w:szCs w:val="24"/>
        </w:rPr>
        <w:t xml:space="preserve">Lancashire London Pensions Partnership. </w:t>
      </w:r>
    </w:p>
    <w:p w14:paraId="43822CC7" w14:textId="6A71AE45" w:rsidR="00192A12" w:rsidRPr="00AC3F3D" w:rsidRDefault="008E13AE" w:rsidP="00AC3F3D">
      <w:pPr>
        <w:autoSpaceDE w:val="0"/>
        <w:autoSpaceDN w:val="0"/>
        <w:adjustRightInd w:val="0"/>
        <w:rPr>
          <w:rFonts w:cs="Arial"/>
          <w:color w:val="000000"/>
          <w:szCs w:val="24"/>
        </w:rPr>
      </w:pPr>
      <w:r>
        <w:rPr>
          <w:rFonts w:cs="Arial"/>
          <w:color w:val="000000"/>
          <w:szCs w:val="24"/>
        </w:rPr>
        <w:t xml:space="preserve"> </w:t>
      </w:r>
    </w:p>
    <w:p w14:paraId="75A7D949" w14:textId="77777777" w:rsidR="00161169" w:rsidRDefault="00161169" w:rsidP="005A27AA">
      <w:pPr>
        <w:rPr>
          <w:b/>
          <w:szCs w:val="24"/>
        </w:rPr>
      </w:pPr>
    </w:p>
    <w:p w14:paraId="73FC9685" w14:textId="77777777" w:rsidR="0016562E" w:rsidRPr="003C386D" w:rsidRDefault="00655108" w:rsidP="005A27AA">
      <w:pPr>
        <w:rPr>
          <w:b/>
          <w:szCs w:val="24"/>
        </w:rPr>
      </w:pPr>
      <w:r w:rsidRPr="003C386D">
        <w:rPr>
          <w:b/>
          <w:szCs w:val="24"/>
        </w:rPr>
        <w:t>Other developments</w:t>
      </w:r>
    </w:p>
    <w:p w14:paraId="3C27706A" w14:textId="77777777" w:rsidR="001501EC" w:rsidRPr="003C386D" w:rsidRDefault="001501EC" w:rsidP="001501EC">
      <w:pPr>
        <w:rPr>
          <w:szCs w:val="24"/>
        </w:rPr>
      </w:pPr>
    </w:p>
    <w:p w14:paraId="395F11C1" w14:textId="00AFF06B" w:rsidR="0045063B" w:rsidRPr="003C386D" w:rsidRDefault="0045063B" w:rsidP="001501EC">
      <w:pPr>
        <w:rPr>
          <w:szCs w:val="24"/>
        </w:rPr>
      </w:pPr>
      <w:r w:rsidRPr="003C386D">
        <w:rPr>
          <w:szCs w:val="24"/>
        </w:rPr>
        <w:t xml:space="preserve">Other notable developments within the RI </w:t>
      </w:r>
      <w:r w:rsidR="00A87AFB" w:rsidRPr="003C386D">
        <w:rPr>
          <w:szCs w:val="24"/>
        </w:rPr>
        <w:t>work stream</w:t>
      </w:r>
      <w:r w:rsidRPr="003C386D">
        <w:rPr>
          <w:szCs w:val="24"/>
        </w:rPr>
        <w:t xml:space="preserve"> </w:t>
      </w:r>
      <w:r w:rsidR="00E04285">
        <w:rPr>
          <w:szCs w:val="24"/>
        </w:rPr>
        <w:t xml:space="preserve">this quarter </w:t>
      </w:r>
      <w:r w:rsidRPr="003C386D">
        <w:rPr>
          <w:szCs w:val="24"/>
        </w:rPr>
        <w:t>include</w:t>
      </w:r>
      <w:r w:rsidR="00BF39FB">
        <w:rPr>
          <w:szCs w:val="24"/>
        </w:rPr>
        <w:t>:</w:t>
      </w:r>
      <w:r w:rsidRPr="003C386D">
        <w:rPr>
          <w:szCs w:val="24"/>
        </w:rPr>
        <w:t xml:space="preserve"> </w:t>
      </w:r>
    </w:p>
    <w:p w14:paraId="15437E08" w14:textId="77777777" w:rsidR="0045063B" w:rsidRPr="003C386D" w:rsidRDefault="0045063B" w:rsidP="001501EC">
      <w:pPr>
        <w:rPr>
          <w:szCs w:val="24"/>
        </w:rPr>
      </w:pPr>
    </w:p>
    <w:p w14:paraId="50107556" w14:textId="0B5DAE97" w:rsidR="001501EC" w:rsidRPr="00895E2E" w:rsidRDefault="0045063B" w:rsidP="00BF39FB">
      <w:pPr>
        <w:pStyle w:val="ListParagraph"/>
        <w:numPr>
          <w:ilvl w:val="0"/>
          <w:numId w:val="20"/>
        </w:numPr>
        <w:ind w:hanging="720"/>
        <w:jc w:val="both"/>
        <w:rPr>
          <w:b/>
          <w:szCs w:val="24"/>
        </w:rPr>
      </w:pPr>
      <w:r w:rsidRPr="00895E2E">
        <w:rPr>
          <w:b/>
          <w:szCs w:val="24"/>
        </w:rPr>
        <w:t>P</w:t>
      </w:r>
      <w:r w:rsidR="001501EC" w:rsidRPr="00895E2E">
        <w:rPr>
          <w:b/>
          <w:szCs w:val="24"/>
        </w:rPr>
        <w:t xml:space="preserve">articipation in the development of an LGPS procurement framework for ESG Services </w:t>
      </w:r>
    </w:p>
    <w:p w14:paraId="710D9CE0" w14:textId="78A6E2E7" w:rsidR="0012123B" w:rsidRPr="00FF3A06" w:rsidRDefault="00F11860" w:rsidP="00BF39FB">
      <w:pPr>
        <w:ind w:left="720"/>
        <w:jc w:val="both"/>
        <w:rPr>
          <w:rFonts w:cs="Arial"/>
          <w:szCs w:val="24"/>
        </w:rPr>
      </w:pPr>
      <w:r w:rsidRPr="003C386D">
        <w:rPr>
          <w:rFonts w:cs="Arial"/>
          <w:szCs w:val="24"/>
        </w:rPr>
        <w:t>As a joint venture with the London Pension</w:t>
      </w:r>
      <w:r w:rsidR="00BF39FB">
        <w:rPr>
          <w:rFonts w:cs="Arial"/>
          <w:szCs w:val="24"/>
        </w:rPr>
        <w:t>s</w:t>
      </w:r>
      <w:r w:rsidRPr="003C386D">
        <w:rPr>
          <w:rFonts w:cs="Arial"/>
          <w:szCs w:val="24"/>
        </w:rPr>
        <w:t xml:space="preserve"> Fund Authority (LPFA) the Fund has agreed to be a Founding Authority in the development of an LGPS procurement framework for the provision</w:t>
      </w:r>
      <w:r w:rsidR="00012006" w:rsidRPr="003C386D">
        <w:rPr>
          <w:rFonts w:cs="Arial"/>
          <w:szCs w:val="24"/>
        </w:rPr>
        <w:t xml:space="preserve"> </w:t>
      </w:r>
      <w:r w:rsidRPr="003C386D">
        <w:rPr>
          <w:rFonts w:cs="Arial"/>
          <w:szCs w:val="24"/>
        </w:rPr>
        <w:t xml:space="preserve">of ESG Services.  </w:t>
      </w:r>
      <w:r w:rsidR="0012123B" w:rsidRPr="003C386D">
        <w:rPr>
          <w:rFonts w:cs="Arial"/>
          <w:szCs w:val="24"/>
          <w:lang w:val="en"/>
        </w:rPr>
        <w:t xml:space="preserve">A procurement framework is an agreement with a range of </w:t>
      </w:r>
      <w:r w:rsidR="00AC3F3D">
        <w:rPr>
          <w:rFonts w:cs="Arial"/>
          <w:szCs w:val="24"/>
          <w:lang w:val="en"/>
        </w:rPr>
        <w:t xml:space="preserve">preferred </w:t>
      </w:r>
      <w:r w:rsidR="0012123B" w:rsidRPr="003C386D">
        <w:rPr>
          <w:rFonts w:cs="Arial"/>
          <w:szCs w:val="24"/>
          <w:lang w:val="en"/>
        </w:rPr>
        <w:t xml:space="preserve">providers which enables buyers (LGPS Funds) to call off services when required without running lengthy full tendering exercises. </w:t>
      </w:r>
    </w:p>
    <w:p w14:paraId="05ECA9E5" w14:textId="77777777" w:rsidR="00FF3A06" w:rsidRDefault="0012123B" w:rsidP="00BF39FB">
      <w:pPr>
        <w:ind w:left="720"/>
        <w:jc w:val="both"/>
        <w:rPr>
          <w:rFonts w:cs="Arial"/>
          <w:szCs w:val="24"/>
          <w:lang w:val="en"/>
        </w:rPr>
      </w:pPr>
      <w:r w:rsidRPr="003C386D">
        <w:rPr>
          <w:rFonts w:cs="Arial"/>
          <w:szCs w:val="24"/>
          <w:lang w:val="en"/>
        </w:rPr>
        <w:t xml:space="preserve">4 </w:t>
      </w:r>
      <w:r w:rsidR="00AC3F3D">
        <w:rPr>
          <w:rFonts w:cs="Arial"/>
          <w:szCs w:val="24"/>
          <w:lang w:val="en"/>
        </w:rPr>
        <w:t xml:space="preserve">LGPS </w:t>
      </w:r>
      <w:r w:rsidRPr="003C386D">
        <w:rPr>
          <w:rFonts w:cs="Arial"/>
          <w:szCs w:val="24"/>
          <w:lang w:val="en"/>
        </w:rPr>
        <w:t xml:space="preserve">frameworks are already in place (Legal Services, Actuarial and Benefit Consultancy, Global Custody Services, Investment Consultancy) and the addition of an ESG services framework will enable Funds to access services </w:t>
      </w:r>
      <w:r w:rsidR="00AC3F3D">
        <w:rPr>
          <w:rFonts w:cs="Arial"/>
          <w:szCs w:val="24"/>
          <w:lang w:val="en"/>
        </w:rPr>
        <w:t>from suppliers of</w:t>
      </w:r>
      <w:r w:rsidR="001618C8" w:rsidRPr="003C386D">
        <w:rPr>
          <w:rFonts w:cs="Arial"/>
          <w:szCs w:val="24"/>
          <w:lang w:val="en"/>
        </w:rPr>
        <w:t xml:space="preserve"> proxy </w:t>
      </w:r>
      <w:r w:rsidR="00AC3F3D">
        <w:rPr>
          <w:rFonts w:cs="Arial"/>
          <w:szCs w:val="24"/>
          <w:lang w:val="en"/>
        </w:rPr>
        <w:t>voting, engagement and research</w:t>
      </w:r>
      <w:r w:rsidR="001618C8" w:rsidRPr="003C386D">
        <w:rPr>
          <w:rFonts w:cs="Arial"/>
          <w:szCs w:val="24"/>
          <w:lang w:val="en"/>
        </w:rPr>
        <w:t xml:space="preserve"> which </w:t>
      </w:r>
      <w:r w:rsidR="00AC3F3D">
        <w:rPr>
          <w:rFonts w:cs="Arial"/>
          <w:szCs w:val="24"/>
          <w:lang w:val="en"/>
        </w:rPr>
        <w:t xml:space="preserve">directly support </w:t>
      </w:r>
      <w:r w:rsidRPr="003C386D">
        <w:rPr>
          <w:rFonts w:cs="Arial"/>
          <w:szCs w:val="24"/>
          <w:lang w:val="en"/>
        </w:rPr>
        <w:t xml:space="preserve">Responsible Investment. </w:t>
      </w:r>
    </w:p>
    <w:p w14:paraId="2272547D" w14:textId="633E75A7" w:rsidR="0016562E" w:rsidRPr="003C386D" w:rsidRDefault="0012123B" w:rsidP="00BF39FB">
      <w:pPr>
        <w:spacing w:after="240"/>
        <w:ind w:left="720"/>
        <w:jc w:val="both"/>
        <w:rPr>
          <w:rFonts w:cs="Arial"/>
          <w:szCs w:val="24"/>
        </w:rPr>
      </w:pPr>
      <w:r w:rsidRPr="003C386D">
        <w:rPr>
          <w:rFonts w:cs="Arial"/>
          <w:szCs w:val="24"/>
          <w:lang w:val="en"/>
        </w:rPr>
        <w:t xml:space="preserve">It is anticipated that the learning achieved through supporting the development of the framework will be of significant benefit in the development of an RI Policy and will </w:t>
      </w:r>
      <w:r w:rsidR="00AC3F3D">
        <w:rPr>
          <w:rFonts w:cs="Arial"/>
          <w:szCs w:val="24"/>
          <w:lang w:val="en"/>
        </w:rPr>
        <w:t xml:space="preserve">enable </w:t>
      </w:r>
      <w:r w:rsidRPr="003C386D">
        <w:rPr>
          <w:rFonts w:cs="Arial"/>
          <w:szCs w:val="24"/>
          <w:lang w:val="en"/>
        </w:rPr>
        <w:t xml:space="preserve">LCPF to make connections and share insights with Funds at a more advanced stage of RI development/implementation. </w:t>
      </w:r>
    </w:p>
    <w:p w14:paraId="34EC8CCB" w14:textId="77777777" w:rsidR="001618C8" w:rsidRPr="003043AB" w:rsidRDefault="00012006" w:rsidP="00AB5562">
      <w:pPr>
        <w:pStyle w:val="ListParagraph"/>
        <w:numPr>
          <w:ilvl w:val="0"/>
          <w:numId w:val="20"/>
        </w:numPr>
        <w:ind w:hanging="720"/>
        <w:rPr>
          <w:b/>
          <w:szCs w:val="24"/>
        </w:rPr>
      </w:pPr>
      <w:r w:rsidRPr="00895E2E">
        <w:rPr>
          <w:b/>
          <w:szCs w:val="24"/>
        </w:rPr>
        <w:t>S</w:t>
      </w:r>
      <w:r w:rsidR="0045063B" w:rsidRPr="00895E2E">
        <w:rPr>
          <w:b/>
          <w:szCs w:val="24"/>
        </w:rPr>
        <w:t xml:space="preserve">upport for the development of a </w:t>
      </w:r>
      <w:r w:rsidR="001618C8" w:rsidRPr="00895E2E">
        <w:rPr>
          <w:b/>
          <w:szCs w:val="24"/>
        </w:rPr>
        <w:t xml:space="preserve">Responsible Investment e-Learning Course </w:t>
      </w:r>
    </w:p>
    <w:p w14:paraId="1D528FFF" w14:textId="2F1E62C9" w:rsidR="0045063B" w:rsidRPr="003C386D" w:rsidRDefault="00012006" w:rsidP="00BF39FB">
      <w:pPr>
        <w:pStyle w:val="ListParagraph"/>
        <w:jc w:val="both"/>
        <w:rPr>
          <w:szCs w:val="24"/>
        </w:rPr>
      </w:pPr>
      <w:r w:rsidRPr="003C386D">
        <w:rPr>
          <w:szCs w:val="24"/>
        </w:rPr>
        <w:t xml:space="preserve">As a joint venture with </w:t>
      </w:r>
      <w:r w:rsidR="001618C8" w:rsidRPr="003C386D">
        <w:rPr>
          <w:szCs w:val="24"/>
        </w:rPr>
        <w:t xml:space="preserve">LPFA, </w:t>
      </w:r>
      <w:r w:rsidRPr="003C386D">
        <w:rPr>
          <w:szCs w:val="24"/>
        </w:rPr>
        <w:t xml:space="preserve">the Fund has agreed to support the development </w:t>
      </w:r>
      <w:r w:rsidR="001618C8" w:rsidRPr="003C386D">
        <w:rPr>
          <w:szCs w:val="24"/>
        </w:rPr>
        <w:t xml:space="preserve">(by the British Private Equity and Venture Capital Association) </w:t>
      </w:r>
      <w:r w:rsidRPr="003C386D">
        <w:rPr>
          <w:szCs w:val="24"/>
        </w:rPr>
        <w:t xml:space="preserve">of </w:t>
      </w:r>
      <w:r w:rsidR="001618C8" w:rsidRPr="003C386D">
        <w:rPr>
          <w:szCs w:val="24"/>
        </w:rPr>
        <w:t xml:space="preserve">a Responsible Investment e-Learning Course. </w:t>
      </w:r>
    </w:p>
    <w:p w14:paraId="036ADD6B" w14:textId="759B93DF" w:rsidR="0045063B" w:rsidRDefault="001618C8" w:rsidP="00BF39FB">
      <w:pPr>
        <w:pStyle w:val="ListParagraph"/>
        <w:spacing w:after="240"/>
        <w:jc w:val="both"/>
        <w:rPr>
          <w:color w:val="000000"/>
          <w:szCs w:val="24"/>
        </w:rPr>
      </w:pPr>
      <w:r w:rsidRPr="003C386D">
        <w:rPr>
          <w:color w:val="000000"/>
          <w:szCs w:val="24"/>
        </w:rPr>
        <w:t xml:space="preserve">There are currently no on-line training products </w:t>
      </w:r>
      <w:r w:rsidR="00AC3F3D">
        <w:rPr>
          <w:color w:val="000000"/>
          <w:szCs w:val="24"/>
        </w:rPr>
        <w:t>support</w:t>
      </w:r>
      <w:r w:rsidR="005F0457">
        <w:rPr>
          <w:color w:val="000000"/>
          <w:szCs w:val="24"/>
        </w:rPr>
        <w:t>ing</w:t>
      </w:r>
      <w:r w:rsidR="00086DA8" w:rsidRPr="003C386D">
        <w:rPr>
          <w:color w:val="000000"/>
          <w:szCs w:val="24"/>
        </w:rPr>
        <w:t xml:space="preserve"> the implementation of</w:t>
      </w:r>
      <w:r w:rsidRPr="003C386D">
        <w:rPr>
          <w:color w:val="000000"/>
          <w:szCs w:val="24"/>
        </w:rPr>
        <w:t xml:space="preserve"> RI/ESG </w:t>
      </w:r>
      <w:r w:rsidR="00086DA8" w:rsidRPr="003C386D">
        <w:rPr>
          <w:color w:val="000000"/>
          <w:szCs w:val="24"/>
        </w:rPr>
        <w:t xml:space="preserve">within </w:t>
      </w:r>
      <w:r w:rsidRPr="003C386D">
        <w:rPr>
          <w:color w:val="000000"/>
          <w:szCs w:val="24"/>
        </w:rPr>
        <w:t>Private Equity</w:t>
      </w:r>
      <w:r w:rsidR="00086DA8" w:rsidRPr="003C386D">
        <w:rPr>
          <w:color w:val="000000"/>
          <w:szCs w:val="24"/>
        </w:rPr>
        <w:t xml:space="preserve">. </w:t>
      </w:r>
      <w:r w:rsidRPr="003C386D">
        <w:rPr>
          <w:color w:val="000000"/>
          <w:szCs w:val="24"/>
        </w:rPr>
        <w:t>BVCA is well placed to develop the content needed</w:t>
      </w:r>
      <w:r w:rsidR="00086DA8" w:rsidRPr="003C386D">
        <w:rPr>
          <w:color w:val="000000"/>
          <w:szCs w:val="24"/>
        </w:rPr>
        <w:t xml:space="preserve"> and a</w:t>
      </w:r>
      <w:r w:rsidRPr="003C386D">
        <w:rPr>
          <w:color w:val="000000"/>
          <w:szCs w:val="24"/>
        </w:rPr>
        <w:t>s Founding Member</w:t>
      </w:r>
      <w:r w:rsidR="00BB1791">
        <w:rPr>
          <w:color w:val="000000"/>
          <w:szCs w:val="24"/>
        </w:rPr>
        <w:t>s</w:t>
      </w:r>
      <w:r w:rsidR="00FF3A06">
        <w:rPr>
          <w:color w:val="000000"/>
          <w:szCs w:val="24"/>
        </w:rPr>
        <w:t xml:space="preserve"> </w:t>
      </w:r>
      <w:r w:rsidR="0014213D">
        <w:rPr>
          <w:color w:val="000000"/>
          <w:szCs w:val="24"/>
        </w:rPr>
        <w:t>(Joint one-off funding contribution £2</w:t>
      </w:r>
      <w:r w:rsidR="00BF39FB">
        <w:rPr>
          <w:color w:val="000000"/>
          <w:szCs w:val="24"/>
        </w:rPr>
        <w:t>,000</w:t>
      </w:r>
      <w:r w:rsidR="0014213D">
        <w:rPr>
          <w:color w:val="000000"/>
          <w:szCs w:val="24"/>
        </w:rPr>
        <w:t xml:space="preserve">) </w:t>
      </w:r>
      <w:r w:rsidRPr="003C386D">
        <w:rPr>
          <w:color w:val="000000"/>
          <w:szCs w:val="24"/>
        </w:rPr>
        <w:t xml:space="preserve">LCPF and LPFA will </w:t>
      </w:r>
      <w:r w:rsidR="00086DA8" w:rsidRPr="003C386D">
        <w:rPr>
          <w:color w:val="000000"/>
          <w:szCs w:val="24"/>
        </w:rPr>
        <w:t xml:space="preserve">receive a group license to use </w:t>
      </w:r>
      <w:r w:rsidRPr="003C386D">
        <w:rPr>
          <w:color w:val="000000"/>
          <w:szCs w:val="24"/>
        </w:rPr>
        <w:t>the</w:t>
      </w:r>
      <w:r w:rsidR="00086DA8" w:rsidRPr="003C386D">
        <w:rPr>
          <w:color w:val="000000"/>
          <w:szCs w:val="24"/>
        </w:rPr>
        <w:t xml:space="preserve"> resulting platform</w:t>
      </w:r>
      <w:r w:rsidR="00D20773">
        <w:rPr>
          <w:color w:val="000000"/>
          <w:szCs w:val="24"/>
        </w:rPr>
        <w:t>.</w:t>
      </w:r>
      <w:r w:rsidRPr="003C386D">
        <w:rPr>
          <w:color w:val="000000"/>
          <w:szCs w:val="24"/>
        </w:rPr>
        <w:t xml:space="preserve"> </w:t>
      </w:r>
      <w:r w:rsidR="00086DA8" w:rsidRPr="003C386D">
        <w:rPr>
          <w:color w:val="000000"/>
          <w:szCs w:val="24"/>
        </w:rPr>
        <w:t xml:space="preserve"> It is anticipated that the </w:t>
      </w:r>
      <w:r w:rsidR="00AC3F3D">
        <w:rPr>
          <w:color w:val="000000"/>
          <w:szCs w:val="24"/>
        </w:rPr>
        <w:t xml:space="preserve">on-line </w:t>
      </w:r>
      <w:r w:rsidR="00086DA8" w:rsidRPr="003C386D">
        <w:rPr>
          <w:color w:val="000000"/>
          <w:szCs w:val="24"/>
        </w:rPr>
        <w:t xml:space="preserve">course will lend itself to use by a wider complement of staff than those with interests/responsibilities in Private Equity and be of benefit to the development of the Fund's </w:t>
      </w:r>
      <w:r w:rsidR="00BB1791" w:rsidRPr="003C386D">
        <w:rPr>
          <w:color w:val="000000"/>
          <w:szCs w:val="24"/>
        </w:rPr>
        <w:t xml:space="preserve">approach </w:t>
      </w:r>
      <w:r w:rsidR="00BB1791">
        <w:rPr>
          <w:color w:val="000000"/>
          <w:szCs w:val="24"/>
        </w:rPr>
        <w:t xml:space="preserve">to </w:t>
      </w:r>
      <w:r w:rsidR="00086DA8" w:rsidRPr="003C386D">
        <w:rPr>
          <w:color w:val="000000"/>
          <w:szCs w:val="24"/>
        </w:rPr>
        <w:t xml:space="preserve">RI. </w:t>
      </w:r>
    </w:p>
    <w:p w14:paraId="32F306E5" w14:textId="305C4CF8" w:rsidR="00CE455B" w:rsidRPr="00895E2E" w:rsidRDefault="00CE455B" w:rsidP="00BF39FB">
      <w:pPr>
        <w:pStyle w:val="ListParagraph"/>
        <w:numPr>
          <w:ilvl w:val="0"/>
          <w:numId w:val="20"/>
        </w:numPr>
        <w:ind w:hanging="720"/>
        <w:jc w:val="both"/>
        <w:rPr>
          <w:b/>
          <w:color w:val="000000"/>
          <w:szCs w:val="24"/>
        </w:rPr>
      </w:pPr>
      <w:r w:rsidRPr="00895E2E">
        <w:rPr>
          <w:b/>
          <w:color w:val="000000"/>
          <w:szCs w:val="24"/>
        </w:rPr>
        <w:t>Lancashire Fairness Commission</w:t>
      </w:r>
    </w:p>
    <w:p w14:paraId="1C22C81D" w14:textId="78E4DBC4" w:rsidR="00CE455B" w:rsidRDefault="0014213D" w:rsidP="00BF39FB">
      <w:pPr>
        <w:ind w:left="720"/>
        <w:jc w:val="both"/>
        <w:rPr>
          <w:color w:val="000000"/>
          <w:szCs w:val="24"/>
        </w:rPr>
      </w:pPr>
      <w:r>
        <w:rPr>
          <w:color w:val="000000"/>
          <w:szCs w:val="24"/>
        </w:rPr>
        <w:t xml:space="preserve">Action by </w:t>
      </w:r>
      <w:r w:rsidR="009B3CA4">
        <w:rPr>
          <w:color w:val="000000"/>
          <w:szCs w:val="24"/>
        </w:rPr>
        <w:t xml:space="preserve">LCPF has </w:t>
      </w:r>
      <w:r w:rsidR="004E4520">
        <w:rPr>
          <w:color w:val="000000"/>
          <w:szCs w:val="24"/>
        </w:rPr>
        <w:t xml:space="preserve">featured </w:t>
      </w:r>
      <w:r w:rsidR="009B3CA4">
        <w:rPr>
          <w:color w:val="000000"/>
          <w:szCs w:val="24"/>
        </w:rPr>
        <w:t>with</w:t>
      </w:r>
      <w:r w:rsidR="00DA3F34">
        <w:rPr>
          <w:color w:val="000000"/>
          <w:szCs w:val="24"/>
        </w:rPr>
        <w:t>in the</w:t>
      </w:r>
      <w:r w:rsidR="004E4520">
        <w:rPr>
          <w:color w:val="000000"/>
          <w:szCs w:val="24"/>
        </w:rPr>
        <w:t xml:space="preserve"> recommendation</w:t>
      </w:r>
      <w:r w:rsidR="00DA3F34">
        <w:rPr>
          <w:color w:val="000000"/>
          <w:szCs w:val="24"/>
        </w:rPr>
        <w:t>s</w:t>
      </w:r>
      <w:r w:rsidR="004E4520">
        <w:rPr>
          <w:color w:val="000000"/>
          <w:szCs w:val="24"/>
        </w:rPr>
        <w:t xml:space="preserve"> </w:t>
      </w:r>
      <w:r w:rsidR="00FF3A06">
        <w:rPr>
          <w:color w:val="000000"/>
          <w:szCs w:val="24"/>
        </w:rPr>
        <w:t>of</w:t>
      </w:r>
      <w:r w:rsidR="004E4520">
        <w:rPr>
          <w:color w:val="000000"/>
          <w:szCs w:val="24"/>
        </w:rPr>
        <w:t xml:space="preserve"> </w:t>
      </w:r>
      <w:r w:rsidR="00CE455B">
        <w:rPr>
          <w:color w:val="000000"/>
          <w:szCs w:val="24"/>
        </w:rPr>
        <w:t>the Lancashire Fairness Commission</w:t>
      </w:r>
      <w:r w:rsidR="004E4520">
        <w:rPr>
          <w:color w:val="000000"/>
          <w:szCs w:val="24"/>
        </w:rPr>
        <w:t xml:space="preserve"> in </w:t>
      </w:r>
      <w:r w:rsidR="009B3CA4">
        <w:rPr>
          <w:color w:val="000000"/>
          <w:szCs w:val="24"/>
        </w:rPr>
        <w:t>its</w:t>
      </w:r>
      <w:r w:rsidR="004E4520">
        <w:rPr>
          <w:color w:val="000000"/>
          <w:szCs w:val="24"/>
        </w:rPr>
        <w:t xml:space="preserve"> report "Fairer Lancashire Fairer Lives"</w:t>
      </w:r>
      <w:r w:rsidR="00CE455B">
        <w:rPr>
          <w:color w:val="000000"/>
          <w:szCs w:val="24"/>
        </w:rPr>
        <w:t>.</w:t>
      </w:r>
    </w:p>
    <w:p w14:paraId="699D50CD" w14:textId="1EFCC0B2" w:rsidR="00DA3F34" w:rsidRPr="00FF3A06" w:rsidRDefault="00DA3F34" w:rsidP="00BF39FB">
      <w:pPr>
        <w:ind w:left="720"/>
        <w:jc w:val="both"/>
        <w:rPr>
          <w:rFonts w:cs="Arial"/>
          <w:color w:val="000000"/>
          <w:szCs w:val="24"/>
        </w:rPr>
      </w:pPr>
      <w:r>
        <w:rPr>
          <w:rFonts w:cs="Arial"/>
          <w:color w:val="000000"/>
          <w:szCs w:val="24"/>
        </w:rPr>
        <w:t xml:space="preserve">A response </w:t>
      </w:r>
      <w:r w:rsidR="00FF3A06">
        <w:rPr>
          <w:rFonts w:cs="Arial"/>
          <w:color w:val="000000"/>
          <w:szCs w:val="24"/>
        </w:rPr>
        <w:t xml:space="preserve">to recommendation 14   </w:t>
      </w:r>
      <w:r w:rsidR="00FF3A06">
        <w:rPr>
          <w:rFonts w:cs="Arial"/>
          <w:i/>
          <w:color w:val="000000"/>
          <w:szCs w:val="24"/>
        </w:rPr>
        <w:t>"</w:t>
      </w:r>
      <w:r w:rsidR="00FF3A06" w:rsidRPr="00FF3A06">
        <w:rPr>
          <w:rFonts w:cs="Arial"/>
          <w:i/>
          <w:color w:val="000000"/>
          <w:szCs w:val="24"/>
        </w:rPr>
        <w:t>We recommend that The Lancashire County Pension Fund should be asked, within the legal constraints of its fiduciary responsibilities, to develop responsible investment within its portfolio and seek to shift a proportion of the fund to the local economy including investment in renewabl</w:t>
      </w:r>
      <w:r w:rsidR="00FF3A06">
        <w:rPr>
          <w:rFonts w:cs="Arial"/>
          <w:i/>
          <w:color w:val="000000"/>
          <w:szCs w:val="24"/>
        </w:rPr>
        <w:t>e energy and affordable housing"</w:t>
      </w:r>
      <w:r w:rsidR="00FF3A06">
        <w:rPr>
          <w:rFonts w:cs="Arial"/>
          <w:color w:val="000000"/>
          <w:szCs w:val="24"/>
        </w:rPr>
        <w:t xml:space="preserve"> </w:t>
      </w:r>
      <w:r>
        <w:rPr>
          <w:rFonts w:cs="Arial"/>
          <w:color w:val="000000"/>
          <w:szCs w:val="24"/>
        </w:rPr>
        <w:t xml:space="preserve">will be produced for inclusion in the County Council's </w:t>
      </w:r>
      <w:r w:rsidR="00E04285">
        <w:rPr>
          <w:rFonts w:cs="Arial"/>
          <w:color w:val="000000"/>
          <w:szCs w:val="24"/>
        </w:rPr>
        <w:t xml:space="preserve">formal </w:t>
      </w:r>
      <w:r>
        <w:rPr>
          <w:rFonts w:cs="Arial"/>
          <w:color w:val="000000"/>
          <w:szCs w:val="24"/>
        </w:rPr>
        <w:t>response to the</w:t>
      </w:r>
      <w:r w:rsidR="00FF3A06">
        <w:rPr>
          <w:rFonts w:cs="Arial"/>
          <w:color w:val="000000"/>
          <w:szCs w:val="24"/>
        </w:rPr>
        <w:t xml:space="preserve"> report and will confirm</w:t>
      </w:r>
      <w:r>
        <w:rPr>
          <w:rFonts w:cs="Arial"/>
          <w:color w:val="000000"/>
          <w:szCs w:val="24"/>
        </w:rPr>
        <w:t xml:space="preserve"> that the </w:t>
      </w:r>
      <w:r w:rsidR="00525FDB">
        <w:rPr>
          <w:rFonts w:cs="Arial"/>
          <w:color w:val="000000"/>
          <w:szCs w:val="24"/>
        </w:rPr>
        <w:t xml:space="preserve">Commission's </w:t>
      </w:r>
      <w:r>
        <w:rPr>
          <w:rFonts w:cs="Arial"/>
          <w:color w:val="000000"/>
          <w:szCs w:val="24"/>
        </w:rPr>
        <w:t>recommendation reflects initiatives which are already underway by the Fund.</w:t>
      </w:r>
    </w:p>
    <w:p w14:paraId="78EF8B7B" w14:textId="77777777" w:rsidR="004E4520" w:rsidRPr="004E4520" w:rsidRDefault="004E4520" w:rsidP="00BF39FB">
      <w:pPr>
        <w:autoSpaceDE w:val="0"/>
        <w:autoSpaceDN w:val="0"/>
        <w:adjustRightInd w:val="0"/>
        <w:jc w:val="both"/>
        <w:rPr>
          <w:rFonts w:ascii="Arial Narrow" w:hAnsi="Arial Narrow" w:cs="Arial Narrow"/>
          <w:color w:val="000000"/>
          <w:szCs w:val="24"/>
        </w:rPr>
      </w:pPr>
    </w:p>
    <w:p w14:paraId="088CAC69" w14:textId="77777777" w:rsidR="0045063B" w:rsidRPr="008E13AE" w:rsidRDefault="0045063B" w:rsidP="0045063B">
      <w:pPr>
        <w:rPr>
          <w:b/>
        </w:rPr>
      </w:pPr>
      <w:r w:rsidRPr="008E13AE">
        <w:rPr>
          <w:b/>
        </w:rPr>
        <w:t>Members Working Group on RI: Action Plan</w:t>
      </w:r>
    </w:p>
    <w:p w14:paraId="48C4C923" w14:textId="4D768980" w:rsidR="00661C59" w:rsidRDefault="00661C59" w:rsidP="005A27AA"/>
    <w:p w14:paraId="398EFC2C" w14:textId="30AC2B75" w:rsidR="00236CF1" w:rsidRDefault="00B27084" w:rsidP="00BF39FB">
      <w:pPr>
        <w:jc w:val="both"/>
        <w:sectPr w:rsidR="00236CF1" w:rsidSect="005F586C">
          <w:footerReference w:type="default" r:id="rId9"/>
          <w:footerReference w:type="first" r:id="rId10"/>
          <w:pgSz w:w="11907" w:h="16840" w:code="9"/>
          <w:pgMar w:top="1276" w:right="1842" w:bottom="1135" w:left="851" w:header="720" w:footer="157" w:gutter="0"/>
          <w:paperSrc w:first="7" w:other="7"/>
          <w:cols w:space="720"/>
          <w:titlePg/>
          <w:docGrid w:linePitch="326"/>
        </w:sectPr>
      </w:pPr>
      <w:r w:rsidRPr="00EC0030">
        <w:t>A</w:t>
      </w:r>
      <w:r w:rsidR="00E53A37" w:rsidRPr="00EC0030">
        <w:t xml:space="preserve">n updated version of the action plan </w:t>
      </w:r>
      <w:r w:rsidR="008E13AE">
        <w:t>from the</w:t>
      </w:r>
      <w:r w:rsidR="00EC0030" w:rsidRPr="00EC0030">
        <w:t xml:space="preserve"> Member Working G</w:t>
      </w:r>
      <w:r w:rsidRPr="00EC0030">
        <w:t>roup</w:t>
      </w:r>
      <w:r w:rsidR="00E53A37" w:rsidRPr="00EC0030">
        <w:t xml:space="preserve"> on </w:t>
      </w:r>
      <w:r w:rsidR="00F265CC">
        <w:t>RI</w:t>
      </w:r>
      <w:r w:rsidR="00E53A37" w:rsidRPr="00EC0030">
        <w:t xml:space="preserve"> is </w:t>
      </w:r>
      <w:r w:rsidR="00FA186C">
        <w:t xml:space="preserve">provided </w:t>
      </w:r>
      <w:r w:rsidR="00E53A37" w:rsidRPr="00EC0030">
        <w:t>below</w:t>
      </w:r>
      <w:r w:rsidR="008E13AE" w:rsidRPr="008E13AE">
        <w:t xml:space="preserve"> </w:t>
      </w:r>
      <w:r w:rsidR="008E13AE">
        <w:t xml:space="preserve">reflecting the </w:t>
      </w:r>
      <w:r w:rsidR="00FA186C">
        <w:t xml:space="preserve">progress achieved </w:t>
      </w:r>
      <w:r w:rsidR="00DA3F34">
        <w:t xml:space="preserve">and including </w:t>
      </w:r>
      <w:r w:rsidR="00FA186C">
        <w:t xml:space="preserve">the </w:t>
      </w:r>
      <w:r w:rsidR="008E13AE">
        <w:t xml:space="preserve">various developments detailed within this report. </w:t>
      </w:r>
    </w:p>
    <w:p w14:paraId="3D6CFF79" w14:textId="77777777" w:rsidR="0054656F" w:rsidRDefault="0054656F">
      <w:pPr>
        <w:rPr>
          <w:b/>
          <w:u w:val="single"/>
        </w:rPr>
      </w:pPr>
    </w:p>
    <w:p w14:paraId="1991967B" w14:textId="77777777" w:rsidR="0054656F" w:rsidRPr="0054656F" w:rsidRDefault="0054656F">
      <w:pPr>
        <w:rPr>
          <w:b/>
          <w:u w:val="single"/>
        </w:rPr>
      </w:pPr>
      <w:r w:rsidRPr="0054656F">
        <w:rPr>
          <w:b/>
          <w:u w:val="single"/>
        </w:rPr>
        <w:t>RI Action Plan</w:t>
      </w:r>
    </w:p>
    <w:p w14:paraId="0146B824" w14:textId="77777777" w:rsidR="0054656F" w:rsidRDefault="0054656F"/>
    <w:tbl>
      <w:tblPr>
        <w:tblStyle w:val="TableGrid"/>
        <w:tblW w:w="0" w:type="auto"/>
        <w:tblLook w:val="04A0" w:firstRow="1" w:lastRow="0" w:firstColumn="1" w:lastColumn="0" w:noHBand="0" w:noVBand="1"/>
      </w:tblPr>
      <w:tblGrid>
        <w:gridCol w:w="2293"/>
        <w:gridCol w:w="3459"/>
        <w:gridCol w:w="5696"/>
        <w:gridCol w:w="2500"/>
      </w:tblGrid>
      <w:tr w:rsidR="0054656F" w:rsidRPr="0054656F" w14:paraId="4D46773D" w14:textId="77777777" w:rsidTr="0054656F">
        <w:trPr>
          <w:trHeight w:val="841"/>
        </w:trPr>
        <w:tc>
          <w:tcPr>
            <w:tcW w:w="2293" w:type="dxa"/>
            <w:hideMark/>
          </w:tcPr>
          <w:p w14:paraId="1112ED2F" w14:textId="77777777" w:rsidR="0054656F" w:rsidRPr="0054656F" w:rsidRDefault="0054656F" w:rsidP="0054656F">
            <w:pPr>
              <w:rPr>
                <w:b/>
                <w:bCs/>
                <w:szCs w:val="24"/>
              </w:rPr>
            </w:pPr>
            <w:r w:rsidRPr="0054656F">
              <w:rPr>
                <w:b/>
                <w:bCs/>
                <w:szCs w:val="24"/>
              </w:rPr>
              <w:t>Area</w:t>
            </w:r>
          </w:p>
        </w:tc>
        <w:tc>
          <w:tcPr>
            <w:tcW w:w="3459" w:type="dxa"/>
            <w:hideMark/>
          </w:tcPr>
          <w:p w14:paraId="1E21EF15" w14:textId="77777777" w:rsidR="0054656F" w:rsidRPr="0054656F" w:rsidRDefault="0054656F" w:rsidP="0054656F">
            <w:pPr>
              <w:rPr>
                <w:b/>
                <w:bCs/>
                <w:szCs w:val="24"/>
              </w:rPr>
            </w:pPr>
            <w:r w:rsidRPr="0054656F">
              <w:rPr>
                <w:b/>
                <w:bCs/>
                <w:szCs w:val="24"/>
              </w:rPr>
              <w:t>Action</w:t>
            </w:r>
          </w:p>
        </w:tc>
        <w:tc>
          <w:tcPr>
            <w:tcW w:w="5696" w:type="dxa"/>
            <w:hideMark/>
          </w:tcPr>
          <w:p w14:paraId="16DDB0CA" w14:textId="6F1A371E" w:rsidR="0054656F" w:rsidRPr="0054656F" w:rsidRDefault="0054656F" w:rsidP="00487CCA">
            <w:pPr>
              <w:rPr>
                <w:b/>
                <w:bCs/>
                <w:szCs w:val="24"/>
              </w:rPr>
            </w:pPr>
            <w:r w:rsidRPr="0054656F">
              <w:rPr>
                <w:b/>
                <w:bCs/>
                <w:szCs w:val="24"/>
              </w:rPr>
              <w:t>Update on actions taken and in planning</w:t>
            </w:r>
            <w:r w:rsidR="00FF3A06">
              <w:rPr>
                <w:b/>
                <w:bCs/>
                <w:szCs w:val="24"/>
              </w:rPr>
              <w:t xml:space="preserve"> / progress</w:t>
            </w:r>
            <w:r w:rsidRPr="0054656F">
              <w:rPr>
                <w:b/>
                <w:bCs/>
                <w:szCs w:val="24"/>
              </w:rPr>
              <w:t xml:space="preserve"> currently</w:t>
            </w:r>
          </w:p>
        </w:tc>
        <w:tc>
          <w:tcPr>
            <w:tcW w:w="2500" w:type="dxa"/>
            <w:noWrap/>
            <w:hideMark/>
          </w:tcPr>
          <w:p w14:paraId="51D40166" w14:textId="77777777" w:rsidR="0054656F" w:rsidRPr="0054656F" w:rsidRDefault="0054656F" w:rsidP="0054656F">
            <w:pPr>
              <w:rPr>
                <w:b/>
                <w:bCs/>
                <w:szCs w:val="24"/>
              </w:rPr>
            </w:pPr>
            <w:r w:rsidRPr="0054656F">
              <w:rPr>
                <w:b/>
                <w:bCs/>
                <w:szCs w:val="24"/>
              </w:rPr>
              <w:t>Status</w:t>
            </w:r>
          </w:p>
        </w:tc>
      </w:tr>
      <w:tr w:rsidR="0054656F" w:rsidRPr="0054656F" w14:paraId="32AFD25E" w14:textId="77777777" w:rsidTr="0054656F">
        <w:trPr>
          <w:trHeight w:val="315"/>
        </w:trPr>
        <w:tc>
          <w:tcPr>
            <w:tcW w:w="13948" w:type="dxa"/>
            <w:gridSpan w:val="4"/>
            <w:hideMark/>
          </w:tcPr>
          <w:p w14:paraId="235944C4" w14:textId="77777777" w:rsidR="0054656F" w:rsidRPr="0054656F" w:rsidRDefault="0054656F" w:rsidP="0054656F">
            <w:pPr>
              <w:rPr>
                <w:b/>
                <w:bCs/>
                <w:szCs w:val="24"/>
              </w:rPr>
            </w:pPr>
            <w:r w:rsidRPr="0054656F">
              <w:rPr>
                <w:b/>
                <w:bCs/>
                <w:szCs w:val="24"/>
              </w:rPr>
              <w:t>Fiduciary Duty</w:t>
            </w:r>
          </w:p>
        </w:tc>
      </w:tr>
      <w:tr w:rsidR="0054656F" w:rsidRPr="0054656F" w14:paraId="3C40886F" w14:textId="77777777" w:rsidTr="0054656F">
        <w:trPr>
          <w:trHeight w:val="300"/>
        </w:trPr>
        <w:tc>
          <w:tcPr>
            <w:tcW w:w="13948" w:type="dxa"/>
            <w:gridSpan w:val="4"/>
            <w:hideMark/>
          </w:tcPr>
          <w:p w14:paraId="1E263EB6" w14:textId="77777777" w:rsidR="0054656F" w:rsidRPr="0054656F" w:rsidRDefault="0054656F" w:rsidP="0054656F">
            <w:pPr>
              <w:rPr>
                <w:szCs w:val="24"/>
              </w:rPr>
            </w:pPr>
            <w:r w:rsidRPr="0054656F">
              <w:rPr>
                <w:szCs w:val="24"/>
              </w:rPr>
              <w:t>Outcome 1</w:t>
            </w:r>
          </w:p>
        </w:tc>
      </w:tr>
      <w:tr w:rsidR="0054656F" w:rsidRPr="0054656F" w14:paraId="4188C251" w14:textId="77777777" w:rsidTr="0054656F">
        <w:trPr>
          <w:trHeight w:val="1478"/>
        </w:trPr>
        <w:tc>
          <w:tcPr>
            <w:tcW w:w="13948" w:type="dxa"/>
            <w:gridSpan w:val="4"/>
            <w:hideMark/>
          </w:tcPr>
          <w:p w14:paraId="12BEECA2" w14:textId="77777777" w:rsidR="0054656F" w:rsidRPr="0054656F" w:rsidRDefault="0054656F" w:rsidP="00BF39FB">
            <w:pPr>
              <w:jc w:val="both"/>
              <w:rPr>
                <w:szCs w:val="24"/>
              </w:rPr>
            </w:pPr>
            <w:r w:rsidRPr="0054656F">
              <w:rPr>
                <w:szCs w:val="24"/>
              </w:rPr>
              <w:t>Having considered all the information presented to its meetings, the Working Group agreed that it would wish to recommend the Pension Fund Committee to consider a more active stance in relation to RI issues than had previously been the case where that did not pose the risk of financial detriment to the Fund.  Members acknowledged that the primary aim of an investment strategy was to secure the best possible return and that the administering authority and trustees should not impose their own ethical views on issues such as tobacco, energy, food etc., on scheme beneficiaries.</w:t>
            </w:r>
          </w:p>
        </w:tc>
      </w:tr>
      <w:tr w:rsidR="0054656F" w:rsidRPr="0054656F" w14:paraId="6FD441CC" w14:textId="77777777" w:rsidTr="0054656F">
        <w:trPr>
          <w:trHeight w:val="1965"/>
        </w:trPr>
        <w:tc>
          <w:tcPr>
            <w:tcW w:w="2293" w:type="dxa"/>
            <w:hideMark/>
          </w:tcPr>
          <w:p w14:paraId="3693717F" w14:textId="77777777" w:rsidR="0054656F" w:rsidRPr="0054656F" w:rsidRDefault="0054656F" w:rsidP="0054656F">
            <w:pPr>
              <w:rPr>
                <w:szCs w:val="24"/>
              </w:rPr>
            </w:pPr>
            <w:r w:rsidRPr="0054656F">
              <w:rPr>
                <w:szCs w:val="24"/>
              </w:rPr>
              <w:t>Action 1</w:t>
            </w:r>
          </w:p>
        </w:tc>
        <w:tc>
          <w:tcPr>
            <w:tcW w:w="3459" w:type="dxa"/>
            <w:hideMark/>
          </w:tcPr>
          <w:p w14:paraId="5175E755" w14:textId="77777777" w:rsidR="0054656F" w:rsidRPr="0054656F" w:rsidRDefault="0054656F" w:rsidP="0054656F">
            <w:pPr>
              <w:rPr>
                <w:szCs w:val="24"/>
              </w:rPr>
            </w:pPr>
            <w:r w:rsidRPr="0054656F">
              <w:rPr>
                <w:szCs w:val="24"/>
              </w:rPr>
              <w:t>Recommendation to Pension Fund Committee to consider a move towards RI where it was practicable to do so, and without posing a detrimental financial risk to the Fund.</w:t>
            </w:r>
          </w:p>
        </w:tc>
        <w:tc>
          <w:tcPr>
            <w:tcW w:w="5696" w:type="dxa"/>
            <w:hideMark/>
          </w:tcPr>
          <w:p w14:paraId="33388BAF" w14:textId="77777777" w:rsidR="0054656F" w:rsidRPr="0054656F" w:rsidRDefault="0054656F" w:rsidP="0054656F">
            <w:pPr>
              <w:rPr>
                <w:i/>
                <w:iCs/>
                <w:szCs w:val="24"/>
              </w:rPr>
            </w:pPr>
            <w:r w:rsidRPr="0054656F">
              <w:rPr>
                <w:i/>
                <w:iCs/>
                <w:szCs w:val="24"/>
              </w:rPr>
              <w:t>Implicitly accepted by the Pension Fund Committee on 27 November 2014 in accepting the recommendations of the member working group. Recognition of this stance will be reflected in the Fund's first Responsible Investment policy document, currently being developed.</w:t>
            </w:r>
          </w:p>
        </w:tc>
        <w:tc>
          <w:tcPr>
            <w:tcW w:w="2500" w:type="dxa"/>
            <w:noWrap/>
            <w:hideMark/>
          </w:tcPr>
          <w:p w14:paraId="1B539051" w14:textId="77777777" w:rsidR="0054656F" w:rsidRPr="0054656F" w:rsidRDefault="0054656F" w:rsidP="0054656F">
            <w:pPr>
              <w:rPr>
                <w:szCs w:val="24"/>
              </w:rPr>
            </w:pPr>
            <w:r w:rsidRPr="0054656F">
              <w:rPr>
                <w:szCs w:val="24"/>
              </w:rPr>
              <w:t>Concluded</w:t>
            </w:r>
          </w:p>
        </w:tc>
      </w:tr>
      <w:tr w:rsidR="0054656F" w:rsidRPr="0054656F" w14:paraId="72372211" w14:textId="77777777" w:rsidTr="0054656F">
        <w:trPr>
          <w:trHeight w:val="300"/>
        </w:trPr>
        <w:tc>
          <w:tcPr>
            <w:tcW w:w="13948" w:type="dxa"/>
            <w:gridSpan w:val="4"/>
            <w:hideMark/>
          </w:tcPr>
          <w:p w14:paraId="3CED2F2A" w14:textId="77777777" w:rsidR="0054656F" w:rsidRPr="0054656F" w:rsidRDefault="0054656F" w:rsidP="0054656F">
            <w:pPr>
              <w:rPr>
                <w:szCs w:val="24"/>
              </w:rPr>
            </w:pPr>
            <w:r w:rsidRPr="0054656F">
              <w:rPr>
                <w:szCs w:val="24"/>
              </w:rPr>
              <w:t>Outcome 2</w:t>
            </w:r>
          </w:p>
        </w:tc>
      </w:tr>
      <w:tr w:rsidR="0054656F" w:rsidRPr="0054656F" w14:paraId="540BC079" w14:textId="77777777" w:rsidTr="0054656F">
        <w:trPr>
          <w:trHeight w:val="1110"/>
        </w:trPr>
        <w:tc>
          <w:tcPr>
            <w:tcW w:w="13948" w:type="dxa"/>
            <w:gridSpan w:val="4"/>
            <w:hideMark/>
          </w:tcPr>
          <w:p w14:paraId="4822CEC7" w14:textId="77777777" w:rsidR="0054656F" w:rsidRPr="0054656F" w:rsidRDefault="0054656F" w:rsidP="00BF39FB">
            <w:pPr>
              <w:jc w:val="both"/>
              <w:rPr>
                <w:szCs w:val="24"/>
              </w:rPr>
            </w:pPr>
            <w:r w:rsidRPr="0054656F">
              <w:rPr>
                <w:szCs w:val="24"/>
              </w:rPr>
              <w:t>Concerns were expressed about the Fund's ability to canvass and assess the views of scheme employers and members on specific social, ethical and environmental considerations and investments. Before taking any specific steps that could potentially lead to the investment in or disinvestment from particular sectors, Members acknowledged that it was important to canvass and understand the views of scheme stakeholders, and agreed that different ways of achieving this needed to be explored.</w:t>
            </w:r>
          </w:p>
          <w:p w14:paraId="7A6371A5" w14:textId="77777777" w:rsidR="0054656F" w:rsidRPr="0054656F" w:rsidRDefault="0054656F" w:rsidP="0054656F">
            <w:pPr>
              <w:rPr>
                <w:szCs w:val="24"/>
              </w:rPr>
            </w:pPr>
          </w:p>
        </w:tc>
      </w:tr>
      <w:tr w:rsidR="005D148F" w:rsidRPr="0054656F" w14:paraId="64609304" w14:textId="77777777" w:rsidTr="00AB5562">
        <w:trPr>
          <w:trHeight w:val="2414"/>
        </w:trPr>
        <w:tc>
          <w:tcPr>
            <w:tcW w:w="2293" w:type="dxa"/>
            <w:hideMark/>
          </w:tcPr>
          <w:p w14:paraId="0D504985" w14:textId="77777777" w:rsidR="005D148F" w:rsidRPr="0054656F" w:rsidRDefault="005D148F" w:rsidP="00AB5562">
            <w:pPr>
              <w:rPr>
                <w:szCs w:val="24"/>
              </w:rPr>
            </w:pPr>
            <w:r w:rsidRPr="0054656F">
              <w:rPr>
                <w:szCs w:val="24"/>
              </w:rPr>
              <w:t>Action 2</w:t>
            </w:r>
          </w:p>
        </w:tc>
        <w:tc>
          <w:tcPr>
            <w:tcW w:w="3459" w:type="dxa"/>
            <w:hideMark/>
          </w:tcPr>
          <w:p w14:paraId="5C21322E" w14:textId="77777777" w:rsidR="005D148F" w:rsidRPr="0054656F" w:rsidRDefault="005D148F" w:rsidP="00AB5562">
            <w:pPr>
              <w:rPr>
                <w:szCs w:val="24"/>
              </w:rPr>
            </w:pPr>
            <w:r w:rsidRPr="0054656F">
              <w:rPr>
                <w:szCs w:val="24"/>
              </w:rPr>
              <w:t>A policy setting out the circumstances in which stakeholder consultation would be sought and the possible methods for achieving this should be developed.</w:t>
            </w:r>
          </w:p>
        </w:tc>
        <w:tc>
          <w:tcPr>
            <w:tcW w:w="5696" w:type="dxa"/>
            <w:hideMark/>
          </w:tcPr>
          <w:p w14:paraId="48993CF9" w14:textId="5B8129A0" w:rsidR="00FD5BC6" w:rsidRDefault="005D148F" w:rsidP="00AB5562">
            <w:pPr>
              <w:rPr>
                <w:i/>
                <w:iCs/>
                <w:szCs w:val="24"/>
              </w:rPr>
            </w:pPr>
            <w:r w:rsidRPr="0054656F">
              <w:rPr>
                <w:i/>
                <w:iCs/>
                <w:szCs w:val="24"/>
              </w:rPr>
              <w:t>The recruitment of a Financial Policy Officer has brought the additional capacity needed to facilitate the further development of an RI policy for the Fund.</w:t>
            </w:r>
            <w:r w:rsidRPr="0054656F">
              <w:rPr>
                <w:i/>
                <w:iCs/>
                <w:szCs w:val="24"/>
              </w:rPr>
              <w:br/>
            </w:r>
            <w:r w:rsidRPr="0054656F">
              <w:rPr>
                <w:i/>
                <w:iCs/>
                <w:szCs w:val="24"/>
              </w:rPr>
              <w:br/>
            </w:r>
            <w:r w:rsidR="00FD5BC6">
              <w:rPr>
                <w:i/>
                <w:iCs/>
                <w:szCs w:val="24"/>
              </w:rPr>
              <w:t>The requirement (</w:t>
            </w:r>
            <w:r w:rsidR="00E022ED">
              <w:rPr>
                <w:i/>
                <w:iCs/>
                <w:szCs w:val="24"/>
              </w:rPr>
              <w:t>and options</w:t>
            </w:r>
            <w:r w:rsidR="00FD5BC6">
              <w:rPr>
                <w:i/>
                <w:iCs/>
                <w:szCs w:val="24"/>
              </w:rPr>
              <w:t>)</w:t>
            </w:r>
            <w:r w:rsidR="00E022ED">
              <w:rPr>
                <w:i/>
                <w:iCs/>
                <w:szCs w:val="24"/>
              </w:rPr>
              <w:t xml:space="preserve"> for undertaking</w:t>
            </w:r>
            <w:r w:rsidR="00BB1791">
              <w:rPr>
                <w:i/>
                <w:iCs/>
                <w:szCs w:val="24"/>
              </w:rPr>
              <w:t xml:space="preserve"> stakeholder consultation </w:t>
            </w:r>
            <w:r w:rsidR="00BB1791" w:rsidRPr="0054656F">
              <w:rPr>
                <w:i/>
                <w:iCs/>
                <w:szCs w:val="24"/>
              </w:rPr>
              <w:t>will be addressed as part of the work under action 5a below.</w:t>
            </w:r>
            <w:r w:rsidR="00FD5BC6">
              <w:rPr>
                <w:i/>
                <w:iCs/>
                <w:szCs w:val="24"/>
              </w:rPr>
              <w:t xml:space="preserve"> </w:t>
            </w:r>
          </w:p>
          <w:p w14:paraId="0526D1D8" w14:textId="77777777" w:rsidR="00FD5BC6" w:rsidRDefault="00FD5BC6" w:rsidP="00AB5562">
            <w:pPr>
              <w:rPr>
                <w:i/>
                <w:iCs/>
                <w:szCs w:val="24"/>
              </w:rPr>
            </w:pPr>
          </w:p>
          <w:p w14:paraId="07C3C0A5" w14:textId="7EFCD3BD" w:rsidR="005D148F" w:rsidRPr="0054656F" w:rsidRDefault="005D148F" w:rsidP="00AB5562">
            <w:pPr>
              <w:rPr>
                <w:i/>
                <w:iCs/>
                <w:szCs w:val="24"/>
              </w:rPr>
            </w:pPr>
          </w:p>
        </w:tc>
        <w:tc>
          <w:tcPr>
            <w:tcW w:w="2500" w:type="dxa"/>
            <w:hideMark/>
          </w:tcPr>
          <w:p w14:paraId="7BC23462" w14:textId="77777777" w:rsidR="005D148F" w:rsidRPr="0054656F" w:rsidRDefault="005D148F" w:rsidP="00AB5562">
            <w:pPr>
              <w:rPr>
                <w:szCs w:val="24"/>
              </w:rPr>
            </w:pPr>
            <w:r w:rsidRPr="0054656F">
              <w:rPr>
                <w:szCs w:val="24"/>
              </w:rPr>
              <w:t>Under planning as part of action 5a</w:t>
            </w:r>
          </w:p>
        </w:tc>
      </w:tr>
    </w:tbl>
    <w:p w14:paraId="61E3D3C5" w14:textId="77777777" w:rsidR="0054656F" w:rsidRDefault="0054656F"/>
    <w:tbl>
      <w:tblPr>
        <w:tblStyle w:val="TableGrid"/>
        <w:tblW w:w="0" w:type="auto"/>
        <w:tblLook w:val="04A0" w:firstRow="1" w:lastRow="0" w:firstColumn="1" w:lastColumn="0" w:noHBand="0" w:noVBand="1"/>
      </w:tblPr>
      <w:tblGrid>
        <w:gridCol w:w="2293"/>
        <w:gridCol w:w="3459"/>
        <w:gridCol w:w="5696"/>
        <w:gridCol w:w="2500"/>
      </w:tblGrid>
      <w:tr w:rsidR="005D148F" w:rsidRPr="00E84895" w14:paraId="436A9855" w14:textId="77777777" w:rsidTr="001A6263">
        <w:trPr>
          <w:trHeight w:val="563"/>
        </w:trPr>
        <w:tc>
          <w:tcPr>
            <w:tcW w:w="2293" w:type="dxa"/>
            <w:hideMark/>
          </w:tcPr>
          <w:p w14:paraId="76611458" w14:textId="77777777" w:rsidR="005D148F" w:rsidRPr="00E84895" w:rsidRDefault="005D148F" w:rsidP="00AB5562">
            <w:pPr>
              <w:rPr>
                <w:b/>
                <w:bCs/>
              </w:rPr>
            </w:pPr>
            <w:r w:rsidRPr="00E84895">
              <w:rPr>
                <w:b/>
                <w:bCs/>
              </w:rPr>
              <w:t>Area</w:t>
            </w:r>
          </w:p>
        </w:tc>
        <w:tc>
          <w:tcPr>
            <w:tcW w:w="3459" w:type="dxa"/>
            <w:hideMark/>
          </w:tcPr>
          <w:p w14:paraId="05566B42" w14:textId="77777777" w:rsidR="005D148F" w:rsidRPr="00E84895" w:rsidRDefault="005D148F" w:rsidP="00AB5562">
            <w:pPr>
              <w:rPr>
                <w:b/>
                <w:bCs/>
              </w:rPr>
            </w:pPr>
            <w:r w:rsidRPr="00E84895">
              <w:rPr>
                <w:b/>
                <w:bCs/>
              </w:rPr>
              <w:t>Action</w:t>
            </w:r>
          </w:p>
        </w:tc>
        <w:tc>
          <w:tcPr>
            <w:tcW w:w="5696" w:type="dxa"/>
            <w:hideMark/>
          </w:tcPr>
          <w:p w14:paraId="5F5D7D0B" w14:textId="3F6A610E" w:rsidR="005D148F" w:rsidRPr="00E84895" w:rsidRDefault="005D148F" w:rsidP="005D148F">
            <w:pPr>
              <w:rPr>
                <w:b/>
                <w:bCs/>
              </w:rPr>
            </w:pPr>
            <w:r w:rsidRPr="00E84895">
              <w:rPr>
                <w:b/>
                <w:bCs/>
              </w:rPr>
              <w:t xml:space="preserve">Update on actions taken and in planning </w:t>
            </w:r>
            <w:r w:rsidR="00FF3A06">
              <w:rPr>
                <w:b/>
                <w:bCs/>
              </w:rPr>
              <w:t xml:space="preserve">/ progress </w:t>
            </w:r>
            <w:r w:rsidRPr="00E84895">
              <w:rPr>
                <w:b/>
                <w:bCs/>
              </w:rPr>
              <w:t>currently</w:t>
            </w:r>
          </w:p>
        </w:tc>
        <w:tc>
          <w:tcPr>
            <w:tcW w:w="2500" w:type="dxa"/>
            <w:noWrap/>
            <w:hideMark/>
          </w:tcPr>
          <w:p w14:paraId="2093066F" w14:textId="77777777" w:rsidR="005D148F" w:rsidRPr="00E84895" w:rsidRDefault="005D148F" w:rsidP="00AB5562">
            <w:pPr>
              <w:rPr>
                <w:b/>
                <w:bCs/>
              </w:rPr>
            </w:pPr>
            <w:r w:rsidRPr="00E84895">
              <w:rPr>
                <w:b/>
                <w:bCs/>
              </w:rPr>
              <w:t>Status</w:t>
            </w:r>
          </w:p>
        </w:tc>
      </w:tr>
      <w:tr w:rsidR="005D148F" w:rsidRPr="0054656F" w14:paraId="28368360" w14:textId="77777777" w:rsidTr="00AB5562">
        <w:trPr>
          <w:trHeight w:val="300"/>
        </w:trPr>
        <w:tc>
          <w:tcPr>
            <w:tcW w:w="13948" w:type="dxa"/>
            <w:gridSpan w:val="4"/>
            <w:hideMark/>
          </w:tcPr>
          <w:p w14:paraId="281E29CE" w14:textId="77777777" w:rsidR="005D148F" w:rsidRPr="0054656F" w:rsidRDefault="005D148F" w:rsidP="00AB5562">
            <w:pPr>
              <w:rPr>
                <w:szCs w:val="24"/>
              </w:rPr>
            </w:pPr>
            <w:r w:rsidRPr="0054656F">
              <w:rPr>
                <w:szCs w:val="24"/>
              </w:rPr>
              <w:t>Outcome 3</w:t>
            </w:r>
          </w:p>
        </w:tc>
      </w:tr>
      <w:tr w:rsidR="005D148F" w:rsidRPr="0054656F" w14:paraId="0DA6E316" w14:textId="77777777" w:rsidTr="00AB5562">
        <w:trPr>
          <w:trHeight w:val="1215"/>
        </w:trPr>
        <w:tc>
          <w:tcPr>
            <w:tcW w:w="13948" w:type="dxa"/>
            <w:gridSpan w:val="4"/>
            <w:tcBorders>
              <w:bottom w:val="single" w:sz="4" w:space="0" w:color="auto"/>
            </w:tcBorders>
            <w:hideMark/>
          </w:tcPr>
          <w:p w14:paraId="4E5AD4EA" w14:textId="77777777" w:rsidR="005D148F" w:rsidRPr="0054656F" w:rsidRDefault="005D148F" w:rsidP="00BF39FB">
            <w:pPr>
              <w:jc w:val="both"/>
              <w:rPr>
                <w:szCs w:val="24"/>
              </w:rPr>
            </w:pPr>
            <w:r w:rsidRPr="0054656F">
              <w:rPr>
                <w:szCs w:val="24"/>
              </w:rPr>
              <w:t>The Working Group felt that it now had a much greater understanding of RI, SRI and ESG issues and in particular the legal framework around fiduciary duties and the issue of disinvestment.  Members again acknowledged that the primary aim of the Fund's investment strategy was to secure the best possible return and it was agreed that disinvestment was not an option which should be pursued by the Fund at this moment.</w:t>
            </w:r>
          </w:p>
        </w:tc>
      </w:tr>
      <w:tr w:rsidR="005D148F" w:rsidRPr="0054656F" w14:paraId="7EB287EC" w14:textId="77777777" w:rsidTr="001A6263">
        <w:trPr>
          <w:trHeight w:val="315"/>
        </w:trPr>
        <w:tc>
          <w:tcPr>
            <w:tcW w:w="2293" w:type="dxa"/>
            <w:shd w:val="clear" w:color="auto" w:fill="auto"/>
            <w:hideMark/>
          </w:tcPr>
          <w:p w14:paraId="566280CF" w14:textId="77777777" w:rsidR="005D148F" w:rsidRPr="0054656F" w:rsidRDefault="005D148F" w:rsidP="00AB5562">
            <w:pPr>
              <w:rPr>
                <w:szCs w:val="24"/>
              </w:rPr>
            </w:pPr>
            <w:r w:rsidRPr="0054656F">
              <w:rPr>
                <w:szCs w:val="24"/>
              </w:rPr>
              <w:t>Action 3</w:t>
            </w:r>
          </w:p>
        </w:tc>
        <w:tc>
          <w:tcPr>
            <w:tcW w:w="9155" w:type="dxa"/>
            <w:gridSpan w:val="2"/>
            <w:shd w:val="clear" w:color="auto" w:fill="auto"/>
            <w:hideMark/>
          </w:tcPr>
          <w:p w14:paraId="1BF4596C" w14:textId="77777777" w:rsidR="005D148F" w:rsidRPr="0054656F" w:rsidRDefault="005D148F" w:rsidP="00AB5562">
            <w:pPr>
              <w:rPr>
                <w:szCs w:val="24"/>
              </w:rPr>
            </w:pPr>
            <w:r w:rsidRPr="0054656F">
              <w:rPr>
                <w:szCs w:val="24"/>
              </w:rPr>
              <w:t>No action required.</w:t>
            </w:r>
          </w:p>
        </w:tc>
        <w:tc>
          <w:tcPr>
            <w:tcW w:w="2500" w:type="dxa"/>
            <w:shd w:val="clear" w:color="auto" w:fill="auto"/>
            <w:hideMark/>
          </w:tcPr>
          <w:p w14:paraId="08173E02" w14:textId="77777777" w:rsidR="005D148F" w:rsidRPr="0054656F" w:rsidRDefault="005D148F" w:rsidP="00AB5562">
            <w:pPr>
              <w:rPr>
                <w:szCs w:val="24"/>
              </w:rPr>
            </w:pPr>
            <w:r w:rsidRPr="0054656F">
              <w:rPr>
                <w:szCs w:val="24"/>
              </w:rPr>
              <w:t>Concluded</w:t>
            </w:r>
          </w:p>
        </w:tc>
      </w:tr>
    </w:tbl>
    <w:p w14:paraId="4480F90F" w14:textId="77777777" w:rsidR="0054656F" w:rsidRDefault="0054656F"/>
    <w:p w14:paraId="41DEA0DF" w14:textId="5E37A2C7" w:rsidR="009F4AE7" w:rsidRDefault="009F4AE7" w:rsidP="005A27AA"/>
    <w:tbl>
      <w:tblPr>
        <w:tblStyle w:val="TableGrid"/>
        <w:tblW w:w="0" w:type="auto"/>
        <w:tblInd w:w="5" w:type="dxa"/>
        <w:tblLook w:val="04A0" w:firstRow="1" w:lastRow="0" w:firstColumn="1" w:lastColumn="0" w:noHBand="0" w:noVBand="1"/>
      </w:tblPr>
      <w:tblGrid>
        <w:gridCol w:w="2293"/>
        <w:gridCol w:w="3459"/>
        <w:gridCol w:w="5696"/>
        <w:gridCol w:w="2500"/>
      </w:tblGrid>
      <w:tr w:rsidR="008969CA" w:rsidRPr="00E84895" w14:paraId="0464E9BB" w14:textId="77777777" w:rsidTr="00FF3A06">
        <w:trPr>
          <w:trHeight w:val="315"/>
        </w:trPr>
        <w:tc>
          <w:tcPr>
            <w:tcW w:w="13948" w:type="dxa"/>
            <w:gridSpan w:val="4"/>
            <w:tcBorders>
              <w:top w:val="single" w:sz="4" w:space="0" w:color="auto"/>
            </w:tcBorders>
            <w:hideMark/>
          </w:tcPr>
          <w:p w14:paraId="6D5F8457" w14:textId="77777777" w:rsidR="008969CA" w:rsidRPr="00E84895" w:rsidRDefault="008969CA" w:rsidP="003750EA">
            <w:pPr>
              <w:rPr>
                <w:b/>
                <w:bCs/>
              </w:rPr>
            </w:pPr>
            <w:r w:rsidRPr="00E84895">
              <w:rPr>
                <w:b/>
                <w:bCs/>
              </w:rPr>
              <w:t>Existing Investment Activity</w:t>
            </w:r>
          </w:p>
        </w:tc>
      </w:tr>
      <w:tr w:rsidR="008969CA" w:rsidRPr="00E84895" w14:paraId="4F3EAC93" w14:textId="77777777" w:rsidTr="00FF3A06">
        <w:trPr>
          <w:trHeight w:val="317"/>
        </w:trPr>
        <w:tc>
          <w:tcPr>
            <w:tcW w:w="13948" w:type="dxa"/>
            <w:gridSpan w:val="4"/>
            <w:hideMark/>
          </w:tcPr>
          <w:p w14:paraId="2E67629B" w14:textId="77777777" w:rsidR="008969CA" w:rsidRPr="00E84895" w:rsidRDefault="008969CA" w:rsidP="003750EA">
            <w:r w:rsidRPr="00E84895">
              <w:t>Outcome 4</w:t>
            </w:r>
          </w:p>
        </w:tc>
      </w:tr>
      <w:tr w:rsidR="008969CA" w:rsidRPr="00E84895" w14:paraId="7530A701" w14:textId="77777777" w:rsidTr="00FF3A06">
        <w:trPr>
          <w:trHeight w:val="1065"/>
        </w:trPr>
        <w:tc>
          <w:tcPr>
            <w:tcW w:w="13948" w:type="dxa"/>
            <w:gridSpan w:val="4"/>
            <w:hideMark/>
          </w:tcPr>
          <w:p w14:paraId="326F5C32" w14:textId="77777777" w:rsidR="008969CA" w:rsidRPr="00E84895" w:rsidRDefault="008969CA" w:rsidP="00BF39FB">
            <w:pPr>
              <w:jc w:val="both"/>
            </w:pPr>
            <w:r w:rsidRPr="00E84895">
              <w:t>The Working Group encouraged the taking of specific steps or actions to reduce carbon production within the Fund's portfolio - for example, within the property portfolio. In addition, the Group supported the continued identification of good investment opportunities and the making of investments that provide appropriate returns and which may possess certain 'green' or clean energy characteristics.</w:t>
            </w:r>
          </w:p>
        </w:tc>
      </w:tr>
      <w:tr w:rsidR="008969CA" w:rsidRPr="00E84895" w14:paraId="35D55157" w14:textId="77777777" w:rsidTr="00FF3A06">
        <w:trPr>
          <w:trHeight w:val="1155"/>
        </w:trPr>
        <w:tc>
          <w:tcPr>
            <w:tcW w:w="2293" w:type="dxa"/>
            <w:hideMark/>
          </w:tcPr>
          <w:p w14:paraId="6683BE15" w14:textId="77777777" w:rsidR="008969CA" w:rsidRPr="00E84895" w:rsidRDefault="008969CA" w:rsidP="003750EA">
            <w:r w:rsidRPr="00E84895">
              <w:t>Action 4</w:t>
            </w:r>
          </w:p>
        </w:tc>
        <w:tc>
          <w:tcPr>
            <w:tcW w:w="3459" w:type="dxa"/>
            <w:hideMark/>
          </w:tcPr>
          <w:p w14:paraId="67201B0C" w14:textId="77777777" w:rsidR="008969CA" w:rsidRPr="00E84895" w:rsidRDefault="008969CA" w:rsidP="003750EA">
            <w:r w:rsidRPr="00E84895">
              <w:t>Reduce carbon footprint of LCPF property portfolio wherever possible</w:t>
            </w:r>
          </w:p>
        </w:tc>
        <w:tc>
          <w:tcPr>
            <w:tcW w:w="5696" w:type="dxa"/>
            <w:hideMark/>
          </w:tcPr>
          <w:p w14:paraId="28EA34B5" w14:textId="77777777" w:rsidR="008969CA" w:rsidRDefault="008969CA" w:rsidP="003750EA">
            <w:pPr>
              <w:rPr>
                <w:i/>
                <w:iCs/>
              </w:rPr>
            </w:pPr>
            <w:r w:rsidRPr="00E84895">
              <w:rPr>
                <w:i/>
                <w:iCs/>
              </w:rPr>
              <w:t>Consideration will be given to how the carbon footprint of the current property portfolio can be captured in order to facilitate the identification of opportunities for reduction going forward.</w:t>
            </w:r>
            <w:r w:rsidRPr="00E84895">
              <w:rPr>
                <w:i/>
                <w:iCs/>
              </w:rPr>
              <w:br/>
              <w:t>Will foreseeably be related to and affected by action 7 below.</w:t>
            </w:r>
          </w:p>
          <w:p w14:paraId="3BF4D115" w14:textId="77777777" w:rsidR="00E022ED" w:rsidRDefault="00E022ED" w:rsidP="003750EA">
            <w:pPr>
              <w:rPr>
                <w:i/>
                <w:iCs/>
              </w:rPr>
            </w:pPr>
          </w:p>
          <w:p w14:paraId="55BA7905" w14:textId="77777777" w:rsidR="00E022ED" w:rsidRPr="00E84895" w:rsidRDefault="00E022ED" w:rsidP="003750EA">
            <w:pPr>
              <w:rPr>
                <w:i/>
                <w:iCs/>
              </w:rPr>
            </w:pPr>
          </w:p>
        </w:tc>
        <w:tc>
          <w:tcPr>
            <w:tcW w:w="2500" w:type="dxa"/>
            <w:noWrap/>
            <w:hideMark/>
          </w:tcPr>
          <w:p w14:paraId="6DC1909A" w14:textId="0806DB88" w:rsidR="008969CA" w:rsidRPr="00E84895" w:rsidRDefault="008969CA" w:rsidP="00E04285">
            <w:r w:rsidRPr="00E84895">
              <w:t xml:space="preserve">Under </w:t>
            </w:r>
            <w:r w:rsidR="00E04285">
              <w:t>review</w:t>
            </w:r>
          </w:p>
        </w:tc>
      </w:tr>
      <w:tr w:rsidR="008969CA" w:rsidRPr="00E84895" w14:paraId="7CA06A26" w14:textId="77777777" w:rsidTr="00FF3A06">
        <w:trPr>
          <w:trHeight w:val="315"/>
        </w:trPr>
        <w:tc>
          <w:tcPr>
            <w:tcW w:w="13948" w:type="dxa"/>
            <w:gridSpan w:val="4"/>
            <w:hideMark/>
          </w:tcPr>
          <w:p w14:paraId="539E57F0" w14:textId="77777777" w:rsidR="008969CA" w:rsidRPr="00E84895" w:rsidRDefault="008969CA" w:rsidP="003750EA">
            <w:pPr>
              <w:rPr>
                <w:b/>
                <w:bCs/>
              </w:rPr>
            </w:pPr>
            <w:r w:rsidRPr="00E84895">
              <w:rPr>
                <w:b/>
                <w:bCs/>
              </w:rPr>
              <w:t>Governance and Policy</w:t>
            </w:r>
          </w:p>
        </w:tc>
      </w:tr>
      <w:tr w:rsidR="008969CA" w:rsidRPr="00E84895" w14:paraId="16E3322E" w14:textId="77777777" w:rsidTr="00FF3A06">
        <w:trPr>
          <w:trHeight w:val="300"/>
        </w:trPr>
        <w:tc>
          <w:tcPr>
            <w:tcW w:w="13948" w:type="dxa"/>
            <w:gridSpan w:val="4"/>
            <w:hideMark/>
          </w:tcPr>
          <w:p w14:paraId="31153D73" w14:textId="77777777" w:rsidR="008969CA" w:rsidRPr="00E84895" w:rsidRDefault="008969CA" w:rsidP="003750EA">
            <w:r w:rsidRPr="00E84895">
              <w:t>Outcome 5</w:t>
            </w:r>
          </w:p>
        </w:tc>
      </w:tr>
      <w:tr w:rsidR="008969CA" w:rsidRPr="00E84895" w14:paraId="5FB4B314" w14:textId="77777777" w:rsidTr="00FF3A06">
        <w:trPr>
          <w:trHeight w:val="720"/>
        </w:trPr>
        <w:tc>
          <w:tcPr>
            <w:tcW w:w="13948" w:type="dxa"/>
            <w:gridSpan w:val="4"/>
            <w:hideMark/>
          </w:tcPr>
          <w:p w14:paraId="2508DA8A" w14:textId="77777777" w:rsidR="008969CA" w:rsidRPr="00E84895" w:rsidRDefault="008969CA" w:rsidP="003750EA">
            <w:r w:rsidRPr="00E84895">
              <w:t>The Working Group recommend the establishment by the Fund of a Responsible Investment Policy based on the Policy Tool produced by UNPRI, and subsequently work towards the adoption of the UN Principles.</w:t>
            </w:r>
          </w:p>
        </w:tc>
      </w:tr>
      <w:tr w:rsidR="008969CA" w:rsidRPr="00E84895" w14:paraId="4BBCF122" w14:textId="77777777" w:rsidTr="00FF3A06">
        <w:trPr>
          <w:trHeight w:val="70"/>
        </w:trPr>
        <w:tc>
          <w:tcPr>
            <w:tcW w:w="2293" w:type="dxa"/>
            <w:hideMark/>
          </w:tcPr>
          <w:p w14:paraId="3246E307" w14:textId="77777777" w:rsidR="008969CA" w:rsidRPr="00E84895" w:rsidRDefault="008969CA" w:rsidP="003750EA">
            <w:r w:rsidRPr="00E84895">
              <w:t>Action 5a</w:t>
            </w:r>
          </w:p>
        </w:tc>
        <w:tc>
          <w:tcPr>
            <w:tcW w:w="3459" w:type="dxa"/>
            <w:hideMark/>
          </w:tcPr>
          <w:p w14:paraId="6480586F" w14:textId="77777777" w:rsidR="008969CA" w:rsidRPr="00E84895" w:rsidRDefault="008969CA" w:rsidP="003750EA">
            <w:r w:rsidRPr="00E84895">
              <w:t>Create a Responsible Investment Policy for the Fund</w:t>
            </w:r>
          </w:p>
        </w:tc>
        <w:tc>
          <w:tcPr>
            <w:tcW w:w="5696" w:type="dxa"/>
            <w:hideMark/>
          </w:tcPr>
          <w:p w14:paraId="7ECBB811" w14:textId="77777777" w:rsidR="008969CA" w:rsidRDefault="008969CA" w:rsidP="008969CA">
            <w:pPr>
              <w:rPr>
                <w:i/>
                <w:iCs/>
              </w:rPr>
            </w:pPr>
            <w:r w:rsidRPr="00E84895">
              <w:rPr>
                <w:i/>
                <w:iCs/>
              </w:rPr>
              <w:t xml:space="preserve">The recruitment of a Financial Policy Officer has brought the additional capacity needed to facilitate the further development of an RI policy for the Fund. </w:t>
            </w:r>
            <w:r w:rsidRPr="00E84895">
              <w:rPr>
                <w:i/>
                <w:iCs/>
              </w:rPr>
              <w:br/>
              <w:t>Achieving a policy which is of practical benefit to the Fund and its stakeholders going forward and which contributes to the fulfilment of commitments made as a signatory of UNPRI will involve a number of steps</w:t>
            </w:r>
            <w:r w:rsidRPr="00E84895">
              <w:rPr>
                <w:i/>
                <w:iCs/>
              </w:rPr>
              <w:br/>
              <w:t xml:space="preserve">- a more detailed position statement on the Fund's aspirations in relation to RI </w:t>
            </w:r>
            <w:r w:rsidRPr="00E84895">
              <w:rPr>
                <w:i/>
                <w:iCs/>
              </w:rPr>
              <w:br/>
              <w:t>- the identification of practical approaches by which these aspirations will be fulfilled</w:t>
            </w:r>
            <w:r w:rsidRPr="00E84895">
              <w:rPr>
                <w:i/>
                <w:iCs/>
              </w:rPr>
              <w:br/>
              <w:t>- the design of any new agreements/documents and reporting/monitoring approaches needed (minimal bureaucracy being a key aim)</w:t>
            </w:r>
          </w:p>
          <w:p w14:paraId="780AFBD8" w14:textId="77777777" w:rsidR="00F11860" w:rsidRDefault="00F11860" w:rsidP="008969CA">
            <w:pPr>
              <w:rPr>
                <w:i/>
                <w:iCs/>
              </w:rPr>
            </w:pPr>
            <w:r w:rsidRPr="00E84895">
              <w:rPr>
                <w:i/>
                <w:iCs/>
              </w:rPr>
              <w:t>- the agreement by key personnel (e.g. internal investment managers, external fund managers, expert advisors, and agents ) of any practical/operational changes or new approaches/ requirements placed on them in order to comply with/deliver the approach set out within the RI Policy</w:t>
            </w:r>
            <w:r>
              <w:rPr>
                <w:i/>
                <w:iCs/>
              </w:rPr>
              <w:t xml:space="preserve"> </w:t>
            </w:r>
          </w:p>
          <w:p w14:paraId="58D701F8" w14:textId="77777777" w:rsidR="00F11860" w:rsidRDefault="00F11860" w:rsidP="008969CA">
            <w:pPr>
              <w:rPr>
                <w:i/>
                <w:iCs/>
              </w:rPr>
            </w:pPr>
          </w:p>
          <w:p w14:paraId="4AB5C9D0" w14:textId="481924BE" w:rsidR="00E022ED" w:rsidRDefault="001A6263" w:rsidP="00E022ED">
            <w:pPr>
              <w:rPr>
                <w:i/>
                <w:iCs/>
              </w:rPr>
            </w:pPr>
            <w:r>
              <w:rPr>
                <w:i/>
                <w:iCs/>
              </w:rPr>
              <w:t>T</w:t>
            </w:r>
            <w:r w:rsidR="00FA186C">
              <w:rPr>
                <w:i/>
                <w:iCs/>
              </w:rPr>
              <w:t xml:space="preserve">he development of a Lancashire London Pensions Partnership </w:t>
            </w:r>
            <w:r w:rsidR="00E022ED">
              <w:rPr>
                <w:i/>
                <w:iCs/>
              </w:rPr>
              <w:t xml:space="preserve">is likely to introduce </w:t>
            </w:r>
            <w:r w:rsidR="00FA186C">
              <w:rPr>
                <w:i/>
                <w:iCs/>
              </w:rPr>
              <w:t>considerable change</w:t>
            </w:r>
            <w:r w:rsidR="00E022ED">
              <w:rPr>
                <w:i/>
                <w:iCs/>
              </w:rPr>
              <w:t>s</w:t>
            </w:r>
            <w:r w:rsidR="00FA186C">
              <w:rPr>
                <w:i/>
                <w:iCs/>
              </w:rPr>
              <w:t xml:space="preserve"> </w:t>
            </w:r>
            <w:r>
              <w:rPr>
                <w:i/>
                <w:iCs/>
              </w:rPr>
              <w:t>and</w:t>
            </w:r>
            <w:r w:rsidR="00FA186C">
              <w:rPr>
                <w:i/>
                <w:iCs/>
              </w:rPr>
              <w:t xml:space="preserve"> the development of a</w:t>
            </w:r>
            <w:r w:rsidR="00F11860">
              <w:rPr>
                <w:i/>
                <w:iCs/>
              </w:rPr>
              <w:t>n RI</w:t>
            </w:r>
            <w:r w:rsidR="00FA186C">
              <w:rPr>
                <w:i/>
                <w:iCs/>
              </w:rPr>
              <w:t xml:space="preserve"> policy </w:t>
            </w:r>
            <w:r w:rsidR="00E022ED">
              <w:rPr>
                <w:i/>
                <w:iCs/>
              </w:rPr>
              <w:t xml:space="preserve">will need to await greater </w:t>
            </w:r>
            <w:r w:rsidR="00FA186C">
              <w:rPr>
                <w:i/>
                <w:iCs/>
              </w:rPr>
              <w:t xml:space="preserve">clarity </w:t>
            </w:r>
            <w:r w:rsidR="00E022ED">
              <w:rPr>
                <w:i/>
                <w:iCs/>
              </w:rPr>
              <w:t>on</w:t>
            </w:r>
            <w:r w:rsidR="00FA186C">
              <w:rPr>
                <w:i/>
                <w:iCs/>
              </w:rPr>
              <w:t xml:space="preserve"> the </w:t>
            </w:r>
            <w:r w:rsidR="00E022ED">
              <w:rPr>
                <w:i/>
                <w:iCs/>
              </w:rPr>
              <w:t xml:space="preserve">future </w:t>
            </w:r>
            <w:r w:rsidR="00FA186C">
              <w:rPr>
                <w:i/>
                <w:iCs/>
              </w:rPr>
              <w:t>operating model via which it will be implemented in practice.</w:t>
            </w:r>
          </w:p>
          <w:p w14:paraId="4B49F4A6" w14:textId="77777777" w:rsidR="00E022ED" w:rsidRDefault="00FA186C" w:rsidP="00E022ED">
            <w:pPr>
              <w:rPr>
                <w:i/>
                <w:iCs/>
              </w:rPr>
            </w:pPr>
            <w:r>
              <w:rPr>
                <w:i/>
                <w:iCs/>
              </w:rPr>
              <w:t xml:space="preserve"> </w:t>
            </w:r>
          </w:p>
          <w:p w14:paraId="590C4A47" w14:textId="597200C6" w:rsidR="001A6263" w:rsidRDefault="001A6263" w:rsidP="00E022ED">
            <w:pPr>
              <w:rPr>
                <w:i/>
                <w:iCs/>
              </w:rPr>
            </w:pPr>
          </w:p>
          <w:p w14:paraId="40B53B78" w14:textId="77777777" w:rsidR="001A6263" w:rsidRDefault="001A6263" w:rsidP="00E022ED">
            <w:pPr>
              <w:rPr>
                <w:i/>
                <w:iCs/>
              </w:rPr>
            </w:pPr>
          </w:p>
          <w:p w14:paraId="03B739A6" w14:textId="77777777" w:rsidR="001A6263" w:rsidRDefault="001A6263" w:rsidP="00E022ED">
            <w:pPr>
              <w:rPr>
                <w:i/>
                <w:iCs/>
              </w:rPr>
            </w:pPr>
          </w:p>
          <w:p w14:paraId="272B3A9F" w14:textId="77777777" w:rsidR="001A6263" w:rsidRDefault="001A6263" w:rsidP="00E022ED">
            <w:pPr>
              <w:rPr>
                <w:i/>
                <w:iCs/>
              </w:rPr>
            </w:pPr>
          </w:p>
          <w:p w14:paraId="48AA046F" w14:textId="77777777" w:rsidR="00FF3A06" w:rsidRDefault="00FF3A06" w:rsidP="00E022ED">
            <w:pPr>
              <w:rPr>
                <w:i/>
                <w:iCs/>
              </w:rPr>
            </w:pPr>
          </w:p>
          <w:p w14:paraId="4074AAC5" w14:textId="77777777" w:rsidR="001A6263" w:rsidRDefault="001A6263" w:rsidP="00E022ED">
            <w:pPr>
              <w:rPr>
                <w:i/>
                <w:iCs/>
              </w:rPr>
            </w:pPr>
          </w:p>
          <w:p w14:paraId="0594949C" w14:textId="77777777" w:rsidR="00ED4D00" w:rsidRDefault="00ED4D00" w:rsidP="00E022ED">
            <w:pPr>
              <w:rPr>
                <w:i/>
                <w:iCs/>
              </w:rPr>
            </w:pPr>
          </w:p>
          <w:p w14:paraId="3015CEA2" w14:textId="77777777" w:rsidR="00ED4D00" w:rsidRDefault="00ED4D00" w:rsidP="00E022ED">
            <w:pPr>
              <w:rPr>
                <w:i/>
                <w:iCs/>
              </w:rPr>
            </w:pPr>
          </w:p>
          <w:p w14:paraId="4FA4EBE6" w14:textId="77777777" w:rsidR="00ED4D00" w:rsidRDefault="00ED4D00" w:rsidP="00E022ED">
            <w:pPr>
              <w:rPr>
                <w:i/>
                <w:iCs/>
              </w:rPr>
            </w:pPr>
          </w:p>
          <w:p w14:paraId="2ACD92CF" w14:textId="3C530C51" w:rsidR="001A6263" w:rsidRPr="00E84895" w:rsidRDefault="001A6263" w:rsidP="00E022ED">
            <w:pPr>
              <w:rPr>
                <w:i/>
                <w:iCs/>
              </w:rPr>
            </w:pPr>
          </w:p>
        </w:tc>
        <w:tc>
          <w:tcPr>
            <w:tcW w:w="2500" w:type="dxa"/>
            <w:noWrap/>
            <w:hideMark/>
          </w:tcPr>
          <w:p w14:paraId="2B85EC09" w14:textId="77777777" w:rsidR="008969CA" w:rsidRPr="00E84895" w:rsidRDefault="008969CA" w:rsidP="003750EA">
            <w:r w:rsidRPr="00E84895">
              <w:t>Under planning</w:t>
            </w:r>
          </w:p>
        </w:tc>
      </w:tr>
      <w:tr w:rsidR="00B21B7F" w:rsidRPr="00E84895" w14:paraId="7EAEF066" w14:textId="77777777" w:rsidTr="00FF3A06">
        <w:trPr>
          <w:trHeight w:val="701"/>
        </w:trPr>
        <w:tc>
          <w:tcPr>
            <w:tcW w:w="2293" w:type="dxa"/>
            <w:hideMark/>
          </w:tcPr>
          <w:p w14:paraId="2A7B735B" w14:textId="1A3C436F" w:rsidR="00B21B7F" w:rsidRPr="00E84895" w:rsidRDefault="00B21B7F" w:rsidP="003750EA">
            <w:pPr>
              <w:rPr>
                <w:b/>
                <w:bCs/>
              </w:rPr>
            </w:pPr>
            <w:r w:rsidRPr="00E84895">
              <w:rPr>
                <w:b/>
                <w:bCs/>
              </w:rPr>
              <w:t>Area</w:t>
            </w:r>
          </w:p>
        </w:tc>
        <w:tc>
          <w:tcPr>
            <w:tcW w:w="3459" w:type="dxa"/>
            <w:hideMark/>
          </w:tcPr>
          <w:p w14:paraId="5D0520E8" w14:textId="77777777" w:rsidR="00B21B7F" w:rsidRPr="00E84895" w:rsidRDefault="00B21B7F" w:rsidP="003750EA">
            <w:pPr>
              <w:rPr>
                <w:b/>
                <w:bCs/>
              </w:rPr>
            </w:pPr>
            <w:r w:rsidRPr="00E84895">
              <w:rPr>
                <w:b/>
                <w:bCs/>
              </w:rPr>
              <w:t>Action</w:t>
            </w:r>
          </w:p>
        </w:tc>
        <w:tc>
          <w:tcPr>
            <w:tcW w:w="5696" w:type="dxa"/>
            <w:hideMark/>
          </w:tcPr>
          <w:p w14:paraId="28CC3CA0" w14:textId="3FB364AB" w:rsidR="00B21B7F" w:rsidRPr="00E84895" w:rsidRDefault="00B21B7F" w:rsidP="001A6263">
            <w:pPr>
              <w:rPr>
                <w:b/>
                <w:bCs/>
              </w:rPr>
            </w:pPr>
            <w:r w:rsidRPr="00E84895">
              <w:rPr>
                <w:b/>
                <w:bCs/>
              </w:rPr>
              <w:t xml:space="preserve">Update on actions taken and in planning </w:t>
            </w:r>
            <w:r w:rsidR="00FF3A06">
              <w:rPr>
                <w:b/>
                <w:bCs/>
              </w:rPr>
              <w:t xml:space="preserve">/ progress </w:t>
            </w:r>
            <w:r w:rsidRPr="00E84895">
              <w:rPr>
                <w:b/>
                <w:bCs/>
              </w:rPr>
              <w:t>currently</w:t>
            </w:r>
          </w:p>
        </w:tc>
        <w:tc>
          <w:tcPr>
            <w:tcW w:w="2500" w:type="dxa"/>
            <w:noWrap/>
            <w:hideMark/>
          </w:tcPr>
          <w:p w14:paraId="3E3E7F85" w14:textId="77777777" w:rsidR="00B21B7F" w:rsidRPr="00E84895" w:rsidRDefault="00B21B7F" w:rsidP="003750EA">
            <w:pPr>
              <w:rPr>
                <w:b/>
                <w:bCs/>
              </w:rPr>
            </w:pPr>
            <w:r w:rsidRPr="00E84895">
              <w:rPr>
                <w:b/>
                <w:bCs/>
              </w:rPr>
              <w:t>Status</w:t>
            </w:r>
          </w:p>
        </w:tc>
      </w:tr>
      <w:tr w:rsidR="00B21B7F" w:rsidRPr="00E84895" w14:paraId="4B630CAC" w14:textId="77777777" w:rsidTr="00FF3A06">
        <w:trPr>
          <w:trHeight w:val="968"/>
        </w:trPr>
        <w:tc>
          <w:tcPr>
            <w:tcW w:w="2293" w:type="dxa"/>
            <w:hideMark/>
          </w:tcPr>
          <w:p w14:paraId="5D6D09F6" w14:textId="77777777" w:rsidR="00B21B7F" w:rsidRPr="00E84895" w:rsidRDefault="00B21B7F" w:rsidP="003750EA">
            <w:r w:rsidRPr="00E84895">
              <w:t>Action 5b</w:t>
            </w:r>
          </w:p>
        </w:tc>
        <w:tc>
          <w:tcPr>
            <w:tcW w:w="3459" w:type="dxa"/>
            <w:hideMark/>
          </w:tcPr>
          <w:p w14:paraId="3B24184E" w14:textId="77777777" w:rsidR="00B21B7F" w:rsidRPr="00E84895" w:rsidRDefault="00B21B7F" w:rsidP="003750EA">
            <w:r w:rsidRPr="00E84895">
              <w:t>Consider signing up to the UN PRI initiative</w:t>
            </w:r>
          </w:p>
        </w:tc>
        <w:tc>
          <w:tcPr>
            <w:tcW w:w="5696" w:type="dxa"/>
            <w:hideMark/>
          </w:tcPr>
          <w:p w14:paraId="72C53E6D" w14:textId="77777777" w:rsidR="00B21B7F" w:rsidRPr="00E84895" w:rsidRDefault="00B21B7F" w:rsidP="003750EA">
            <w:pPr>
              <w:rPr>
                <w:i/>
                <w:iCs/>
              </w:rPr>
            </w:pPr>
            <w:r w:rsidRPr="00E84895">
              <w:rPr>
                <w:i/>
                <w:iCs/>
              </w:rPr>
              <w:t xml:space="preserve">LCPF became an Asset Owner signatory on 10 March 2015, and is recognised on the UNPRI website.  </w:t>
            </w:r>
          </w:p>
        </w:tc>
        <w:tc>
          <w:tcPr>
            <w:tcW w:w="2500" w:type="dxa"/>
            <w:noWrap/>
            <w:hideMark/>
          </w:tcPr>
          <w:p w14:paraId="13F8D07D" w14:textId="77777777" w:rsidR="00B21B7F" w:rsidRPr="00E84895" w:rsidRDefault="00B21B7F" w:rsidP="003750EA">
            <w:r w:rsidRPr="00E84895">
              <w:t xml:space="preserve">Concluded </w:t>
            </w:r>
          </w:p>
        </w:tc>
      </w:tr>
      <w:tr w:rsidR="00B21B7F" w:rsidRPr="00E84895" w14:paraId="79B55FFC" w14:textId="77777777" w:rsidTr="00FF3A06">
        <w:trPr>
          <w:trHeight w:val="300"/>
        </w:trPr>
        <w:tc>
          <w:tcPr>
            <w:tcW w:w="13948" w:type="dxa"/>
            <w:gridSpan w:val="4"/>
            <w:hideMark/>
          </w:tcPr>
          <w:p w14:paraId="31EA0458" w14:textId="77777777" w:rsidR="00B21B7F" w:rsidRPr="00E84895" w:rsidRDefault="00B21B7F" w:rsidP="003750EA">
            <w:r w:rsidRPr="00E84895">
              <w:t>Outcome 6</w:t>
            </w:r>
          </w:p>
        </w:tc>
      </w:tr>
      <w:tr w:rsidR="00B21B7F" w:rsidRPr="00E84895" w14:paraId="5A2E86EA" w14:textId="77777777" w:rsidTr="00FF3A06">
        <w:trPr>
          <w:trHeight w:val="420"/>
        </w:trPr>
        <w:tc>
          <w:tcPr>
            <w:tcW w:w="13948" w:type="dxa"/>
            <w:gridSpan w:val="4"/>
            <w:tcBorders>
              <w:bottom w:val="single" w:sz="4" w:space="0" w:color="auto"/>
            </w:tcBorders>
            <w:hideMark/>
          </w:tcPr>
          <w:p w14:paraId="3E303358" w14:textId="77777777" w:rsidR="00B21B7F" w:rsidRPr="00E84895" w:rsidRDefault="00B21B7F" w:rsidP="003750EA">
            <w:r w:rsidRPr="00E84895">
              <w:t>A proposal for revised SRI wording within the SIP should be produced.</w:t>
            </w:r>
          </w:p>
        </w:tc>
      </w:tr>
      <w:tr w:rsidR="00B21B7F" w:rsidRPr="00E84895" w14:paraId="33C788FE" w14:textId="77777777" w:rsidTr="00FF3A06">
        <w:trPr>
          <w:trHeight w:val="691"/>
        </w:trPr>
        <w:tc>
          <w:tcPr>
            <w:tcW w:w="2293" w:type="dxa"/>
            <w:tcBorders>
              <w:bottom w:val="single" w:sz="4" w:space="0" w:color="auto"/>
            </w:tcBorders>
            <w:hideMark/>
          </w:tcPr>
          <w:p w14:paraId="45FAB7F1" w14:textId="77777777" w:rsidR="00B21B7F" w:rsidRPr="00E84895" w:rsidRDefault="00B21B7F" w:rsidP="003750EA">
            <w:r w:rsidRPr="00E84895">
              <w:t>Action 6</w:t>
            </w:r>
          </w:p>
        </w:tc>
        <w:tc>
          <w:tcPr>
            <w:tcW w:w="3459" w:type="dxa"/>
            <w:tcBorders>
              <w:bottom w:val="single" w:sz="4" w:space="0" w:color="auto"/>
            </w:tcBorders>
            <w:hideMark/>
          </w:tcPr>
          <w:p w14:paraId="3E6F78D6" w14:textId="50E88596" w:rsidR="00B21B7F" w:rsidRPr="00E84895" w:rsidRDefault="00B21B7F" w:rsidP="003750EA">
            <w:r w:rsidRPr="00E84895">
              <w:t>Rewrite Statement of Inves</w:t>
            </w:r>
            <w:r w:rsidR="00BF39FB">
              <w:t>tment Principles section on RI/</w:t>
            </w:r>
            <w:r w:rsidRPr="00E84895">
              <w:t>ESG</w:t>
            </w:r>
          </w:p>
        </w:tc>
        <w:tc>
          <w:tcPr>
            <w:tcW w:w="5696" w:type="dxa"/>
            <w:tcBorders>
              <w:bottom w:val="single" w:sz="4" w:space="0" w:color="auto"/>
            </w:tcBorders>
            <w:hideMark/>
          </w:tcPr>
          <w:p w14:paraId="557B6CE1" w14:textId="77777777" w:rsidR="00B21B7F" w:rsidRPr="00E84895" w:rsidRDefault="00B21B7F" w:rsidP="003750EA">
            <w:pPr>
              <w:rPr>
                <w:i/>
                <w:iCs/>
              </w:rPr>
            </w:pPr>
            <w:r w:rsidRPr="00E84895">
              <w:rPr>
                <w:i/>
                <w:iCs/>
              </w:rPr>
              <w:t>Revised wording in relation to responsible investment was incorporated into the revision of the Statement of Investment Principles approved by the Pension Fund Committee on 27 March 2015. Any further changes as the Responsible Investment approach develops will be incorporated accordingly.</w:t>
            </w:r>
          </w:p>
        </w:tc>
        <w:tc>
          <w:tcPr>
            <w:tcW w:w="2500" w:type="dxa"/>
            <w:tcBorders>
              <w:bottom w:val="single" w:sz="4" w:space="0" w:color="auto"/>
            </w:tcBorders>
            <w:hideMark/>
          </w:tcPr>
          <w:p w14:paraId="7B0CC3FC" w14:textId="77777777" w:rsidR="00B21B7F" w:rsidRPr="00E84895" w:rsidRDefault="00B21B7F" w:rsidP="003750EA">
            <w:r w:rsidRPr="00E84895">
              <w:t>Concluded</w:t>
            </w:r>
          </w:p>
        </w:tc>
      </w:tr>
      <w:tr w:rsidR="00B21B7F" w:rsidRPr="00E84895" w14:paraId="077A0519" w14:textId="77777777" w:rsidTr="00FF3A06">
        <w:trPr>
          <w:trHeight w:val="295"/>
        </w:trPr>
        <w:tc>
          <w:tcPr>
            <w:tcW w:w="2293" w:type="dxa"/>
            <w:tcBorders>
              <w:top w:val="single" w:sz="4" w:space="0" w:color="auto"/>
              <w:left w:val="nil"/>
              <w:bottom w:val="single" w:sz="4" w:space="0" w:color="auto"/>
              <w:right w:val="nil"/>
            </w:tcBorders>
          </w:tcPr>
          <w:p w14:paraId="4EC5C10E" w14:textId="77777777" w:rsidR="00B21B7F" w:rsidRPr="00E84895" w:rsidRDefault="00B21B7F" w:rsidP="003750EA"/>
        </w:tc>
        <w:tc>
          <w:tcPr>
            <w:tcW w:w="3459" w:type="dxa"/>
            <w:tcBorders>
              <w:top w:val="single" w:sz="4" w:space="0" w:color="auto"/>
              <w:left w:val="nil"/>
              <w:bottom w:val="single" w:sz="4" w:space="0" w:color="auto"/>
              <w:right w:val="nil"/>
            </w:tcBorders>
          </w:tcPr>
          <w:p w14:paraId="138C1C71" w14:textId="77777777" w:rsidR="00B21B7F" w:rsidRPr="00E84895" w:rsidRDefault="00B21B7F" w:rsidP="003750EA"/>
        </w:tc>
        <w:tc>
          <w:tcPr>
            <w:tcW w:w="5696" w:type="dxa"/>
            <w:tcBorders>
              <w:top w:val="single" w:sz="4" w:space="0" w:color="auto"/>
              <w:left w:val="nil"/>
              <w:bottom w:val="single" w:sz="4" w:space="0" w:color="auto"/>
              <w:right w:val="nil"/>
            </w:tcBorders>
          </w:tcPr>
          <w:p w14:paraId="012BD32D" w14:textId="77777777" w:rsidR="00B21B7F" w:rsidRPr="00E84895" w:rsidRDefault="00B21B7F" w:rsidP="003750EA">
            <w:pPr>
              <w:rPr>
                <w:i/>
                <w:iCs/>
              </w:rPr>
            </w:pPr>
          </w:p>
        </w:tc>
        <w:tc>
          <w:tcPr>
            <w:tcW w:w="2500" w:type="dxa"/>
            <w:tcBorders>
              <w:top w:val="single" w:sz="4" w:space="0" w:color="auto"/>
              <w:left w:val="nil"/>
              <w:bottom w:val="single" w:sz="4" w:space="0" w:color="auto"/>
              <w:right w:val="nil"/>
            </w:tcBorders>
            <w:noWrap/>
          </w:tcPr>
          <w:p w14:paraId="09511AB3" w14:textId="77777777" w:rsidR="00B21B7F" w:rsidRPr="00E84895" w:rsidRDefault="00B21B7F" w:rsidP="003750EA"/>
        </w:tc>
      </w:tr>
      <w:tr w:rsidR="00B21B7F" w:rsidRPr="00E84895" w14:paraId="0E3DA0F1" w14:textId="77777777" w:rsidTr="00FF3A06">
        <w:trPr>
          <w:trHeight w:val="300"/>
        </w:trPr>
        <w:tc>
          <w:tcPr>
            <w:tcW w:w="13948" w:type="dxa"/>
            <w:gridSpan w:val="4"/>
            <w:tcBorders>
              <w:top w:val="single" w:sz="4" w:space="0" w:color="auto"/>
            </w:tcBorders>
            <w:hideMark/>
          </w:tcPr>
          <w:p w14:paraId="6F22344F" w14:textId="77777777" w:rsidR="00B21B7F" w:rsidRPr="00E84895" w:rsidRDefault="00B21B7F" w:rsidP="003750EA">
            <w:pPr>
              <w:rPr>
                <w:b/>
                <w:bCs/>
              </w:rPr>
            </w:pPr>
            <w:r w:rsidRPr="00E84895">
              <w:rPr>
                <w:b/>
                <w:bCs/>
              </w:rPr>
              <w:t>Analysis and Monitoring</w:t>
            </w:r>
          </w:p>
        </w:tc>
      </w:tr>
      <w:tr w:rsidR="00B21B7F" w:rsidRPr="00E84895" w14:paraId="4A57D3F0" w14:textId="77777777" w:rsidTr="00FF3A06">
        <w:trPr>
          <w:trHeight w:val="315"/>
        </w:trPr>
        <w:tc>
          <w:tcPr>
            <w:tcW w:w="13948" w:type="dxa"/>
            <w:gridSpan w:val="4"/>
            <w:hideMark/>
          </w:tcPr>
          <w:p w14:paraId="6D53FE83" w14:textId="77777777" w:rsidR="00B21B7F" w:rsidRPr="00E84895" w:rsidRDefault="00B21B7F" w:rsidP="003750EA">
            <w:r w:rsidRPr="00E84895">
              <w:t>Outcome 7</w:t>
            </w:r>
          </w:p>
        </w:tc>
      </w:tr>
      <w:tr w:rsidR="00B21B7F" w:rsidRPr="00E84895" w14:paraId="5B918CFA" w14:textId="77777777" w:rsidTr="00FF3A06">
        <w:trPr>
          <w:trHeight w:val="435"/>
        </w:trPr>
        <w:tc>
          <w:tcPr>
            <w:tcW w:w="13948" w:type="dxa"/>
            <w:gridSpan w:val="4"/>
            <w:hideMark/>
          </w:tcPr>
          <w:p w14:paraId="266A6AD7" w14:textId="7AB41DF5" w:rsidR="00B21B7F" w:rsidRPr="00E84895" w:rsidRDefault="00B21B7F" w:rsidP="003750EA">
            <w:r w:rsidRPr="00E84895">
              <w:t xml:space="preserve">Investigate the options for procuring/ signing up </w:t>
            </w:r>
            <w:r w:rsidR="00BF39FB">
              <w:t>to an SRI/ ESG monitoring tool/</w:t>
            </w:r>
            <w:r w:rsidRPr="00E84895">
              <w:t>service.</w:t>
            </w:r>
          </w:p>
        </w:tc>
      </w:tr>
      <w:tr w:rsidR="00B21B7F" w:rsidRPr="00E84895" w14:paraId="3F1D55E5" w14:textId="77777777" w:rsidTr="00FF3A06">
        <w:trPr>
          <w:trHeight w:val="3168"/>
        </w:trPr>
        <w:tc>
          <w:tcPr>
            <w:tcW w:w="2293" w:type="dxa"/>
            <w:hideMark/>
          </w:tcPr>
          <w:p w14:paraId="79DA289C" w14:textId="77777777" w:rsidR="00B21B7F" w:rsidRPr="00E84895" w:rsidRDefault="00B21B7F" w:rsidP="003750EA">
            <w:r w:rsidRPr="00E84895">
              <w:t>Action 7</w:t>
            </w:r>
          </w:p>
        </w:tc>
        <w:tc>
          <w:tcPr>
            <w:tcW w:w="3459" w:type="dxa"/>
            <w:hideMark/>
          </w:tcPr>
          <w:p w14:paraId="4154E80D" w14:textId="3A2774C0" w:rsidR="00B21B7F" w:rsidRPr="00E84895" w:rsidRDefault="00BF39FB" w:rsidP="003750EA">
            <w:r>
              <w:t>Procure/sign up to RI/</w:t>
            </w:r>
            <w:r w:rsidR="00B21B7F" w:rsidRPr="00E84895">
              <w:t>ESG monitoring tool/ service e.g. RobecoSAM</w:t>
            </w:r>
          </w:p>
        </w:tc>
        <w:tc>
          <w:tcPr>
            <w:tcW w:w="5696" w:type="dxa"/>
            <w:hideMark/>
          </w:tcPr>
          <w:p w14:paraId="0C435E38" w14:textId="3AD1E287" w:rsidR="00B21B7F" w:rsidRDefault="001A6263" w:rsidP="003750EA">
            <w:pPr>
              <w:rPr>
                <w:i/>
                <w:iCs/>
              </w:rPr>
            </w:pPr>
            <w:r>
              <w:rPr>
                <w:i/>
                <w:iCs/>
              </w:rPr>
              <w:t>P</w:t>
            </w:r>
            <w:r w:rsidR="00B21B7F" w:rsidRPr="00E84895">
              <w:rPr>
                <w:i/>
                <w:iCs/>
              </w:rPr>
              <w:t xml:space="preserve">rogress requires the Fund to determine </w:t>
            </w:r>
            <w:r w:rsidR="00F52C59">
              <w:rPr>
                <w:i/>
                <w:iCs/>
              </w:rPr>
              <w:t>(</w:t>
            </w:r>
            <w:r w:rsidR="00B21B7F" w:rsidRPr="00E84895">
              <w:rPr>
                <w:i/>
                <w:iCs/>
              </w:rPr>
              <w:t>through its Responsible Investment Policy</w:t>
            </w:r>
            <w:r w:rsidR="00F52C59">
              <w:rPr>
                <w:i/>
                <w:iCs/>
              </w:rPr>
              <w:t>)</w:t>
            </w:r>
            <w:r w:rsidR="00B21B7F" w:rsidRPr="00E84895">
              <w:rPr>
                <w:i/>
                <w:iCs/>
              </w:rPr>
              <w:t xml:space="preserve"> what its aims and aspirations are in this area before deciding upon the best way to fulfil these requirements.</w:t>
            </w:r>
          </w:p>
          <w:p w14:paraId="0F823A4D" w14:textId="77777777" w:rsidR="00F52C59" w:rsidRDefault="00F52C59" w:rsidP="003750EA">
            <w:pPr>
              <w:rPr>
                <w:i/>
                <w:iCs/>
              </w:rPr>
            </w:pPr>
          </w:p>
          <w:p w14:paraId="59886746" w14:textId="652E0D11" w:rsidR="00F52C59" w:rsidRDefault="00F52C59" w:rsidP="003750EA">
            <w:pPr>
              <w:rPr>
                <w:i/>
                <w:iCs/>
              </w:rPr>
            </w:pPr>
            <w:r>
              <w:rPr>
                <w:i/>
                <w:iCs/>
              </w:rPr>
              <w:t xml:space="preserve">Involvement in the development of an LGPS Procurement Framework for ESG services will provide </w:t>
            </w:r>
            <w:r w:rsidR="00C02400">
              <w:rPr>
                <w:i/>
                <w:iCs/>
              </w:rPr>
              <w:t xml:space="preserve">valuable </w:t>
            </w:r>
            <w:r>
              <w:rPr>
                <w:i/>
                <w:iCs/>
              </w:rPr>
              <w:t>insight into the services curr</w:t>
            </w:r>
            <w:r w:rsidR="00C02400">
              <w:rPr>
                <w:i/>
                <w:iCs/>
              </w:rPr>
              <w:t xml:space="preserve">ently available from the marketplace </w:t>
            </w:r>
            <w:r>
              <w:rPr>
                <w:i/>
                <w:iCs/>
              </w:rPr>
              <w:t xml:space="preserve">and </w:t>
            </w:r>
            <w:r w:rsidR="00C02400">
              <w:rPr>
                <w:i/>
                <w:iCs/>
              </w:rPr>
              <w:t xml:space="preserve">use of the framework </w:t>
            </w:r>
            <w:r>
              <w:rPr>
                <w:i/>
                <w:iCs/>
              </w:rPr>
              <w:t>will make the procurement of them a less onerous process</w:t>
            </w:r>
          </w:p>
          <w:p w14:paraId="78157402" w14:textId="77777777" w:rsidR="00EB1C03" w:rsidRDefault="00EB1C03" w:rsidP="003750EA">
            <w:pPr>
              <w:rPr>
                <w:i/>
                <w:iCs/>
              </w:rPr>
            </w:pPr>
          </w:p>
          <w:p w14:paraId="31E169E8" w14:textId="77777777" w:rsidR="00FF3A06" w:rsidRDefault="00FF3A06" w:rsidP="003750EA">
            <w:pPr>
              <w:rPr>
                <w:i/>
                <w:iCs/>
              </w:rPr>
            </w:pPr>
          </w:p>
          <w:p w14:paraId="2FA8BD34" w14:textId="77777777" w:rsidR="00FF3A06" w:rsidRDefault="00FF3A06" w:rsidP="003750EA">
            <w:pPr>
              <w:rPr>
                <w:i/>
                <w:iCs/>
              </w:rPr>
            </w:pPr>
          </w:p>
          <w:p w14:paraId="776F3826" w14:textId="77777777" w:rsidR="00FF3A06" w:rsidRDefault="00FF3A06" w:rsidP="003750EA">
            <w:pPr>
              <w:rPr>
                <w:i/>
                <w:iCs/>
              </w:rPr>
            </w:pPr>
          </w:p>
          <w:p w14:paraId="71570C77" w14:textId="4E0B9B2E" w:rsidR="00EB1C03" w:rsidRPr="00E84895" w:rsidRDefault="00EB1C03" w:rsidP="003750EA">
            <w:pPr>
              <w:rPr>
                <w:i/>
                <w:iCs/>
              </w:rPr>
            </w:pPr>
          </w:p>
        </w:tc>
        <w:tc>
          <w:tcPr>
            <w:tcW w:w="2500" w:type="dxa"/>
            <w:hideMark/>
          </w:tcPr>
          <w:p w14:paraId="338637F4" w14:textId="501666B2" w:rsidR="00B21B7F" w:rsidRPr="00E84895" w:rsidRDefault="00B21B7F" w:rsidP="003750EA">
            <w:r w:rsidRPr="00E84895">
              <w:t xml:space="preserve">Pending - subject to development / clarification of RI aspirations as part of 5a above </w:t>
            </w:r>
            <w:r w:rsidR="00F52C59">
              <w:t xml:space="preserve">and learning </w:t>
            </w:r>
            <w:r w:rsidR="00C02400">
              <w:t xml:space="preserve">gained </w:t>
            </w:r>
            <w:r w:rsidR="00F52C59">
              <w:t>from participation in the ESG procurement framework.</w:t>
            </w:r>
          </w:p>
        </w:tc>
      </w:tr>
      <w:tr w:rsidR="00FF3A06" w:rsidRPr="00E84895" w14:paraId="1A27A07B" w14:textId="77777777" w:rsidTr="00FF3A06">
        <w:trPr>
          <w:trHeight w:val="701"/>
        </w:trPr>
        <w:tc>
          <w:tcPr>
            <w:tcW w:w="2293" w:type="dxa"/>
            <w:hideMark/>
          </w:tcPr>
          <w:p w14:paraId="4DA2EAB0" w14:textId="77777777" w:rsidR="00FF3A06" w:rsidRPr="00E84895" w:rsidRDefault="00FF3A06" w:rsidP="00FF3A06">
            <w:pPr>
              <w:rPr>
                <w:b/>
                <w:bCs/>
              </w:rPr>
            </w:pPr>
            <w:r w:rsidRPr="00E84895">
              <w:rPr>
                <w:b/>
                <w:bCs/>
              </w:rPr>
              <w:t>Area</w:t>
            </w:r>
          </w:p>
        </w:tc>
        <w:tc>
          <w:tcPr>
            <w:tcW w:w="3459" w:type="dxa"/>
            <w:hideMark/>
          </w:tcPr>
          <w:p w14:paraId="7E123EFF" w14:textId="77777777" w:rsidR="00FF3A06" w:rsidRPr="00E84895" w:rsidRDefault="00FF3A06" w:rsidP="00FF3A06">
            <w:pPr>
              <w:rPr>
                <w:b/>
                <w:bCs/>
              </w:rPr>
            </w:pPr>
            <w:r w:rsidRPr="00E84895">
              <w:rPr>
                <w:b/>
                <w:bCs/>
              </w:rPr>
              <w:t>Action</w:t>
            </w:r>
          </w:p>
        </w:tc>
        <w:tc>
          <w:tcPr>
            <w:tcW w:w="5696" w:type="dxa"/>
            <w:hideMark/>
          </w:tcPr>
          <w:p w14:paraId="1D07B8DF" w14:textId="7D44490D" w:rsidR="00FF3A06" w:rsidRPr="00E84895" w:rsidRDefault="00FF3A06" w:rsidP="00FF3A06">
            <w:pPr>
              <w:rPr>
                <w:b/>
                <w:bCs/>
              </w:rPr>
            </w:pPr>
            <w:r w:rsidRPr="00E84895">
              <w:rPr>
                <w:b/>
                <w:bCs/>
              </w:rPr>
              <w:t xml:space="preserve">Update on actions taken and in planning </w:t>
            </w:r>
            <w:r>
              <w:rPr>
                <w:b/>
                <w:bCs/>
              </w:rPr>
              <w:t xml:space="preserve">/ progress </w:t>
            </w:r>
            <w:r w:rsidRPr="00E84895">
              <w:rPr>
                <w:b/>
                <w:bCs/>
              </w:rPr>
              <w:t>currently</w:t>
            </w:r>
          </w:p>
        </w:tc>
        <w:tc>
          <w:tcPr>
            <w:tcW w:w="2500" w:type="dxa"/>
            <w:noWrap/>
            <w:hideMark/>
          </w:tcPr>
          <w:p w14:paraId="4C4BFCA2" w14:textId="77777777" w:rsidR="00FF3A06" w:rsidRPr="00E84895" w:rsidRDefault="00FF3A06" w:rsidP="00FF3A06">
            <w:pPr>
              <w:rPr>
                <w:b/>
                <w:bCs/>
              </w:rPr>
            </w:pPr>
            <w:r w:rsidRPr="00E84895">
              <w:rPr>
                <w:b/>
                <w:bCs/>
              </w:rPr>
              <w:t>Status</w:t>
            </w:r>
          </w:p>
        </w:tc>
      </w:tr>
      <w:tr w:rsidR="00B21B7F" w:rsidRPr="00E84895" w14:paraId="1C640031" w14:textId="77777777" w:rsidTr="00FF3A06">
        <w:trPr>
          <w:trHeight w:val="300"/>
        </w:trPr>
        <w:tc>
          <w:tcPr>
            <w:tcW w:w="13948" w:type="dxa"/>
            <w:gridSpan w:val="4"/>
            <w:hideMark/>
          </w:tcPr>
          <w:p w14:paraId="63750C41" w14:textId="77777777" w:rsidR="00B21B7F" w:rsidRPr="00E84895" w:rsidRDefault="00B21B7F" w:rsidP="003750EA">
            <w:r w:rsidRPr="00E84895">
              <w:t>Outcome 8</w:t>
            </w:r>
          </w:p>
        </w:tc>
      </w:tr>
      <w:tr w:rsidR="00B21B7F" w:rsidRPr="00E84895" w14:paraId="0D59A85E" w14:textId="77777777" w:rsidTr="00FF3A06">
        <w:trPr>
          <w:trHeight w:val="405"/>
        </w:trPr>
        <w:tc>
          <w:tcPr>
            <w:tcW w:w="13948" w:type="dxa"/>
            <w:gridSpan w:val="4"/>
            <w:hideMark/>
          </w:tcPr>
          <w:p w14:paraId="436824D4" w14:textId="77777777" w:rsidR="00B21B7F" w:rsidRPr="00E84895" w:rsidRDefault="00B21B7F" w:rsidP="003750EA">
            <w:r w:rsidRPr="00E84895">
              <w:t>Formalise SRI/ ESG discussions with external investment managers as part of ongoing engagement.</w:t>
            </w:r>
          </w:p>
        </w:tc>
      </w:tr>
      <w:tr w:rsidR="00B21B7F" w:rsidRPr="00E84895" w14:paraId="7B555A01" w14:textId="77777777" w:rsidTr="00FF3A06">
        <w:trPr>
          <w:trHeight w:val="1258"/>
        </w:trPr>
        <w:tc>
          <w:tcPr>
            <w:tcW w:w="2293" w:type="dxa"/>
            <w:hideMark/>
          </w:tcPr>
          <w:p w14:paraId="439CDF56" w14:textId="77777777" w:rsidR="00B21B7F" w:rsidRPr="00E84895" w:rsidRDefault="00B21B7F" w:rsidP="003750EA">
            <w:r w:rsidRPr="00E84895">
              <w:t>Action 8</w:t>
            </w:r>
          </w:p>
        </w:tc>
        <w:tc>
          <w:tcPr>
            <w:tcW w:w="3459" w:type="dxa"/>
            <w:hideMark/>
          </w:tcPr>
          <w:p w14:paraId="7430C121" w14:textId="77777777" w:rsidR="00B21B7F" w:rsidRPr="00E84895" w:rsidRDefault="00B21B7F" w:rsidP="003750EA">
            <w:r w:rsidRPr="00E84895">
              <w:t>Create structured framework for ongoing discussions with external investment managers.</w:t>
            </w:r>
          </w:p>
        </w:tc>
        <w:tc>
          <w:tcPr>
            <w:tcW w:w="5696" w:type="dxa"/>
            <w:hideMark/>
          </w:tcPr>
          <w:p w14:paraId="2016CB40" w14:textId="77777777" w:rsidR="00F52C59" w:rsidRDefault="00B21B7F" w:rsidP="003750EA">
            <w:pPr>
              <w:rPr>
                <w:i/>
                <w:iCs/>
              </w:rPr>
            </w:pPr>
            <w:r w:rsidRPr="00E84895">
              <w:rPr>
                <w:i/>
                <w:iCs/>
              </w:rPr>
              <w:t xml:space="preserve">Action 8 (Engagement) will be addressed as part of Action 5a above. </w:t>
            </w:r>
          </w:p>
          <w:p w14:paraId="3BF956A1" w14:textId="77777777" w:rsidR="00F52C59" w:rsidRDefault="00F52C59" w:rsidP="003750EA">
            <w:pPr>
              <w:rPr>
                <w:i/>
                <w:iCs/>
              </w:rPr>
            </w:pPr>
          </w:p>
          <w:p w14:paraId="1942C57C" w14:textId="0A2097BF" w:rsidR="00F52C59" w:rsidRDefault="00F52C59" w:rsidP="003750EA">
            <w:pPr>
              <w:rPr>
                <w:i/>
                <w:iCs/>
              </w:rPr>
            </w:pPr>
            <w:r>
              <w:rPr>
                <w:i/>
                <w:iCs/>
              </w:rPr>
              <w:t xml:space="preserve">Meetings </w:t>
            </w:r>
            <w:r w:rsidR="00FF3A06">
              <w:rPr>
                <w:i/>
                <w:iCs/>
              </w:rPr>
              <w:t xml:space="preserve">held </w:t>
            </w:r>
            <w:r>
              <w:rPr>
                <w:i/>
                <w:iCs/>
              </w:rPr>
              <w:t xml:space="preserve">with Fund managers </w:t>
            </w:r>
            <w:r w:rsidR="00FF3A06">
              <w:rPr>
                <w:i/>
                <w:iCs/>
              </w:rPr>
              <w:t xml:space="preserve">as part of </w:t>
            </w:r>
            <w:r w:rsidR="00C02400">
              <w:rPr>
                <w:i/>
                <w:iCs/>
              </w:rPr>
              <w:t xml:space="preserve">the </w:t>
            </w:r>
            <w:r w:rsidR="00FF3A06">
              <w:rPr>
                <w:i/>
                <w:iCs/>
              </w:rPr>
              <w:t>ESG mapping</w:t>
            </w:r>
            <w:r w:rsidR="00C02400">
              <w:rPr>
                <w:i/>
                <w:iCs/>
              </w:rPr>
              <w:t xml:space="preserve"> exercise </w:t>
            </w:r>
            <w:r>
              <w:rPr>
                <w:i/>
                <w:iCs/>
              </w:rPr>
              <w:t>will include initial discussions about ongoing engagement on the subject of RI and ESG.</w:t>
            </w:r>
          </w:p>
          <w:p w14:paraId="023B6945" w14:textId="6A1068C2" w:rsidR="00F52C59" w:rsidRDefault="00B21B7F" w:rsidP="003750EA">
            <w:pPr>
              <w:rPr>
                <w:i/>
                <w:iCs/>
              </w:rPr>
            </w:pPr>
            <w:r w:rsidRPr="00E84895">
              <w:rPr>
                <w:i/>
                <w:iCs/>
              </w:rPr>
              <w:br/>
              <w:t>The development of an RI Policy will include consideration of what is practical and desirable in terms of a more structured approach and will identify any changes/additional requirements this places upon key personn</w:t>
            </w:r>
            <w:r>
              <w:rPr>
                <w:i/>
                <w:iCs/>
              </w:rPr>
              <w:t>e</w:t>
            </w:r>
            <w:r w:rsidRPr="00E84895">
              <w:rPr>
                <w:i/>
                <w:iCs/>
              </w:rPr>
              <w:t xml:space="preserve">l (including external investment managers) </w:t>
            </w:r>
            <w:r w:rsidR="00F52C59">
              <w:rPr>
                <w:i/>
                <w:iCs/>
              </w:rPr>
              <w:t>and</w:t>
            </w:r>
            <w:r w:rsidRPr="00E84895">
              <w:rPr>
                <w:i/>
                <w:iCs/>
              </w:rPr>
              <w:t xml:space="preserve"> existing processes</w:t>
            </w:r>
            <w:r w:rsidR="00EB1C03">
              <w:rPr>
                <w:i/>
                <w:iCs/>
              </w:rPr>
              <w:t>,</w:t>
            </w:r>
            <w:r w:rsidRPr="00E84895">
              <w:rPr>
                <w:i/>
                <w:iCs/>
              </w:rPr>
              <w:t xml:space="preserve"> in preparation for discussion and agreement.</w:t>
            </w:r>
            <w:r w:rsidRPr="00E84895">
              <w:rPr>
                <w:i/>
                <w:iCs/>
              </w:rPr>
              <w:br/>
            </w:r>
          </w:p>
          <w:p w14:paraId="0D6DF57E" w14:textId="30F24718" w:rsidR="00B21B7F" w:rsidRDefault="00FF3A06" w:rsidP="003750EA">
            <w:pPr>
              <w:rPr>
                <w:i/>
                <w:iCs/>
              </w:rPr>
            </w:pPr>
            <w:r>
              <w:rPr>
                <w:i/>
                <w:iCs/>
              </w:rPr>
              <w:t>The RI Policy (once</w:t>
            </w:r>
            <w:r w:rsidR="00B21B7F" w:rsidRPr="00E84895">
              <w:rPr>
                <w:i/>
                <w:iCs/>
              </w:rPr>
              <w:t xml:space="preserve"> drafted) will reflect the approach and advice on engaging with external fund managers set out within the NAPF publication "Incorporating ESG considerations into investment decisions" (This document was a PF Committee agenda item in March 2015).</w:t>
            </w:r>
          </w:p>
          <w:p w14:paraId="4E6FA8D5" w14:textId="77777777" w:rsidR="00B21B7F" w:rsidRPr="00E84895" w:rsidRDefault="00B21B7F" w:rsidP="003750EA">
            <w:pPr>
              <w:rPr>
                <w:i/>
                <w:iCs/>
              </w:rPr>
            </w:pPr>
          </w:p>
        </w:tc>
        <w:tc>
          <w:tcPr>
            <w:tcW w:w="2500" w:type="dxa"/>
            <w:noWrap/>
            <w:hideMark/>
          </w:tcPr>
          <w:p w14:paraId="2CACC6DA" w14:textId="1AA7C947" w:rsidR="00B21B7F" w:rsidRPr="00E84895" w:rsidRDefault="00FF3A06" w:rsidP="003750EA">
            <w:r>
              <w:t>Underway</w:t>
            </w:r>
          </w:p>
        </w:tc>
      </w:tr>
    </w:tbl>
    <w:p w14:paraId="146ADD24" w14:textId="319EDAF3" w:rsidR="00236CF1" w:rsidRDefault="00236CF1" w:rsidP="005A27AA">
      <w:pPr>
        <w:sectPr w:rsidR="00236CF1" w:rsidSect="00D24BA6">
          <w:pgSz w:w="16840" w:h="11907" w:orient="landscape" w:code="9"/>
          <w:pgMar w:top="851" w:right="1276" w:bottom="425" w:left="1134" w:header="720" w:footer="159" w:gutter="0"/>
          <w:cols w:space="720"/>
          <w:docGrid w:linePitch="326"/>
        </w:sectPr>
      </w:pPr>
    </w:p>
    <w:p w14:paraId="62B25C75" w14:textId="77777777" w:rsidR="003E6A45" w:rsidRPr="00EC0030" w:rsidRDefault="003E6A45">
      <w:pPr>
        <w:pStyle w:val="Heading1"/>
      </w:pPr>
      <w:r w:rsidRPr="00EC0030">
        <w:t>Consultations</w:t>
      </w:r>
    </w:p>
    <w:p w14:paraId="6F91DF0D" w14:textId="77777777" w:rsidR="003E6A45" w:rsidRPr="00EC0030" w:rsidRDefault="003E6A45">
      <w:pPr>
        <w:pStyle w:val="Header"/>
      </w:pPr>
    </w:p>
    <w:p w14:paraId="4A26DACD" w14:textId="77777777" w:rsidR="003E6A45" w:rsidRPr="00EC0030" w:rsidRDefault="003C30A9">
      <w:r w:rsidRPr="00EC0030">
        <w:t>N/A</w:t>
      </w:r>
    </w:p>
    <w:p w14:paraId="4FA4C5A9" w14:textId="77777777" w:rsidR="003E6A45" w:rsidRPr="00EC0030" w:rsidRDefault="003E6A45"/>
    <w:p w14:paraId="7F3FC067" w14:textId="77777777" w:rsidR="00772BBA" w:rsidRPr="00EC0030" w:rsidRDefault="003E6A45" w:rsidP="00772BBA">
      <w:r w:rsidRPr="00EC0030">
        <w:rPr>
          <w:b/>
        </w:rPr>
        <w:t>Implications</w:t>
      </w:r>
    </w:p>
    <w:p w14:paraId="4BC531B8" w14:textId="77777777" w:rsidR="00772BBA" w:rsidRPr="00EC0030" w:rsidRDefault="00772BBA" w:rsidP="00772BBA"/>
    <w:p w14:paraId="671134E3" w14:textId="5AFD261D" w:rsidR="00B8357F" w:rsidRPr="00EC0030" w:rsidRDefault="00B8357F" w:rsidP="00BF39FB">
      <w:pPr>
        <w:ind w:right="142"/>
        <w:jc w:val="both"/>
      </w:pPr>
      <w:r w:rsidRPr="00EC0030">
        <w:t>It is a key component of good governa</w:t>
      </w:r>
      <w:r w:rsidR="00BF39FB">
        <w:t xml:space="preserve">nce that the Fund is an engaged </w:t>
      </w:r>
      <w:r w:rsidRPr="00EC0030">
        <w:t>and responsible investor complying with the Stewardship Code.</w:t>
      </w:r>
    </w:p>
    <w:p w14:paraId="1A26C887" w14:textId="77777777" w:rsidR="00B8357F" w:rsidRPr="00EC0030" w:rsidRDefault="00B8357F" w:rsidP="00BF39FB">
      <w:pPr>
        <w:jc w:val="both"/>
      </w:pPr>
    </w:p>
    <w:p w14:paraId="5CE79146" w14:textId="77777777" w:rsidR="00B8357F" w:rsidRPr="00EC0030" w:rsidRDefault="00B8357F" w:rsidP="00BF39FB">
      <w:pPr>
        <w:jc w:val="both"/>
        <w:rPr>
          <w:b/>
        </w:rPr>
      </w:pPr>
      <w:r w:rsidRPr="00EC0030">
        <w:t>Well</w:t>
      </w:r>
      <w:r w:rsidR="00A53FAA" w:rsidRPr="00EC0030">
        <w:t>-</w:t>
      </w:r>
      <w:r w:rsidRPr="00EC0030">
        <w:t>run</w:t>
      </w:r>
      <w:r w:rsidR="00A53FAA" w:rsidRPr="00EC0030">
        <w:t>,</w:t>
      </w:r>
      <w:r w:rsidRPr="00EC0030">
        <w:t xml:space="preserve"> responsible companies are more likely to be successful and less likely to suffer from unexpected scandals</w:t>
      </w:r>
      <w:r w:rsidR="00EC0030" w:rsidRPr="00EC0030">
        <w:t xml:space="preserve"> which impact on shareholder value</w:t>
      </w:r>
      <w:r w:rsidRPr="00EC0030">
        <w:t>.</w:t>
      </w:r>
    </w:p>
    <w:p w14:paraId="3ABD070B" w14:textId="77777777" w:rsidR="00B8357F" w:rsidRPr="00EC0030" w:rsidRDefault="00B8357F" w:rsidP="00BF39FB">
      <w:pPr>
        <w:jc w:val="both"/>
        <w:rPr>
          <w:b/>
        </w:rPr>
      </w:pPr>
    </w:p>
    <w:p w14:paraId="00C3F7F5" w14:textId="77777777" w:rsidR="00772BBA" w:rsidRPr="00EC0030" w:rsidRDefault="00772BBA" w:rsidP="00BF39FB">
      <w:pPr>
        <w:jc w:val="both"/>
        <w:rPr>
          <w:b/>
        </w:rPr>
      </w:pPr>
      <w:r w:rsidRPr="00EC0030">
        <w:rPr>
          <w:b/>
        </w:rPr>
        <w:t>Risk management</w:t>
      </w:r>
    </w:p>
    <w:p w14:paraId="790C2600" w14:textId="77777777" w:rsidR="00772BBA" w:rsidRPr="00EC0030" w:rsidRDefault="00772BBA" w:rsidP="00BF39FB">
      <w:pPr>
        <w:jc w:val="both"/>
      </w:pPr>
    </w:p>
    <w:p w14:paraId="621AD073" w14:textId="77777777" w:rsidR="00B8357F" w:rsidRPr="00EC0030" w:rsidRDefault="00B8357F" w:rsidP="00BF39FB">
      <w:pPr>
        <w:jc w:val="both"/>
      </w:pPr>
      <w:r w:rsidRPr="00EC0030">
        <w:t>The promotion of good responsible corporate governance in the companies the Fund is invested in reduces the risk of unexpected losses arising as a result of poor over-sight and lack of independence.</w:t>
      </w:r>
    </w:p>
    <w:p w14:paraId="39BBBA4C" w14:textId="77777777" w:rsidR="00772BBA" w:rsidRPr="00EC0030" w:rsidRDefault="00772BBA" w:rsidP="00BF39FB">
      <w:pPr>
        <w:jc w:val="both"/>
      </w:pPr>
    </w:p>
    <w:p w14:paraId="71E6CC60" w14:textId="77777777" w:rsidR="003C30A9" w:rsidRPr="00EC0030" w:rsidRDefault="003C30A9" w:rsidP="00BF39FB">
      <w:pPr>
        <w:jc w:val="both"/>
      </w:pPr>
      <w:r w:rsidRPr="00EC0030">
        <w:t xml:space="preserve">Involvement in a non-US type of “class action” may result in </w:t>
      </w:r>
      <w:r w:rsidR="00EC0030" w:rsidRPr="00EC0030">
        <w:t xml:space="preserve">the recovery of </w:t>
      </w:r>
      <w:r w:rsidRPr="00EC0030">
        <w:t>los</w:t>
      </w:r>
      <w:r w:rsidR="00EC0030" w:rsidRPr="00EC0030">
        <w:t xml:space="preserve">ses incurred by </w:t>
      </w:r>
      <w:r w:rsidR="00905EDA" w:rsidRPr="00EC0030">
        <w:t>the Fund</w:t>
      </w:r>
      <w:r w:rsidR="00EC0030" w:rsidRPr="00EC0030">
        <w:t xml:space="preserve"> </w:t>
      </w:r>
      <w:r w:rsidRPr="00EC0030">
        <w:t>but</w:t>
      </w:r>
      <w:r w:rsidR="00EC0030" w:rsidRPr="00EC0030">
        <w:t>,</w:t>
      </w:r>
      <w:r w:rsidRPr="00EC0030">
        <w:t xml:space="preserve"> should the claim be lost</w:t>
      </w:r>
      <w:r w:rsidR="00EC0030" w:rsidRPr="00EC0030">
        <w:t xml:space="preserve">, </w:t>
      </w:r>
      <w:r w:rsidRPr="00EC0030">
        <w:t xml:space="preserve">the Fund may incur related costs which may not be known with certainty at the time of filing. </w:t>
      </w:r>
    </w:p>
    <w:p w14:paraId="3E3B65C1" w14:textId="77777777" w:rsidR="003C30A9" w:rsidRPr="00EC0030" w:rsidRDefault="003C30A9" w:rsidP="00BF39FB">
      <w:pPr>
        <w:jc w:val="both"/>
      </w:pPr>
    </w:p>
    <w:p w14:paraId="07BB5FBA" w14:textId="77777777" w:rsidR="003C30A9" w:rsidRPr="00EC0030" w:rsidRDefault="003C30A9" w:rsidP="00BF39FB">
      <w:pPr>
        <w:jc w:val="both"/>
      </w:pPr>
      <w:r w:rsidRPr="00EC0030">
        <w:t xml:space="preserve">Should the claimants in the litigation against RBS fail, then it is possible that LCPF faces having to make a contribution towards RBS costs notwithstanding the insurance </w:t>
      </w:r>
      <w:r w:rsidR="00F265CC">
        <w:t xml:space="preserve">which is </w:t>
      </w:r>
      <w:r w:rsidRPr="00EC0030">
        <w:t>in place.  The amount of any shortfall following an insurance settlement and the LCPF contribution thereto is impossible to quantify at this stage.</w:t>
      </w:r>
    </w:p>
    <w:p w14:paraId="3A542867" w14:textId="77777777" w:rsidR="003C30A9" w:rsidRPr="00EC0030" w:rsidRDefault="003C30A9" w:rsidP="00BF39FB">
      <w:pPr>
        <w:jc w:val="both"/>
      </w:pPr>
    </w:p>
    <w:p w14:paraId="499EDC59" w14:textId="77777777" w:rsidR="003C30A9" w:rsidRPr="00EC0030" w:rsidRDefault="003C30A9" w:rsidP="00BF39FB">
      <w:pPr>
        <w:jc w:val="both"/>
      </w:pPr>
      <w:r w:rsidRPr="00EC0030">
        <w:t xml:space="preserve">Furthermore, if </w:t>
      </w:r>
      <w:r w:rsidR="00EC0030" w:rsidRPr="00EC0030">
        <w:t xml:space="preserve">the case is </w:t>
      </w:r>
      <w:r w:rsidRPr="00EC0030">
        <w:t xml:space="preserve">successful the LCPF will be required to pay the amounts owing </w:t>
      </w:r>
      <w:r w:rsidR="00EC0030" w:rsidRPr="00EC0030">
        <w:t xml:space="preserve">for Legal Services </w:t>
      </w:r>
      <w:r w:rsidRPr="00EC0030">
        <w:t xml:space="preserve">under the Conditional Fee Agreement (insofar as not recovered from RBS) and </w:t>
      </w:r>
      <w:r w:rsidR="00EC0030" w:rsidRPr="00EC0030">
        <w:t xml:space="preserve">to </w:t>
      </w:r>
      <w:r w:rsidRPr="00EC0030">
        <w:t>pay a proportion of any sum recovered to the funder from the proceeds of the litigation.</w:t>
      </w:r>
    </w:p>
    <w:p w14:paraId="6E780F81" w14:textId="77777777" w:rsidR="003C30A9" w:rsidRPr="00EC0030" w:rsidRDefault="003C30A9" w:rsidP="003C30A9"/>
    <w:p w14:paraId="0EF7CB84" w14:textId="77777777" w:rsidR="00EE5FAD" w:rsidRPr="00EC0030" w:rsidRDefault="00EE5FAD" w:rsidP="00EE5FAD">
      <w:pPr>
        <w:pStyle w:val="Heading5"/>
        <w:rPr>
          <w:rFonts w:ascii="Arial" w:hAnsi="Arial"/>
          <w:u w:val="none"/>
        </w:rPr>
      </w:pPr>
      <w:r w:rsidRPr="00EC0030">
        <w:rPr>
          <w:rFonts w:ascii="Arial" w:hAnsi="Arial"/>
          <w:u w:val="none"/>
        </w:rPr>
        <w:t>Local Government (Access to Information) Act 1985</w:t>
      </w:r>
    </w:p>
    <w:p w14:paraId="53473FF9" w14:textId="77777777" w:rsidR="00EE5FAD" w:rsidRPr="00EC0030" w:rsidRDefault="00EE5FAD" w:rsidP="00EE5FAD">
      <w:pPr>
        <w:pStyle w:val="Heading5"/>
        <w:rPr>
          <w:rFonts w:ascii="Arial" w:hAnsi="Arial"/>
          <w:u w:val="none"/>
        </w:rPr>
      </w:pPr>
      <w:r w:rsidRPr="00EC0030">
        <w:rPr>
          <w:rFonts w:ascii="Arial" w:hAnsi="Arial"/>
          <w:u w:val="none"/>
        </w:rPr>
        <w:t>List of Background Papers</w:t>
      </w:r>
    </w:p>
    <w:p w14:paraId="6F6E160F" w14:textId="77777777" w:rsidR="00EE5FAD" w:rsidRPr="00EC0030" w:rsidRDefault="00EE5FAD" w:rsidP="00EE5FAD"/>
    <w:tbl>
      <w:tblPr>
        <w:tblW w:w="0" w:type="auto"/>
        <w:tblInd w:w="-108" w:type="dxa"/>
        <w:tblLayout w:type="fixed"/>
        <w:tblLook w:val="0000" w:firstRow="0" w:lastRow="0" w:firstColumn="0" w:lastColumn="0" w:noHBand="0" w:noVBand="0"/>
      </w:tblPr>
      <w:tblGrid>
        <w:gridCol w:w="108"/>
        <w:gridCol w:w="3119"/>
        <w:gridCol w:w="108"/>
        <w:gridCol w:w="2667"/>
        <w:gridCol w:w="108"/>
        <w:gridCol w:w="3070"/>
        <w:gridCol w:w="108"/>
      </w:tblGrid>
      <w:tr w:rsidR="0042193C" w:rsidRPr="00EC0030" w14:paraId="45D275AE" w14:textId="77777777" w:rsidTr="00BF39FB">
        <w:trPr>
          <w:gridBefore w:val="1"/>
          <w:wBefore w:w="108" w:type="dxa"/>
        </w:trPr>
        <w:tc>
          <w:tcPr>
            <w:tcW w:w="3227" w:type="dxa"/>
            <w:gridSpan w:val="2"/>
          </w:tcPr>
          <w:p w14:paraId="6D513F26" w14:textId="77777777" w:rsidR="00EE5FAD" w:rsidRPr="00EC0030" w:rsidRDefault="00EE5FAD" w:rsidP="00BF39FB">
            <w:pPr>
              <w:pStyle w:val="Heading7"/>
              <w:ind w:left="-108"/>
              <w:rPr>
                <w:rFonts w:ascii="Arial" w:hAnsi="Arial"/>
                <w:u w:val="none"/>
              </w:rPr>
            </w:pPr>
            <w:r w:rsidRPr="00EC0030">
              <w:rPr>
                <w:rFonts w:ascii="Arial" w:hAnsi="Arial"/>
                <w:u w:val="none"/>
              </w:rPr>
              <w:t>Paper</w:t>
            </w:r>
          </w:p>
        </w:tc>
        <w:tc>
          <w:tcPr>
            <w:tcW w:w="2775" w:type="dxa"/>
            <w:gridSpan w:val="2"/>
          </w:tcPr>
          <w:p w14:paraId="60F07ED4" w14:textId="77777777" w:rsidR="00EE5FAD" w:rsidRPr="00EC0030" w:rsidRDefault="00EE5FAD" w:rsidP="00BF39FB">
            <w:pPr>
              <w:pStyle w:val="Heading7"/>
              <w:ind w:left="-74"/>
              <w:rPr>
                <w:rFonts w:ascii="Arial" w:hAnsi="Arial"/>
                <w:u w:val="none"/>
              </w:rPr>
            </w:pPr>
            <w:r w:rsidRPr="00EC0030">
              <w:rPr>
                <w:rFonts w:ascii="Arial" w:hAnsi="Arial"/>
                <w:u w:val="none"/>
              </w:rPr>
              <w:t>Date</w:t>
            </w:r>
          </w:p>
        </w:tc>
        <w:tc>
          <w:tcPr>
            <w:tcW w:w="3178" w:type="dxa"/>
            <w:gridSpan w:val="2"/>
          </w:tcPr>
          <w:p w14:paraId="053E65C2" w14:textId="00EA30FD" w:rsidR="00EE5FAD" w:rsidRPr="00EC0030" w:rsidRDefault="00EE5FAD" w:rsidP="00BF39FB">
            <w:pPr>
              <w:pStyle w:val="Heading7"/>
              <w:ind w:left="127" w:hanging="142"/>
              <w:rPr>
                <w:rFonts w:ascii="Arial" w:hAnsi="Arial"/>
                <w:u w:val="none"/>
              </w:rPr>
            </w:pPr>
            <w:r w:rsidRPr="00EC0030">
              <w:rPr>
                <w:rFonts w:ascii="Arial" w:hAnsi="Arial"/>
                <w:u w:val="none"/>
              </w:rPr>
              <w:t>Contact/</w:t>
            </w:r>
            <w:r w:rsidR="00BF39FB">
              <w:rPr>
                <w:rFonts w:ascii="Arial" w:hAnsi="Arial"/>
                <w:u w:val="none"/>
              </w:rPr>
              <w:t>T</w:t>
            </w:r>
            <w:r w:rsidRPr="00EC0030">
              <w:rPr>
                <w:rFonts w:ascii="Arial" w:hAnsi="Arial"/>
                <w:u w:val="none"/>
              </w:rPr>
              <w:t>el</w:t>
            </w:r>
          </w:p>
        </w:tc>
      </w:tr>
      <w:tr w:rsidR="0042193C" w:rsidRPr="00EC0030" w14:paraId="22F50D09" w14:textId="77777777" w:rsidTr="00BF39FB">
        <w:trPr>
          <w:gridAfter w:val="1"/>
          <w:wAfter w:w="108" w:type="dxa"/>
        </w:trPr>
        <w:tc>
          <w:tcPr>
            <w:tcW w:w="3227" w:type="dxa"/>
            <w:gridSpan w:val="2"/>
          </w:tcPr>
          <w:p w14:paraId="35F96283" w14:textId="77777777" w:rsidR="00EE5FAD" w:rsidRPr="00EC0030" w:rsidRDefault="00EE5FAD" w:rsidP="00EE5FAD">
            <w:pPr>
              <w:pStyle w:val="Heading7"/>
              <w:rPr>
                <w:rFonts w:ascii="Arial" w:hAnsi="Arial"/>
                <w:u w:val="none"/>
              </w:rPr>
            </w:pPr>
          </w:p>
          <w:p w14:paraId="3B450E50" w14:textId="77777777" w:rsidR="00EE5FAD" w:rsidRPr="00EC0030" w:rsidRDefault="00EE5FAD" w:rsidP="00EE5FAD">
            <w:r w:rsidRPr="00EC0030">
              <w:t xml:space="preserve">Report </w:t>
            </w:r>
            <w:r w:rsidR="00A53FAA" w:rsidRPr="00EC0030">
              <w:t xml:space="preserve">of the </w:t>
            </w:r>
            <w:r w:rsidRPr="00EC0030">
              <w:t xml:space="preserve">SRI Working Group </w:t>
            </w:r>
            <w:r w:rsidR="00A53FAA" w:rsidRPr="00EC0030">
              <w:t xml:space="preserve">to Pension Fund Committee </w:t>
            </w:r>
            <w:r w:rsidRPr="00EC0030">
              <w:t xml:space="preserve">– </w:t>
            </w:r>
            <w:r w:rsidR="00A53FAA" w:rsidRPr="00EC0030">
              <w:t>November</w:t>
            </w:r>
            <w:r w:rsidRPr="00EC0030">
              <w:t xml:space="preserve"> 2014</w:t>
            </w:r>
          </w:p>
          <w:p w14:paraId="6342DAEB" w14:textId="77777777" w:rsidR="00EE5FAD" w:rsidRPr="00EC0030" w:rsidRDefault="00EE5FAD" w:rsidP="00EE5FAD"/>
          <w:p w14:paraId="16D54AA1" w14:textId="77777777" w:rsidR="00EE5FAD" w:rsidRPr="00EC0030" w:rsidRDefault="00EE5FAD" w:rsidP="00EE5FAD">
            <w:r w:rsidRPr="00EC0030">
              <w:t>National Association of Pension Funds (NAPF) Responsible Investment Guide</w:t>
            </w:r>
          </w:p>
          <w:p w14:paraId="0F9CD37D" w14:textId="77777777" w:rsidR="00EE5FAD" w:rsidRPr="00EC0030" w:rsidRDefault="00EE5FAD" w:rsidP="00EE5FAD"/>
        </w:tc>
        <w:tc>
          <w:tcPr>
            <w:tcW w:w="2775" w:type="dxa"/>
            <w:gridSpan w:val="2"/>
          </w:tcPr>
          <w:p w14:paraId="0E6A2374" w14:textId="77777777" w:rsidR="00EE5FAD" w:rsidRPr="00EC0030" w:rsidRDefault="00EE5FAD" w:rsidP="00EE5FAD">
            <w:pPr>
              <w:pStyle w:val="Heading7"/>
              <w:rPr>
                <w:rFonts w:ascii="Arial" w:hAnsi="Arial"/>
                <w:u w:val="none"/>
              </w:rPr>
            </w:pPr>
          </w:p>
          <w:p w14:paraId="18DEBFBB" w14:textId="77777777" w:rsidR="00EE5FAD" w:rsidRPr="00EC0030" w:rsidRDefault="00A53FAA" w:rsidP="00EE5FAD">
            <w:r w:rsidRPr="00EC0030">
              <w:t>27 November</w:t>
            </w:r>
            <w:r w:rsidR="00EE5FAD" w:rsidRPr="00EC0030">
              <w:t xml:space="preserve"> 2014</w:t>
            </w:r>
          </w:p>
          <w:p w14:paraId="346E3151" w14:textId="77777777" w:rsidR="00EE5FAD" w:rsidRPr="00EC0030" w:rsidRDefault="00EE5FAD" w:rsidP="00EE5FAD"/>
          <w:p w14:paraId="0266B5BD" w14:textId="77777777" w:rsidR="00EE5FAD" w:rsidRPr="00EC0030" w:rsidRDefault="00EE5FAD" w:rsidP="00EE5FAD"/>
          <w:p w14:paraId="3956C7D0" w14:textId="77777777" w:rsidR="00EE5FAD" w:rsidRPr="00EC0030" w:rsidRDefault="00EE5FAD" w:rsidP="00EE5FAD"/>
          <w:p w14:paraId="513C3A39" w14:textId="77777777" w:rsidR="00EE5FAD" w:rsidRPr="00EC0030" w:rsidRDefault="00EE5FAD" w:rsidP="00EE5FAD"/>
          <w:p w14:paraId="0E928E60" w14:textId="77777777" w:rsidR="00EE5FAD" w:rsidRPr="00EC0030" w:rsidRDefault="00EE5FAD" w:rsidP="00EE5FAD">
            <w:r w:rsidRPr="00EC0030">
              <w:t>2013</w:t>
            </w:r>
          </w:p>
        </w:tc>
        <w:tc>
          <w:tcPr>
            <w:tcW w:w="3178" w:type="dxa"/>
            <w:gridSpan w:val="2"/>
          </w:tcPr>
          <w:p w14:paraId="276CC168" w14:textId="77777777" w:rsidR="00EE5FAD" w:rsidRPr="00EC0030" w:rsidRDefault="00EE5FAD" w:rsidP="00EE5FAD"/>
          <w:p w14:paraId="12448608" w14:textId="5ED8EC1F" w:rsidR="00EE5FAD" w:rsidRPr="00EC0030" w:rsidRDefault="00BF39FB" w:rsidP="00EE5FAD">
            <w:r>
              <w:t>Andrew Fox, (</w:t>
            </w:r>
            <w:r w:rsidR="00EE5FAD" w:rsidRPr="00EC0030">
              <w:t>01772</w:t>
            </w:r>
            <w:r>
              <w:t>)</w:t>
            </w:r>
            <w:r w:rsidR="00EE5FAD" w:rsidRPr="00EC0030">
              <w:t xml:space="preserve"> 535916</w:t>
            </w:r>
          </w:p>
          <w:p w14:paraId="69D68CD0" w14:textId="77777777" w:rsidR="00EE5FAD" w:rsidRPr="00EC0030" w:rsidRDefault="00EE5FAD" w:rsidP="00EE5FAD"/>
          <w:p w14:paraId="66E4F255" w14:textId="77777777" w:rsidR="00A53FAA" w:rsidRPr="00EC0030" w:rsidRDefault="00A53FAA" w:rsidP="00EE5FAD"/>
          <w:p w14:paraId="4440FF6A" w14:textId="77777777" w:rsidR="00BF39FB" w:rsidRDefault="00BF39FB" w:rsidP="00BF39FB"/>
          <w:p w14:paraId="7831A0DC" w14:textId="0BD9F963" w:rsidR="00EE5FAD" w:rsidRPr="00EC0030" w:rsidRDefault="00BF39FB" w:rsidP="00BF39FB">
            <w:r>
              <w:t>Andrew Fox, (</w:t>
            </w:r>
            <w:r w:rsidR="00EE5FAD" w:rsidRPr="00EC0030">
              <w:t>01772</w:t>
            </w:r>
            <w:r>
              <w:t>)</w:t>
            </w:r>
            <w:r w:rsidR="00EE5FAD" w:rsidRPr="00EC0030">
              <w:t xml:space="preserve"> 535916</w:t>
            </w:r>
          </w:p>
        </w:tc>
      </w:tr>
      <w:tr w:rsidR="00EE5FAD" w:rsidRPr="00EC0030" w14:paraId="6857C01B" w14:textId="77777777" w:rsidTr="00BF39FB">
        <w:trPr>
          <w:gridAfter w:val="1"/>
          <w:wAfter w:w="108" w:type="dxa"/>
          <w:trHeight w:val="1224"/>
        </w:trPr>
        <w:tc>
          <w:tcPr>
            <w:tcW w:w="9180" w:type="dxa"/>
            <w:gridSpan w:val="6"/>
          </w:tcPr>
          <w:p w14:paraId="2E01E883" w14:textId="77777777" w:rsidR="00EE5FAD" w:rsidRPr="00EC0030" w:rsidRDefault="00EE5FAD" w:rsidP="00EE5FAD">
            <w:r w:rsidRPr="00EC0030">
              <w:t>Reason for inclusion in Part II, if appropriate</w:t>
            </w:r>
          </w:p>
          <w:p w14:paraId="00C931E0" w14:textId="77777777" w:rsidR="00D24BA6" w:rsidRDefault="00D24BA6" w:rsidP="00A53FAA"/>
          <w:p w14:paraId="1A41C60E" w14:textId="77777777" w:rsidR="00EE5FAD" w:rsidRPr="00EC0030" w:rsidRDefault="00EE5FAD" w:rsidP="00A53FAA">
            <w:r w:rsidRPr="00EC0030">
              <w:t>N/A</w:t>
            </w:r>
          </w:p>
        </w:tc>
      </w:tr>
    </w:tbl>
    <w:p w14:paraId="6CAE6279" w14:textId="77777777" w:rsidR="00D24BA6" w:rsidRPr="0042193C" w:rsidRDefault="00D24BA6" w:rsidP="00D24BA6">
      <w:pPr>
        <w:rPr>
          <w:color w:val="00B050"/>
        </w:rPr>
      </w:pPr>
    </w:p>
    <w:sectPr w:rsidR="00D24BA6" w:rsidRPr="0042193C" w:rsidSect="00BF39FB">
      <w:footerReference w:type="first" r:id="rId11"/>
      <w:pgSz w:w="11907" w:h="16840" w:code="9"/>
      <w:pgMar w:top="1276" w:right="1842" w:bottom="1135" w:left="851" w:header="720" w:footer="15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8A036" w14:textId="77777777" w:rsidR="0014213D" w:rsidRDefault="0014213D">
      <w:r>
        <w:separator/>
      </w:r>
    </w:p>
  </w:endnote>
  <w:endnote w:type="continuationSeparator" w:id="0">
    <w:p w14:paraId="55039168" w14:textId="77777777" w:rsidR="0014213D" w:rsidRDefault="0014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4213D" w14:paraId="78DCBC69" w14:textId="77777777">
      <w:tc>
        <w:tcPr>
          <w:tcW w:w="9243" w:type="dxa"/>
          <w:tcBorders>
            <w:top w:val="nil"/>
            <w:left w:val="nil"/>
            <w:bottom w:val="nil"/>
            <w:right w:val="nil"/>
          </w:tcBorders>
        </w:tcPr>
        <w:p w14:paraId="4187267F" w14:textId="77777777" w:rsidR="0014213D" w:rsidRDefault="0014213D">
          <w:pPr>
            <w:pStyle w:val="Footer"/>
            <w:tabs>
              <w:tab w:val="clear" w:pos="4153"/>
            </w:tabs>
            <w:ind w:right="-45"/>
            <w:jc w:val="right"/>
          </w:pPr>
        </w:p>
      </w:tc>
    </w:tr>
  </w:tbl>
  <w:p w14:paraId="47350606" w14:textId="77777777" w:rsidR="0014213D" w:rsidRDefault="0014213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4213D" w14:paraId="4FD9370D" w14:textId="77777777">
      <w:tc>
        <w:tcPr>
          <w:tcW w:w="9243" w:type="dxa"/>
          <w:tcBorders>
            <w:top w:val="nil"/>
            <w:left w:val="nil"/>
            <w:bottom w:val="nil"/>
            <w:right w:val="nil"/>
          </w:tcBorders>
        </w:tcPr>
        <w:p w14:paraId="0281FD25" w14:textId="21967C8C" w:rsidR="0014213D" w:rsidRDefault="00BF39FB">
          <w:pPr>
            <w:pStyle w:val="Footer"/>
            <w:tabs>
              <w:tab w:val="clear" w:pos="4153"/>
            </w:tabs>
            <w:ind w:right="-45"/>
            <w:jc w:val="right"/>
          </w:pPr>
          <w:r>
            <w:rPr>
              <w:noProof/>
            </w:rPr>
            <w:drawing>
              <wp:inline distT="0" distB="0" distL="0" distR="0" wp14:anchorId="57CFAEC5" wp14:editId="325C7F90">
                <wp:extent cx="1256030" cy="628015"/>
                <wp:effectExtent l="0" t="0" r="1270" b="635"/>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28015"/>
                        </a:xfrm>
                        <a:prstGeom prst="rect">
                          <a:avLst/>
                        </a:prstGeom>
                        <a:noFill/>
                        <a:ln>
                          <a:noFill/>
                        </a:ln>
                      </pic:spPr>
                    </pic:pic>
                  </a:graphicData>
                </a:graphic>
              </wp:inline>
            </w:drawing>
          </w:r>
        </w:p>
      </w:tc>
    </w:tr>
  </w:tbl>
  <w:p w14:paraId="5B21D9EC" w14:textId="77777777" w:rsidR="0014213D" w:rsidRDefault="0014213D">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4213D" w14:paraId="23E85F87" w14:textId="77777777">
      <w:tc>
        <w:tcPr>
          <w:tcW w:w="9243" w:type="dxa"/>
          <w:tcBorders>
            <w:top w:val="nil"/>
            <w:left w:val="nil"/>
            <w:bottom w:val="nil"/>
            <w:right w:val="nil"/>
          </w:tcBorders>
        </w:tcPr>
        <w:p w14:paraId="14F55C73" w14:textId="77777777" w:rsidR="0014213D" w:rsidRDefault="0014213D">
          <w:pPr>
            <w:pStyle w:val="Footer"/>
            <w:tabs>
              <w:tab w:val="clear" w:pos="4153"/>
            </w:tabs>
            <w:ind w:right="-45"/>
            <w:jc w:val="right"/>
          </w:pPr>
        </w:p>
      </w:tc>
    </w:tr>
  </w:tbl>
  <w:p w14:paraId="24A576EA" w14:textId="77777777" w:rsidR="0014213D" w:rsidRDefault="0014213D" w:rsidP="00F74E6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207E3" w14:textId="77777777" w:rsidR="0014213D" w:rsidRDefault="0014213D">
      <w:r>
        <w:separator/>
      </w:r>
    </w:p>
  </w:footnote>
  <w:footnote w:type="continuationSeparator" w:id="0">
    <w:p w14:paraId="264BE321" w14:textId="77777777" w:rsidR="0014213D" w:rsidRDefault="00142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D8A"/>
    <w:multiLevelType w:val="hybridMultilevel"/>
    <w:tmpl w:val="8384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229"/>
    <w:multiLevelType w:val="hybridMultilevel"/>
    <w:tmpl w:val="A40A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4ED6"/>
    <w:multiLevelType w:val="hybridMultilevel"/>
    <w:tmpl w:val="446EA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E7D7EB8"/>
    <w:multiLevelType w:val="hybridMultilevel"/>
    <w:tmpl w:val="E3EEBE94"/>
    <w:lvl w:ilvl="0" w:tplc="B5DC6FD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7F0427"/>
    <w:multiLevelType w:val="hybridMultilevel"/>
    <w:tmpl w:val="1166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E4392"/>
    <w:multiLevelType w:val="hybridMultilevel"/>
    <w:tmpl w:val="E280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63A34"/>
    <w:multiLevelType w:val="multilevel"/>
    <w:tmpl w:val="23A84C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F70686"/>
    <w:multiLevelType w:val="hybridMultilevel"/>
    <w:tmpl w:val="EA64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500D8"/>
    <w:multiLevelType w:val="multilevel"/>
    <w:tmpl w:val="0436FF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F85B44"/>
    <w:multiLevelType w:val="hybridMultilevel"/>
    <w:tmpl w:val="09206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34375"/>
    <w:multiLevelType w:val="hybridMultilevel"/>
    <w:tmpl w:val="4170E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F68A6"/>
    <w:multiLevelType w:val="hybridMultilevel"/>
    <w:tmpl w:val="C6C2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12E71"/>
    <w:multiLevelType w:val="hybridMultilevel"/>
    <w:tmpl w:val="C1E027A4"/>
    <w:lvl w:ilvl="0" w:tplc="0809000F">
      <w:start w:val="1"/>
      <w:numFmt w:val="decimal"/>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3" w15:restartNumberingAfterBreak="0">
    <w:nsid w:val="3CBA68D0"/>
    <w:multiLevelType w:val="hybridMultilevel"/>
    <w:tmpl w:val="4194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21577"/>
    <w:multiLevelType w:val="hybridMultilevel"/>
    <w:tmpl w:val="C000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3601A"/>
    <w:multiLevelType w:val="hybridMultilevel"/>
    <w:tmpl w:val="0BC4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8536B"/>
    <w:multiLevelType w:val="hybridMultilevel"/>
    <w:tmpl w:val="D78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94238"/>
    <w:multiLevelType w:val="hybridMultilevel"/>
    <w:tmpl w:val="CA220C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BE33F7"/>
    <w:multiLevelType w:val="hybridMultilevel"/>
    <w:tmpl w:val="98D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B28B5"/>
    <w:multiLevelType w:val="multilevel"/>
    <w:tmpl w:val="359AA53E"/>
    <w:lvl w:ilvl="0">
      <w:start w:val="1"/>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20" w15:restartNumberingAfterBreak="0">
    <w:nsid w:val="69B47A59"/>
    <w:multiLevelType w:val="multilevel"/>
    <w:tmpl w:val="DDE63AE6"/>
    <w:lvl w:ilvl="0">
      <w:start w:val="2"/>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21" w15:restartNumberingAfterBreak="0">
    <w:nsid w:val="75440564"/>
    <w:multiLevelType w:val="hybridMultilevel"/>
    <w:tmpl w:val="FEC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0"/>
  </w:num>
  <w:num w:numId="4">
    <w:abstractNumId w:val="6"/>
  </w:num>
  <w:num w:numId="5">
    <w:abstractNumId w:val="8"/>
  </w:num>
  <w:num w:numId="6">
    <w:abstractNumId w:val="2"/>
  </w:num>
  <w:num w:numId="7">
    <w:abstractNumId w:val="7"/>
  </w:num>
  <w:num w:numId="8">
    <w:abstractNumId w:val="16"/>
  </w:num>
  <w:num w:numId="9">
    <w:abstractNumId w:val="10"/>
  </w:num>
  <w:num w:numId="10">
    <w:abstractNumId w:val="12"/>
  </w:num>
  <w:num w:numId="11">
    <w:abstractNumId w:val="5"/>
  </w:num>
  <w:num w:numId="12">
    <w:abstractNumId w:val="0"/>
  </w:num>
  <w:num w:numId="13">
    <w:abstractNumId w:val="9"/>
  </w:num>
  <w:num w:numId="14">
    <w:abstractNumId w:val="1"/>
  </w:num>
  <w:num w:numId="15">
    <w:abstractNumId w:val="18"/>
  </w:num>
  <w:num w:numId="16">
    <w:abstractNumId w:val="15"/>
  </w:num>
  <w:num w:numId="17">
    <w:abstractNumId w:val="11"/>
  </w:num>
  <w:num w:numId="18">
    <w:abstractNumId w:val="13"/>
  </w:num>
  <w:num w:numId="19">
    <w:abstractNumId w:val="17"/>
  </w:num>
  <w:num w:numId="20">
    <w:abstractNumId w:val="14"/>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67D8"/>
    <w:rsid w:val="00012006"/>
    <w:rsid w:val="0001733E"/>
    <w:rsid w:val="0002150F"/>
    <w:rsid w:val="00025AF2"/>
    <w:rsid w:val="000325C1"/>
    <w:rsid w:val="00043C53"/>
    <w:rsid w:val="0005261C"/>
    <w:rsid w:val="000639D1"/>
    <w:rsid w:val="00070306"/>
    <w:rsid w:val="00070548"/>
    <w:rsid w:val="00076947"/>
    <w:rsid w:val="00080D82"/>
    <w:rsid w:val="00083200"/>
    <w:rsid w:val="00086A19"/>
    <w:rsid w:val="00086DA8"/>
    <w:rsid w:val="000870F1"/>
    <w:rsid w:val="00087174"/>
    <w:rsid w:val="00090B61"/>
    <w:rsid w:val="00093A47"/>
    <w:rsid w:val="00096EE8"/>
    <w:rsid w:val="000A2FA4"/>
    <w:rsid w:val="000A780C"/>
    <w:rsid w:val="000B3939"/>
    <w:rsid w:val="000B45E2"/>
    <w:rsid w:val="000B6DCF"/>
    <w:rsid w:val="000C024B"/>
    <w:rsid w:val="000D13E4"/>
    <w:rsid w:val="000D2A08"/>
    <w:rsid w:val="000D3DBC"/>
    <w:rsid w:val="000D615C"/>
    <w:rsid w:val="000E117D"/>
    <w:rsid w:val="000E4240"/>
    <w:rsid w:val="000E4EC8"/>
    <w:rsid w:val="000E750E"/>
    <w:rsid w:val="000E7D17"/>
    <w:rsid w:val="000F2400"/>
    <w:rsid w:val="000F53C5"/>
    <w:rsid w:val="000F5FF5"/>
    <w:rsid w:val="000F619B"/>
    <w:rsid w:val="000F6530"/>
    <w:rsid w:val="0010365D"/>
    <w:rsid w:val="001050FB"/>
    <w:rsid w:val="00105FF8"/>
    <w:rsid w:val="00106CF6"/>
    <w:rsid w:val="00107920"/>
    <w:rsid w:val="00110760"/>
    <w:rsid w:val="001107E2"/>
    <w:rsid w:val="001153A7"/>
    <w:rsid w:val="00117888"/>
    <w:rsid w:val="001179AC"/>
    <w:rsid w:val="0012123B"/>
    <w:rsid w:val="00121DBF"/>
    <w:rsid w:val="00123EF5"/>
    <w:rsid w:val="00125E02"/>
    <w:rsid w:val="001277AE"/>
    <w:rsid w:val="001312DE"/>
    <w:rsid w:val="001346A2"/>
    <w:rsid w:val="00135158"/>
    <w:rsid w:val="0014213D"/>
    <w:rsid w:val="00144BAE"/>
    <w:rsid w:val="001501EC"/>
    <w:rsid w:val="001506A3"/>
    <w:rsid w:val="00150904"/>
    <w:rsid w:val="00156B02"/>
    <w:rsid w:val="00161169"/>
    <w:rsid w:val="001618C8"/>
    <w:rsid w:val="00161A1D"/>
    <w:rsid w:val="0016562E"/>
    <w:rsid w:val="00166182"/>
    <w:rsid w:val="00171DB5"/>
    <w:rsid w:val="00175E09"/>
    <w:rsid w:val="00176BA5"/>
    <w:rsid w:val="00192A12"/>
    <w:rsid w:val="001A0BBE"/>
    <w:rsid w:val="001A4D59"/>
    <w:rsid w:val="001A544E"/>
    <w:rsid w:val="001A6263"/>
    <w:rsid w:val="001B6F8B"/>
    <w:rsid w:val="001C1633"/>
    <w:rsid w:val="001D2600"/>
    <w:rsid w:val="001D5687"/>
    <w:rsid w:val="001E1715"/>
    <w:rsid w:val="001E1892"/>
    <w:rsid w:val="001E1DF5"/>
    <w:rsid w:val="001E3647"/>
    <w:rsid w:val="001E7D1D"/>
    <w:rsid w:val="001F470D"/>
    <w:rsid w:val="001F7689"/>
    <w:rsid w:val="00205A3E"/>
    <w:rsid w:val="00211AA0"/>
    <w:rsid w:val="00212535"/>
    <w:rsid w:val="00215E35"/>
    <w:rsid w:val="00215FB1"/>
    <w:rsid w:val="0021798B"/>
    <w:rsid w:val="00220161"/>
    <w:rsid w:val="00224A72"/>
    <w:rsid w:val="0022545B"/>
    <w:rsid w:val="002255C9"/>
    <w:rsid w:val="002259B3"/>
    <w:rsid w:val="00233142"/>
    <w:rsid w:val="002358AA"/>
    <w:rsid w:val="00236CF1"/>
    <w:rsid w:val="0024165C"/>
    <w:rsid w:val="00254FA2"/>
    <w:rsid w:val="00280BD0"/>
    <w:rsid w:val="0028461B"/>
    <w:rsid w:val="0029040C"/>
    <w:rsid w:val="002905C2"/>
    <w:rsid w:val="00291258"/>
    <w:rsid w:val="00293EF6"/>
    <w:rsid w:val="002A377B"/>
    <w:rsid w:val="002B11AF"/>
    <w:rsid w:val="002B3A03"/>
    <w:rsid w:val="002D175A"/>
    <w:rsid w:val="002D27A5"/>
    <w:rsid w:val="002D3DE4"/>
    <w:rsid w:val="002D66D8"/>
    <w:rsid w:val="002D77BB"/>
    <w:rsid w:val="002D79E6"/>
    <w:rsid w:val="002E04C7"/>
    <w:rsid w:val="002E33A4"/>
    <w:rsid w:val="002F4B8E"/>
    <w:rsid w:val="003024F9"/>
    <w:rsid w:val="003043AB"/>
    <w:rsid w:val="0032297B"/>
    <w:rsid w:val="00330D43"/>
    <w:rsid w:val="00332602"/>
    <w:rsid w:val="00334769"/>
    <w:rsid w:val="00344D8F"/>
    <w:rsid w:val="00354A3F"/>
    <w:rsid w:val="00354CAC"/>
    <w:rsid w:val="0035631F"/>
    <w:rsid w:val="00357954"/>
    <w:rsid w:val="00363F59"/>
    <w:rsid w:val="00366691"/>
    <w:rsid w:val="00366B23"/>
    <w:rsid w:val="00371135"/>
    <w:rsid w:val="00372A2F"/>
    <w:rsid w:val="00372B97"/>
    <w:rsid w:val="003750EA"/>
    <w:rsid w:val="003829C4"/>
    <w:rsid w:val="003834D5"/>
    <w:rsid w:val="00384FC5"/>
    <w:rsid w:val="00391B43"/>
    <w:rsid w:val="00393401"/>
    <w:rsid w:val="0039739E"/>
    <w:rsid w:val="00397D89"/>
    <w:rsid w:val="003A105E"/>
    <w:rsid w:val="003A2D0A"/>
    <w:rsid w:val="003A4BB5"/>
    <w:rsid w:val="003A50E0"/>
    <w:rsid w:val="003B07E2"/>
    <w:rsid w:val="003C30A9"/>
    <w:rsid w:val="003C386D"/>
    <w:rsid w:val="003C5ACF"/>
    <w:rsid w:val="003E6A45"/>
    <w:rsid w:val="003E6DB5"/>
    <w:rsid w:val="003F2898"/>
    <w:rsid w:val="003F41CB"/>
    <w:rsid w:val="003F4B76"/>
    <w:rsid w:val="003F592E"/>
    <w:rsid w:val="003F7245"/>
    <w:rsid w:val="00400037"/>
    <w:rsid w:val="00403379"/>
    <w:rsid w:val="004141F1"/>
    <w:rsid w:val="00414707"/>
    <w:rsid w:val="00417438"/>
    <w:rsid w:val="004201CD"/>
    <w:rsid w:val="0042193C"/>
    <w:rsid w:val="004219DD"/>
    <w:rsid w:val="00422C9E"/>
    <w:rsid w:val="00424EF5"/>
    <w:rsid w:val="00427BCF"/>
    <w:rsid w:val="00430F9B"/>
    <w:rsid w:val="00431DA1"/>
    <w:rsid w:val="004320B4"/>
    <w:rsid w:val="0043303F"/>
    <w:rsid w:val="00436029"/>
    <w:rsid w:val="00444F4E"/>
    <w:rsid w:val="00446201"/>
    <w:rsid w:val="0044710C"/>
    <w:rsid w:val="004505D5"/>
    <w:rsid w:val="0045063B"/>
    <w:rsid w:val="0046657E"/>
    <w:rsid w:val="00467228"/>
    <w:rsid w:val="00473299"/>
    <w:rsid w:val="004751FA"/>
    <w:rsid w:val="00483F78"/>
    <w:rsid w:val="00484F9D"/>
    <w:rsid w:val="00486D4A"/>
    <w:rsid w:val="00487CCA"/>
    <w:rsid w:val="004934D5"/>
    <w:rsid w:val="004A040A"/>
    <w:rsid w:val="004A75AC"/>
    <w:rsid w:val="004B3D61"/>
    <w:rsid w:val="004B4721"/>
    <w:rsid w:val="004C1A06"/>
    <w:rsid w:val="004C4D11"/>
    <w:rsid w:val="004D42A0"/>
    <w:rsid w:val="004E1A32"/>
    <w:rsid w:val="004E4520"/>
    <w:rsid w:val="004E4E5F"/>
    <w:rsid w:val="004F05E4"/>
    <w:rsid w:val="004F481F"/>
    <w:rsid w:val="00502820"/>
    <w:rsid w:val="00502A79"/>
    <w:rsid w:val="00513494"/>
    <w:rsid w:val="00522EF1"/>
    <w:rsid w:val="00525F6C"/>
    <w:rsid w:val="00525FDB"/>
    <w:rsid w:val="00530670"/>
    <w:rsid w:val="005318C9"/>
    <w:rsid w:val="00532C8A"/>
    <w:rsid w:val="005353E9"/>
    <w:rsid w:val="00542B22"/>
    <w:rsid w:val="0054656F"/>
    <w:rsid w:val="00547D03"/>
    <w:rsid w:val="005531EA"/>
    <w:rsid w:val="00555B02"/>
    <w:rsid w:val="0056105E"/>
    <w:rsid w:val="00561CCD"/>
    <w:rsid w:val="005642C5"/>
    <w:rsid w:val="00564CA2"/>
    <w:rsid w:val="00581BB4"/>
    <w:rsid w:val="00584F76"/>
    <w:rsid w:val="00586BC3"/>
    <w:rsid w:val="00595438"/>
    <w:rsid w:val="00595DE0"/>
    <w:rsid w:val="0059650D"/>
    <w:rsid w:val="005A27AA"/>
    <w:rsid w:val="005A35DF"/>
    <w:rsid w:val="005B3FBA"/>
    <w:rsid w:val="005B71D7"/>
    <w:rsid w:val="005C6AFD"/>
    <w:rsid w:val="005C6B87"/>
    <w:rsid w:val="005D148F"/>
    <w:rsid w:val="005D3057"/>
    <w:rsid w:val="005D4F76"/>
    <w:rsid w:val="005E76D1"/>
    <w:rsid w:val="005F0457"/>
    <w:rsid w:val="005F0B97"/>
    <w:rsid w:val="005F323E"/>
    <w:rsid w:val="005F3B49"/>
    <w:rsid w:val="005F4072"/>
    <w:rsid w:val="005F586C"/>
    <w:rsid w:val="005F7B63"/>
    <w:rsid w:val="0061306E"/>
    <w:rsid w:val="006147D3"/>
    <w:rsid w:val="00616198"/>
    <w:rsid w:val="0061698C"/>
    <w:rsid w:val="00616CB6"/>
    <w:rsid w:val="006178D4"/>
    <w:rsid w:val="00617C18"/>
    <w:rsid w:val="00621B00"/>
    <w:rsid w:val="006255A6"/>
    <w:rsid w:val="006256C5"/>
    <w:rsid w:val="0063102C"/>
    <w:rsid w:val="00637D35"/>
    <w:rsid w:val="006476E4"/>
    <w:rsid w:val="006530F7"/>
    <w:rsid w:val="00655108"/>
    <w:rsid w:val="00656773"/>
    <w:rsid w:val="00661C59"/>
    <w:rsid w:val="00674A18"/>
    <w:rsid w:val="006752C7"/>
    <w:rsid w:val="006761AC"/>
    <w:rsid w:val="00683E0A"/>
    <w:rsid w:val="006846DD"/>
    <w:rsid w:val="006A5289"/>
    <w:rsid w:val="006A6D34"/>
    <w:rsid w:val="006B2B93"/>
    <w:rsid w:val="006D42C8"/>
    <w:rsid w:val="006D70CB"/>
    <w:rsid w:val="006E3430"/>
    <w:rsid w:val="006E7DCC"/>
    <w:rsid w:val="006F00EF"/>
    <w:rsid w:val="006F2541"/>
    <w:rsid w:val="006F7E66"/>
    <w:rsid w:val="0070462D"/>
    <w:rsid w:val="00706DBC"/>
    <w:rsid w:val="007105F4"/>
    <w:rsid w:val="0071110E"/>
    <w:rsid w:val="00711F11"/>
    <w:rsid w:val="00713E46"/>
    <w:rsid w:val="007173E8"/>
    <w:rsid w:val="00717DCA"/>
    <w:rsid w:val="00720F78"/>
    <w:rsid w:val="00723B9A"/>
    <w:rsid w:val="00723F0C"/>
    <w:rsid w:val="007270C0"/>
    <w:rsid w:val="00731711"/>
    <w:rsid w:val="00731AC1"/>
    <w:rsid w:val="0073332E"/>
    <w:rsid w:val="00733DA5"/>
    <w:rsid w:val="007357EE"/>
    <w:rsid w:val="007412D7"/>
    <w:rsid w:val="00741751"/>
    <w:rsid w:val="007449AB"/>
    <w:rsid w:val="00757B06"/>
    <w:rsid w:val="00761FDC"/>
    <w:rsid w:val="00762E3C"/>
    <w:rsid w:val="007676C9"/>
    <w:rsid w:val="00767C8E"/>
    <w:rsid w:val="0077194A"/>
    <w:rsid w:val="00772BBA"/>
    <w:rsid w:val="00774F47"/>
    <w:rsid w:val="00775189"/>
    <w:rsid w:val="00792A18"/>
    <w:rsid w:val="00792FD0"/>
    <w:rsid w:val="007A2367"/>
    <w:rsid w:val="007A2F86"/>
    <w:rsid w:val="007A3A18"/>
    <w:rsid w:val="007B01EE"/>
    <w:rsid w:val="007B52A1"/>
    <w:rsid w:val="007B7622"/>
    <w:rsid w:val="007C4023"/>
    <w:rsid w:val="007D0AFE"/>
    <w:rsid w:val="007D5456"/>
    <w:rsid w:val="007D6C34"/>
    <w:rsid w:val="007E0F04"/>
    <w:rsid w:val="007E36BD"/>
    <w:rsid w:val="007E5C1E"/>
    <w:rsid w:val="007E7A9F"/>
    <w:rsid w:val="007F189F"/>
    <w:rsid w:val="007F3D46"/>
    <w:rsid w:val="007F551C"/>
    <w:rsid w:val="007F66C5"/>
    <w:rsid w:val="007F7BED"/>
    <w:rsid w:val="008026D0"/>
    <w:rsid w:val="00805CC0"/>
    <w:rsid w:val="00812BE1"/>
    <w:rsid w:val="008154E6"/>
    <w:rsid w:val="008179ED"/>
    <w:rsid w:val="008217EC"/>
    <w:rsid w:val="0082386C"/>
    <w:rsid w:val="00825522"/>
    <w:rsid w:val="00825E9E"/>
    <w:rsid w:val="00826BE4"/>
    <w:rsid w:val="00837234"/>
    <w:rsid w:val="00837DFA"/>
    <w:rsid w:val="00840DD3"/>
    <w:rsid w:val="00844D53"/>
    <w:rsid w:val="00845E34"/>
    <w:rsid w:val="0085143C"/>
    <w:rsid w:val="00852626"/>
    <w:rsid w:val="008549CD"/>
    <w:rsid w:val="00854CB6"/>
    <w:rsid w:val="00854DB1"/>
    <w:rsid w:val="0085584F"/>
    <w:rsid w:val="0085737C"/>
    <w:rsid w:val="00860294"/>
    <w:rsid w:val="008614CE"/>
    <w:rsid w:val="008733F4"/>
    <w:rsid w:val="0087517D"/>
    <w:rsid w:val="00875EFA"/>
    <w:rsid w:val="00875F87"/>
    <w:rsid w:val="00894DCC"/>
    <w:rsid w:val="00895E2E"/>
    <w:rsid w:val="00896882"/>
    <w:rsid w:val="008969CA"/>
    <w:rsid w:val="00896BCE"/>
    <w:rsid w:val="008A2725"/>
    <w:rsid w:val="008A3AF2"/>
    <w:rsid w:val="008A55A0"/>
    <w:rsid w:val="008A5E88"/>
    <w:rsid w:val="008A69B3"/>
    <w:rsid w:val="008A777D"/>
    <w:rsid w:val="008B3795"/>
    <w:rsid w:val="008B570C"/>
    <w:rsid w:val="008C493B"/>
    <w:rsid w:val="008C6065"/>
    <w:rsid w:val="008D4106"/>
    <w:rsid w:val="008E13AE"/>
    <w:rsid w:val="008E2913"/>
    <w:rsid w:val="008E5574"/>
    <w:rsid w:val="008F5552"/>
    <w:rsid w:val="009011D6"/>
    <w:rsid w:val="00905EDA"/>
    <w:rsid w:val="00913A7D"/>
    <w:rsid w:val="00913FDE"/>
    <w:rsid w:val="00920D1E"/>
    <w:rsid w:val="00923A16"/>
    <w:rsid w:val="00923FAA"/>
    <w:rsid w:val="009256C6"/>
    <w:rsid w:val="009261B0"/>
    <w:rsid w:val="00941C24"/>
    <w:rsid w:val="00943992"/>
    <w:rsid w:val="00953F86"/>
    <w:rsid w:val="00960306"/>
    <w:rsid w:val="00962494"/>
    <w:rsid w:val="00964B93"/>
    <w:rsid w:val="00965C48"/>
    <w:rsid w:val="009735C1"/>
    <w:rsid w:val="00981985"/>
    <w:rsid w:val="009835EB"/>
    <w:rsid w:val="00984983"/>
    <w:rsid w:val="00991A5C"/>
    <w:rsid w:val="009937A3"/>
    <w:rsid w:val="009964B0"/>
    <w:rsid w:val="009A70C4"/>
    <w:rsid w:val="009B2BAC"/>
    <w:rsid w:val="009B3418"/>
    <w:rsid w:val="009B3CA4"/>
    <w:rsid w:val="009B61F1"/>
    <w:rsid w:val="009C16F8"/>
    <w:rsid w:val="009D6BD9"/>
    <w:rsid w:val="009E0196"/>
    <w:rsid w:val="009E40F4"/>
    <w:rsid w:val="009E5798"/>
    <w:rsid w:val="009F0400"/>
    <w:rsid w:val="009F4AE7"/>
    <w:rsid w:val="009F4EC5"/>
    <w:rsid w:val="00A056B1"/>
    <w:rsid w:val="00A07A1A"/>
    <w:rsid w:val="00A1043A"/>
    <w:rsid w:val="00A10BD2"/>
    <w:rsid w:val="00A22F15"/>
    <w:rsid w:val="00A32935"/>
    <w:rsid w:val="00A374B2"/>
    <w:rsid w:val="00A46FA0"/>
    <w:rsid w:val="00A47617"/>
    <w:rsid w:val="00A5254E"/>
    <w:rsid w:val="00A53FAA"/>
    <w:rsid w:val="00A55FDC"/>
    <w:rsid w:val="00A57367"/>
    <w:rsid w:val="00A60BF1"/>
    <w:rsid w:val="00A633CD"/>
    <w:rsid w:val="00A755D8"/>
    <w:rsid w:val="00A7656A"/>
    <w:rsid w:val="00A8725C"/>
    <w:rsid w:val="00A87AFB"/>
    <w:rsid w:val="00A87B5E"/>
    <w:rsid w:val="00A936CD"/>
    <w:rsid w:val="00A95D34"/>
    <w:rsid w:val="00A96D74"/>
    <w:rsid w:val="00A97B3B"/>
    <w:rsid w:val="00AA0678"/>
    <w:rsid w:val="00AA2EB7"/>
    <w:rsid w:val="00AA657C"/>
    <w:rsid w:val="00AB4E69"/>
    <w:rsid w:val="00AB5562"/>
    <w:rsid w:val="00AB6E66"/>
    <w:rsid w:val="00AB7D92"/>
    <w:rsid w:val="00AC1765"/>
    <w:rsid w:val="00AC3F3D"/>
    <w:rsid w:val="00AC7C95"/>
    <w:rsid w:val="00AE4258"/>
    <w:rsid w:val="00AE42E9"/>
    <w:rsid w:val="00AF66D6"/>
    <w:rsid w:val="00B00D16"/>
    <w:rsid w:val="00B035A4"/>
    <w:rsid w:val="00B058C3"/>
    <w:rsid w:val="00B1282A"/>
    <w:rsid w:val="00B21B7F"/>
    <w:rsid w:val="00B26A2F"/>
    <w:rsid w:val="00B27084"/>
    <w:rsid w:val="00B27182"/>
    <w:rsid w:val="00B33EB4"/>
    <w:rsid w:val="00B40C71"/>
    <w:rsid w:val="00B43819"/>
    <w:rsid w:val="00B45311"/>
    <w:rsid w:val="00B54451"/>
    <w:rsid w:val="00B67789"/>
    <w:rsid w:val="00B729E0"/>
    <w:rsid w:val="00B743BE"/>
    <w:rsid w:val="00B76050"/>
    <w:rsid w:val="00B825CA"/>
    <w:rsid w:val="00B8357F"/>
    <w:rsid w:val="00B85080"/>
    <w:rsid w:val="00B90184"/>
    <w:rsid w:val="00BA7442"/>
    <w:rsid w:val="00BB0369"/>
    <w:rsid w:val="00BB08CC"/>
    <w:rsid w:val="00BB1791"/>
    <w:rsid w:val="00BB2B2E"/>
    <w:rsid w:val="00BB3B41"/>
    <w:rsid w:val="00BB7455"/>
    <w:rsid w:val="00BB77FA"/>
    <w:rsid w:val="00BC2117"/>
    <w:rsid w:val="00BC4FC4"/>
    <w:rsid w:val="00BC59E9"/>
    <w:rsid w:val="00BD12A2"/>
    <w:rsid w:val="00BD1727"/>
    <w:rsid w:val="00BD2EE5"/>
    <w:rsid w:val="00BD6AE0"/>
    <w:rsid w:val="00BD712B"/>
    <w:rsid w:val="00BE1882"/>
    <w:rsid w:val="00BF39FB"/>
    <w:rsid w:val="00BF3A91"/>
    <w:rsid w:val="00BF52BB"/>
    <w:rsid w:val="00C014E1"/>
    <w:rsid w:val="00C017CF"/>
    <w:rsid w:val="00C01877"/>
    <w:rsid w:val="00C02400"/>
    <w:rsid w:val="00C02650"/>
    <w:rsid w:val="00C04706"/>
    <w:rsid w:val="00C05842"/>
    <w:rsid w:val="00C07A59"/>
    <w:rsid w:val="00C110CC"/>
    <w:rsid w:val="00C16213"/>
    <w:rsid w:val="00C20DC0"/>
    <w:rsid w:val="00C22C3A"/>
    <w:rsid w:val="00C342E3"/>
    <w:rsid w:val="00C419DF"/>
    <w:rsid w:val="00C54F19"/>
    <w:rsid w:val="00C550C9"/>
    <w:rsid w:val="00C6463B"/>
    <w:rsid w:val="00C71DBE"/>
    <w:rsid w:val="00C8146C"/>
    <w:rsid w:val="00C85BD8"/>
    <w:rsid w:val="00C91A38"/>
    <w:rsid w:val="00C9631E"/>
    <w:rsid w:val="00CA1DD7"/>
    <w:rsid w:val="00CB1C76"/>
    <w:rsid w:val="00CC01EF"/>
    <w:rsid w:val="00CC1A06"/>
    <w:rsid w:val="00CD0190"/>
    <w:rsid w:val="00CD214E"/>
    <w:rsid w:val="00CD5239"/>
    <w:rsid w:val="00CD6694"/>
    <w:rsid w:val="00CE11AA"/>
    <w:rsid w:val="00CE455B"/>
    <w:rsid w:val="00CE77AF"/>
    <w:rsid w:val="00CF7C3C"/>
    <w:rsid w:val="00D039ED"/>
    <w:rsid w:val="00D13AAD"/>
    <w:rsid w:val="00D20773"/>
    <w:rsid w:val="00D24BA6"/>
    <w:rsid w:val="00D3048D"/>
    <w:rsid w:val="00D30D71"/>
    <w:rsid w:val="00D36E91"/>
    <w:rsid w:val="00D401F7"/>
    <w:rsid w:val="00D47DA1"/>
    <w:rsid w:val="00D501E6"/>
    <w:rsid w:val="00D505BF"/>
    <w:rsid w:val="00D516A1"/>
    <w:rsid w:val="00D55B67"/>
    <w:rsid w:val="00D622C8"/>
    <w:rsid w:val="00D62BD7"/>
    <w:rsid w:val="00D63039"/>
    <w:rsid w:val="00D6324A"/>
    <w:rsid w:val="00D85165"/>
    <w:rsid w:val="00D93EE7"/>
    <w:rsid w:val="00D93F55"/>
    <w:rsid w:val="00D96884"/>
    <w:rsid w:val="00D97286"/>
    <w:rsid w:val="00DA1690"/>
    <w:rsid w:val="00DA16AB"/>
    <w:rsid w:val="00DA3F34"/>
    <w:rsid w:val="00DA70AA"/>
    <w:rsid w:val="00DB52A4"/>
    <w:rsid w:val="00DD0CE1"/>
    <w:rsid w:val="00DE68BC"/>
    <w:rsid w:val="00DF2696"/>
    <w:rsid w:val="00DF4556"/>
    <w:rsid w:val="00E00633"/>
    <w:rsid w:val="00E022ED"/>
    <w:rsid w:val="00E04285"/>
    <w:rsid w:val="00E14C95"/>
    <w:rsid w:val="00E25A8E"/>
    <w:rsid w:val="00E33D26"/>
    <w:rsid w:val="00E349B2"/>
    <w:rsid w:val="00E36898"/>
    <w:rsid w:val="00E45591"/>
    <w:rsid w:val="00E53A37"/>
    <w:rsid w:val="00E54797"/>
    <w:rsid w:val="00E56119"/>
    <w:rsid w:val="00E640E1"/>
    <w:rsid w:val="00E657C9"/>
    <w:rsid w:val="00E66C74"/>
    <w:rsid w:val="00E70D06"/>
    <w:rsid w:val="00E75D80"/>
    <w:rsid w:val="00E765AF"/>
    <w:rsid w:val="00E830E6"/>
    <w:rsid w:val="00E831B0"/>
    <w:rsid w:val="00E83B35"/>
    <w:rsid w:val="00E85715"/>
    <w:rsid w:val="00E92DD7"/>
    <w:rsid w:val="00E93519"/>
    <w:rsid w:val="00E95E5A"/>
    <w:rsid w:val="00EA3D1F"/>
    <w:rsid w:val="00EA3F9A"/>
    <w:rsid w:val="00EA45E5"/>
    <w:rsid w:val="00EA73A5"/>
    <w:rsid w:val="00EA7AB5"/>
    <w:rsid w:val="00EB1C03"/>
    <w:rsid w:val="00EB3B32"/>
    <w:rsid w:val="00EB60B3"/>
    <w:rsid w:val="00EC0030"/>
    <w:rsid w:val="00EC52A2"/>
    <w:rsid w:val="00ED0DF1"/>
    <w:rsid w:val="00ED19A0"/>
    <w:rsid w:val="00ED2BF4"/>
    <w:rsid w:val="00ED4B33"/>
    <w:rsid w:val="00ED4D00"/>
    <w:rsid w:val="00EE4987"/>
    <w:rsid w:val="00EE5FAD"/>
    <w:rsid w:val="00EE7BC8"/>
    <w:rsid w:val="00EF7AFF"/>
    <w:rsid w:val="00F002CC"/>
    <w:rsid w:val="00F055AE"/>
    <w:rsid w:val="00F10E53"/>
    <w:rsid w:val="00F11021"/>
    <w:rsid w:val="00F11860"/>
    <w:rsid w:val="00F1456D"/>
    <w:rsid w:val="00F22928"/>
    <w:rsid w:val="00F265CC"/>
    <w:rsid w:val="00F35FBE"/>
    <w:rsid w:val="00F408E6"/>
    <w:rsid w:val="00F50700"/>
    <w:rsid w:val="00F50A63"/>
    <w:rsid w:val="00F514A8"/>
    <w:rsid w:val="00F52C59"/>
    <w:rsid w:val="00F60B4A"/>
    <w:rsid w:val="00F62327"/>
    <w:rsid w:val="00F62758"/>
    <w:rsid w:val="00F64E0F"/>
    <w:rsid w:val="00F65EA3"/>
    <w:rsid w:val="00F709C8"/>
    <w:rsid w:val="00F74D94"/>
    <w:rsid w:val="00F74E67"/>
    <w:rsid w:val="00F75669"/>
    <w:rsid w:val="00F94B75"/>
    <w:rsid w:val="00FA1012"/>
    <w:rsid w:val="00FA186C"/>
    <w:rsid w:val="00FA1D91"/>
    <w:rsid w:val="00FA6658"/>
    <w:rsid w:val="00FA7CA1"/>
    <w:rsid w:val="00FB5956"/>
    <w:rsid w:val="00FB72CC"/>
    <w:rsid w:val="00FC31A1"/>
    <w:rsid w:val="00FD2CCA"/>
    <w:rsid w:val="00FD2D84"/>
    <w:rsid w:val="00FD5BC6"/>
    <w:rsid w:val="00FE0105"/>
    <w:rsid w:val="00FE20D8"/>
    <w:rsid w:val="00FE6FCE"/>
    <w:rsid w:val="00FF3A06"/>
    <w:rsid w:val="00FF5FBE"/>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71F1B7"/>
  <w15:docId w15:val="{6403B8A4-B0AC-4876-B60F-005FF4FA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5F0B97"/>
    <w:pPr>
      <w:ind w:left="720"/>
    </w:pPr>
  </w:style>
  <w:style w:type="paragraph" w:customStyle="1" w:styleId="Default">
    <w:name w:val="Default"/>
    <w:rsid w:val="00F6275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97286"/>
    <w:rPr>
      <w:sz w:val="16"/>
      <w:szCs w:val="16"/>
    </w:rPr>
  </w:style>
  <w:style w:type="paragraph" w:styleId="CommentText">
    <w:name w:val="annotation text"/>
    <w:basedOn w:val="Normal"/>
    <w:link w:val="CommentTextChar"/>
    <w:uiPriority w:val="99"/>
    <w:semiHidden/>
    <w:unhideWhenUsed/>
    <w:rsid w:val="00D97286"/>
    <w:rPr>
      <w:sz w:val="20"/>
    </w:rPr>
  </w:style>
  <w:style w:type="character" w:customStyle="1" w:styleId="CommentTextChar">
    <w:name w:val="Comment Text Char"/>
    <w:basedOn w:val="DefaultParagraphFont"/>
    <w:link w:val="CommentText"/>
    <w:uiPriority w:val="99"/>
    <w:semiHidden/>
    <w:rsid w:val="00D97286"/>
    <w:rPr>
      <w:rFonts w:ascii="Arial" w:hAnsi="Arial"/>
    </w:rPr>
  </w:style>
  <w:style w:type="paragraph" w:styleId="CommentSubject">
    <w:name w:val="annotation subject"/>
    <w:basedOn w:val="CommentText"/>
    <w:next w:val="CommentText"/>
    <w:link w:val="CommentSubjectChar"/>
    <w:uiPriority w:val="99"/>
    <w:semiHidden/>
    <w:unhideWhenUsed/>
    <w:rsid w:val="00D97286"/>
    <w:rPr>
      <w:b/>
      <w:bCs/>
    </w:rPr>
  </w:style>
  <w:style w:type="character" w:customStyle="1" w:styleId="CommentSubjectChar">
    <w:name w:val="Comment Subject Char"/>
    <w:basedOn w:val="CommentTextChar"/>
    <w:link w:val="CommentSubject"/>
    <w:uiPriority w:val="99"/>
    <w:semiHidden/>
    <w:rsid w:val="00D97286"/>
    <w:rPr>
      <w:rFonts w:ascii="Arial" w:hAnsi="Arial"/>
      <w:b/>
      <w:bCs/>
    </w:rPr>
  </w:style>
  <w:style w:type="paragraph" w:styleId="Revision">
    <w:name w:val="Revision"/>
    <w:hidden/>
    <w:uiPriority w:val="99"/>
    <w:semiHidden/>
    <w:rsid w:val="007B01EE"/>
    <w:rPr>
      <w:rFonts w:ascii="Arial" w:hAnsi="Arial"/>
      <w:sz w:val="24"/>
    </w:rPr>
  </w:style>
  <w:style w:type="table" w:styleId="TableGrid">
    <w:name w:val="Table Grid"/>
    <w:basedOn w:val="TableNormal"/>
    <w:rsid w:val="0054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530F7"/>
    <w:rPr>
      <w:b/>
      <w:bCs/>
      <w:i w:val="0"/>
      <w:iCs w:val="0"/>
    </w:rPr>
  </w:style>
  <w:style w:type="character" w:customStyle="1" w:styleId="st">
    <w:name w:val="st"/>
    <w:basedOn w:val="DefaultParagraphFont"/>
    <w:rsid w:val="006530F7"/>
  </w:style>
  <w:style w:type="character" w:styleId="Hyperlink">
    <w:name w:val="Hyperlink"/>
    <w:basedOn w:val="DefaultParagraphFont"/>
    <w:uiPriority w:val="99"/>
    <w:unhideWhenUsed/>
    <w:rsid w:val="00371135"/>
    <w:rPr>
      <w:strike w:val="0"/>
      <w:dstrike w:val="0"/>
      <w:color w:val="005B9D"/>
      <w:u w:val="none"/>
      <w:effect w:val="none"/>
    </w:rPr>
  </w:style>
  <w:style w:type="paragraph" w:customStyle="1" w:styleId="Pa3">
    <w:name w:val="Pa3"/>
    <w:basedOn w:val="Default"/>
    <w:next w:val="Default"/>
    <w:uiPriority w:val="99"/>
    <w:rsid w:val="004E4520"/>
    <w:pPr>
      <w:spacing w:line="241" w:lineRule="atLeast"/>
    </w:pPr>
    <w:rPr>
      <w:rFonts w:ascii="Arial Narrow" w:hAnsi="Arial Narrow"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313">
      <w:bodyDiv w:val="1"/>
      <w:marLeft w:val="0"/>
      <w:marRight w:val="0"/>
      <w:marTop w:val="0"/>
      <w:marBottom w:val="0"/>
      <w:divBdr>
        <w:top w:val="none" w:sz="0" w:space="0" w:color="auto"/>
        <w:left w:val="none" w:sz="0" w:space="0" w:color="auto"/>
        <w:bottom w:val="none" w:sz="0" w:space="0" w:color="auto"/>
        <w:right w:val="none" w:sz="0" w:space="0" w:color="auto"/>
      </w:divBdr>
    </w:div>
    <w:div w:id="91048902">
      <w:bodyDiv w:val="1"/>
      <w:marLeft w:val="0"/>
      <w:marRight w:val="0"/>
      <w:marTop w:val="0"/>
      <w:marBottom w:val="0"/>
      <w:divBdr>
        <w:top w:val="none" w:sz="0" w:space="0" w:color="auto"/>
        <w:left w:val="none" w:sz="0" w:space="0" w:color="auto"/>
        <w:bottom w:val="none" w:sz="0" w:space="0" w:color="auto"/>
        <w:right w:val="none" w:sz="0" w:space="0" w:color="auto"/>
      </w:divBdr>
    </w:div>
    <w:div w:id="110364246">
      <w:bodyDiv w:val="1"/>
      <w:marLeft w:val="0"/>
      <w:marRight w:val="0"/>
      <w:marTop w:val="0"/>
      <w:marBottom w:val="0"/>
      <w:divBdr>
        <w:top w:val="none" w:sz="0" w:space="0" w:color="auto"/>
        <w:left w:val="none" w:sz="0" w:space="0" w:color="auto"/>
        <w:bottom w:val="none" w:sz="0" w:space="0" w:color="auto"/>
        <w:right w:val="none" w:sz="0" w:space="0" w:color="auto"/>
      </w:divBdr>
    </w:div>
    <w:div w:id="346752503">
      <w:bodyDiv w:val="1"/>
      <w:marLeft w:val="0"/>
      <w:marRight w:val="0"/>
      <w:marTop w:val="0"/>
      <w:marBottom w:val="0"/>
      <w:divBdr>
        <w:top w:val="none" w:sz="0" w:space="0" w:color="auto"/>
        <w:left w:val="none" w:sz="0" w:space="0" w:color="auto"/>
        <w:bottom w:val="none" w:sz="0" w:space="0" w:color="auto"/>
        <w:right w:val="none" w:sz="0" w:space="0" w:color="auto"/>
      </w:divBdr>
    </w:div>
    <w:div w:id="376584858">
      <w:bodyDiv w:val="1"/>
      <w:marLeft w:val="0"/>
      <w:marRight w:val="0"/>
      <w:marTop w:val="0"/>
      <w:marBottom w:val="0"/>
      <w:divBdr>
        <w:top w:val="none" w:sz="0" w:space="0" w:color="auto"/>
        <w:left w:val="none" w:sz="0" w:space="0" w:color="auto"/>
        <w:bottom w:val="none" w:sz="0" w:space="0" w:color="auto"/>
        <w:right w:val="none" w:sz="0" w:space="0" w:color="auto"/>
      </w:divBdr>
    </w:div>
    <w:div w:id="403991094">
      <w:bodyDiv w:val="1"/>
      <w:marLeft w:val="0"/>
      <w:marRight w:val="0"/>
      <w:marTop w:val="0"/>
      <w:marBottom w:val="0"/>
      <w:divBdr>
        <w:top w:val="none" w:sz="0" w:space="0" w:color="auto"/>
        <w:left w:val="none" w:sz="0" w:space="0" w:color="auto"/>
        <w:bottom w:val="none" w:sz="0" w:space="0" w:color="auto"/>
        <w:right w:val="none" w:sz="0" w:space="0" w:color="auto"/>
      </w:divBdr>
    </w:div>
    <w:div w:id="429202478">
      <w:bodyDiv w:val="1"/>
      <w:marLeft w:val="0"/>
      <w:marRight w:val="0"/>
      <w:marTop w:val="0"/>
      <w:marBottom w:val="0"/>
      <w:divBdr>
        <w:top w:val="none" w:sz="0" w:space="0" w:color="auto"/>
        <w:left w:val="none" w:sz="0" w:space="0" w:color="auto"/>
        <w:bottom w:val="none" w:sz="0" w:space="0" w:color="auto"/>
        <w:right w:val="none" w:sz="0" w:space="0" w:color="auto"/>
      </w:divBdr>
    </w:div>
    <w:div w:id="459350068">
      <w:bodyDiv w:val="1"/>
      <w:marLeft w:val="0"/>
      <w:marRight w:val="0"/>
      <w:marTop w:val="0"/>
      <w:marBottom w:val="0"/>
      <w:divBdr>
        <w:top w:val="none" w:sz="0" w:space="0" w:color="auto"/>
        <w:left w:val="none" w:sz="0" w:space="0" w:color="auto"/>
        <w:bottom w:val="none" w:sz="0" w:space="0" w:color="auto"/>
        <w:right w:val="none" w:sz="0" w:space="0" w:color="auto"/>
      </w:divBdr>
    </w:div>
    <w:div w:id="665667014">
      <w:bodyDiv w:val="1"/>
      <w:marLeft w:val="0"/>
      <w:marRight w:val="0"/>
      <w:marTop w:val="0"/>
      <w:marBottom w:val="0"/>
      <w:divBdr>
        <w:top w:val="none" w:sz="0" w:space="0" w:color="auto"/>
        <w:left w:val="none" w:sz="0" w:space="0" w:color="auto"/>
        <w:bottom w:val="none" w:sz="0" w:space="0" w:color="auto"/>
        <w:right w:val="none" w:sz="0" w:space="0" w:color="auto"/>
      </w:divBdr>
    </w:div>
    <w:div w:id="688069625">
      <w:bodyDiv w:val="1"/>
      <w:marLeft w:val="0"/>
      <w:marRight w:val="0"/>
      <w:marTop w:val="0"/>
      <w:marBottom w:val="0"/>
      <w:divBdr>
        <w:top w:val="none" w:sz="0" w:space="0" w:color="auto"/>
        <w:left w:val="none" w:sz="0" w:space="0" w:color="auto"/>
        <w:bottom w:val="none" w:sz="0" w:space="0" w:color="auto"/>
        <w:right w:val="none" w:sz="0" w:space="0" w:color="auto"/>
      </w:divBdr>
    </w:div>
    <w:div w:id="727805400">
      <w:bodyDiv w:val="1"/>
      <w:marLeft w:val="0"/>
      <w:marRight w:val="0"/>
      <w:marTop w:val="0"/>
      <w:marBottom w:val="0"/>
      <w:divBdr>
        <w:top w:val="none" w:sz="0" w:space="0" w:color="auto"/>
        <w:left w:val="none" w:sz="0" w:space="0" w:color="auto"/>
        <w:bottom w:val="none" w:sz="0" w:space="0" w:color="auto"/>
        <w:right w:val="none" w:sz="0" w:space="0" w:color="auto"/>
      </w:divBdr>
    </w:div>
    <w:div w:id="797991175">
      <w:bodyDiv w:val="1"/>
      <w:marLeft w:val="0"/>
      <w:marRight w:val="0"/>
      <w:marTop w:val="0"/>
      <w:marBottom w:val="0"/>
      <w:divBdr>
        <w:top w:val="none" w:sz="0" w:space="0" w:color="auto"/>
        <w:left w:val="none" w:sz="0" w:space="0" w:color="auto"/>
        <w:bottom w:val="none" w:sz="0" w:space="0" w:color="auto"/>
        <w:right w:val="none" w:sz="0" w:space="0" w:color="auto"/>
      </w:divBdr>
    </w:div>
    <w:div w:id="964041522">
      <w:bodyDiv w:val="1"/>
      <w:marLeft w:val="0"/>
      <w:marRight w:val="0"/>
      <w:marTop w:val="0"/>
      <w:marBottom w:val="0"/>
      <w:divBdr>
        <w:top w:val="none" w:sz="0" w:space="0" w:color="auto"/>
        <w:left w:val="none" w:sz="0" w:space="0" w:color="auto"/>
        <w:bottom w:val="none" w:sz="0" w:space="0" w:color="auto"/>
        <w:right w:val="none" w:sz="0" w:space="0" w:color="auto"/>
      </w:divBdr>
    </w:div>
    <w:div w:id="1183085407">
      <w:bodyDiv w:val="1"/>
      <w:marLeft w:val="0"/>
      <w:marRight w:val="0"/>
      <w:marTop w:val="0"/>
      <w:marBottom w:val="0"/>
      <w:divBdr>
        <w:top w:val="none" w:sz="0" w:space="0" w:color="auto"/>
        <w:left w:val="none" w:sz="0" w:space="0" w:color="auto"/>
        <w:bottom w:val="none" w:sz="0" w:space="0" w:color="auto"/>
        <w:right w:val="none" w:sz="0" w:space="0" w:color="auto"/>
      </w:divBdr>
    </w:div>
    <w:div w:id="1290747619">
      <w:bodyDiv w:val="1"/>
      <w:marLeft w:val="0"/>
      <w:marRight w:val="0"/>
      <w:marTop w:val="0"/>
      <w:marBottom w:val="0"/>
      <w:divBdr>
        <w:top w:val="none" w:sz="0" w:space="0" w:color="auto"/>
        <w:left w:val="none" w:sz="0" w:space="0" w:color="auto"/>
        <w:bottom w:val="none" w:sz="0" w:space="0" w:color="auto"/>
        <w:right w:val="none" w:sz="0" w:space="0" w:color="auto"/>
      </w:divBdr>
    </w:div>
    <w:div w:id="1685017747">
      <w:bodyDiv w:val="1"/>
      <w:marLeft w:val="0"/>
      <w:marRight w:val="0"/>
      <w:marTop w:val="0"/>
      <w:marBottom w:val="0"/>
      <w:divBdr>
        <w:top w:val="none" w:sz="0" w:space="0" w:color="auto"/>
        <w:left w:val="none" w:sz="0" w:space="0" w:color="auto"/>
        <w:bottom w:val="none" w:sz="0" w:space="0" w:color="auto"/>
        <w:right w:val="none" w:sz="0" w:space="0" w:color="auto"/>
      </w:divBdr>
    </w:div>
    <w:div w:id="1722750336">
      <w:bodyDiv w:val="1"/>
      <w:marLeft w:val="0"/>
      <w:marRight w:val="0"/>
      <w:marTop w:val="0"/>
      <w:marBottom w:val="0"/>
      <w:divBdr>
        <w:top w:val="none" w:sz="0" w:space="0" w:color="auto"/>
        <w:left w:val="none" w:sz="0" w:space="0" w:color="auto"/>
        <w:bottom w:val="none" w:sz="0" w:space="0" w:color="auto"/>
        <w:right w:val="none" w:sz="0" w:space="0" w:color="auto"/>
      </w:divBdr>
    </w:div>
    <w:div w:id="1776052159">
      <w:bodyDiv w:val="1"/>
      <w:marLeft w:val="0"/>
      <w:marRight w:val="0"/>
      <w:marTop w:val="0"/>
      <w:marBottom w:val="0"/>
      <w:divBdr>
        <w:top w:val="none" w:sz="0" w:space="0" w:color="auto"/>
        <w:left w:val="none" w:sz="0" w:space="0" w:color="auto"/>
        <w:bottom w:val="none" w:sz="0" w:space="0" w:color="auto"/>
        <w:right w:val="none" w:sz="0" w:space="0" w:color="auto"/>
      </w:divBdr>
    </w:div>
    <w:div w:id="1826432800">
      <w:bodyDiv w:val="1"/>
      <w:marLeft w:val="0"/>
      <w:marRight w:val="0"/>
      <w:marTop w:val="0"/>
      <w:marBottom w:val="0"/>
      <w:divBdr>
        <w:top w:val="none" w:sz="0" w:space="0" w:color="auto"/>
        <w:left w:val="none" w:sz="0" w:space="0" w:color="auto"/>
        <w:bottom w:val="none" w:sz="0" w:space="0" w:color="auto"/>
        <w:right w:val="none" w:sz="0" w:space="0" w:color="auto"/>
      </w:divBdr>
    </w:div>
    <w:div w:id="2008434698">
      <w:bodyDiv w:val="1"/>
      <w:marLeft w:val="0"/>
      <w:marRight w:val="0"/>
      <w:marTop w:val="0"/>
      <w:marBottom w:val="0"/>
      <w:divBdr>
        <w:top w:val="none" w:sz="0" w:space="0" w:color="auto"/>
        <w:left w:val="none" w:sz="0" w:space="0" w:color="auto"/>
        <w:bottom w:val="none" w:sz="0" w:space="0" w:color="auto"/>
        <w:right w:val="none" w:sz="0" w:space="0" w:color="auto"/>
      </w:divBdr>
    </w:div>
    <w:div w:id="2012217607">
      <w:bodyDiv w:val="1"/>
      <w:marLeft w:val="0"/>
      <w:marRight w:val="0"/>
      <w:marTop w:val="0"/>
      <w:marBottom w:val="0"/>
      <w:divBdr>
        <w:top w:val="none" w:sz="0" w:space="0" w:color="auto"/>
        <w:left w:val="none" w:sz="0" w:space="0" w:color="auto"/>
        <w:bottom w:val="none" w:sz="0" w:space="0" w:color="auto"/>
        <w:right w:val="none" w:sz="0" w:space="0" w:color="auto"/>
      </w:divBdr>
    </w:div>
    <w:div w:id="21467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w.fox@lanca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0</TotalTime>
  <Pages>15</Pages>
  <Words>4586</Words>
  <Characters>25931</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30457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Gorman, Dave</cp:lastModifiedBy>
  <cp:revision>2</cp:revision>
  <cp:lastPrinted>2002-09-23T11:55:00Z</cp:lastPrinted>
  <dcterms:created xsi:type="dcterms:W3CDTF">2015-09-22T12:04:00Z</dcterms:created>
  <dcterms:modified xsi:type="dcterms:W3CDTF">2015-09-22T12:04:00Z</dcterms:modified>
</cp:coreProperties>
</file>