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E97E6" w14:textId="4028B8C2" w:rsidR="003E6A45" w:rsidRDefault="00906624">
      <w:pPr>
        <w:rPr>
          <w:b/>
        </w:rPr>
      </w:pPr>
      <w:r>
        <w:rPr>
          <w:b/>
        </w:rPr>
        <w:t>Lancashire Local Pension Board</w:t>
      </w:r>
    </w:p>
    <w:p w14:paraId="68360AE6" w14:textId="4B6A5AB3" w:rsidR="003E6A45" w:rsidRDefault="003E6A45">
      <w:r>
        <w:t xml:space="preserve">Meeting to be held on </w:t>
      </w:r>
      <w:r w:rsidR="00906624">
        <w:t xml:space="preserve">19 October </w:t>
      </w:r>
      <w:r w:rsidR="009D1F0F">
        <w:t>2015</w:t>
      </w:r>
    </w:p>
    <w:p w14:paraId="7C4D0A2B" w14:textId="77777777" w:rsidR="003E6A45" w:rsidRDefault="003E6A45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3E6A45" w14:paraId="24B8E1F5" w14:textId="77777777">
        <w:tc>
          <w:tcPr>
            <w:tcW w:w="3260" w:type="dxa"/>
          </w:tcPr>
          <w:p w14:paraId="328C140D" w14:textId="77777777" w:rsidR="003E6A45" w:rsidRDefault="003E6A45">
            <w:pPr>
              <w:pStyle w:val="BodyText"/>
            </w:pPr>
            <w:r>
              <w:t>Electoral Division affected:</w:t>
            </w:r>
          </w:p>
          <w:p w14:paraId="42E9F716" w14:textId="77777777" w:rsidR="003E6A45" w:rsidRDefault="00B4206E">
            <w:pPr>
              <w:rPr>
                <w:u w:val="single"/>
              </w:rPr>
            </w:pPr>
            <w:r>
              <w:t>None</w:t>
            </w:r>
          </w:p>
        </w:tc>
      </w:tr>
    </w:tbl>
    <w:p w14:paraId="63C13B1C" w14:textId="77777777" w:rsidR="003E6A45" w:rsidRDefault="003E6A45">
      <w:pPr>
        <w:rPr>
          <w:u w:val="single"/>
        </w:rPr>
      </w:pPr>
    </w:p>
    <w:p w14:paraId="664A66F4" w14:textId="77777777" w:rsidR="009871A0" w:rsidRDefault="009871A0">
      <w:pPr>
        <w:rPr>
          <w:u w:val="single"/>
        </w:rPr>
      </w:pPr>
    </w:p>
    <w:p w14:paraId="0705897A" w14:textId="6391AA98" w:rsidR="003E6A45" w:rsidRDefault="00DD43FF">
      <w:pPr>
        <w:rPr>
          <w:b/>
        </w:rPr>
      </w:pPr>
      <w:r>
        <w:rPr>
          <w:b/>
        </w:rPr>
        <w:t xml:space="preserve">Lancashire County Pension Fund </w:t>
      </w:r>
      <w:r w:rsidR="009871A0">
        <w:rPr>
          <w:b/>
        </w:rPr>
        <w:t>-</w:t>
      </w:r>
      <w:r>
        <w:rPr>
          <w:b/>
        </w:rPr>
        <w:t xml:space="preserve"> </w:t>
      </w:r>
      <w:r w:rsidR="001E7035">
        <w:rPr>
          <w:b/>
        </w:rPr>
        <w:t xml:space="preserve">Report on Administering Authority Discretions </w:t>
      </w:r>
    </w:p>
    <w:p w14:paraId="7A77BACC" w14:textId="6054BE5C" w:rsidR="003E6A45" w:rsidRDefault="00F20CE0">
      <w:pPr>
        <w:ind w:left="709" w:hanging="709"/>
      </w:pPr>
      <w:r>
        <w:t>(</w:t>
      </w:r>
      <w:r w:rsidR="00B4206E">
        <w:t>Appendi</w:t>
      </w:r>
      <w:r w:rsidR="001E7035">
        <w:t xml:space="preserve">ces </w:t>
      </w:r>
      <w:r w:rsidR="009871A0">
        <w:t>'</w:t>
      </w:r>
      <w:r w:rsidR="00B4206E">
        <w:t>A</w:t>
      </w:r>
      <w:r w:rsidR="009871A0">
        <w:t>'</w:t>
      </w:r>
      <w:r w:rsidR="001E7035">
        <w:t xml:space="preserve">, </w:t>
      </w:r>
      <w:r w:rsidR="009871A0">
        <w:t>'</w:t>
      </w:r>
      <w:r w:rsidR="001E7035">
        <w:t>B</w:t>
      </w:r>
      <w:r w:rsidR="009871A0">
        <w:t>'</w:t>
      </w:r>
      <w:r w:rsidR="001E7035">
        <w:t xml:space="preserve">, </w:t>
      </w:r>
      <w:r w:rsidR="009871A0">
        <w:t>'</w:t>
      </w:r>
      <w:r w:rsidR="001E7035">
        <w:t>C</w:t>
      </w:r>
      <w:r w:rsidR="009871A0">
        <w:t>'</w:t>
      </w:r>
      <w:r w:rsidR="001E7035">
        <w:t xml:space="preserve">, </w:t>
      </w:r>
      <w:r w:rsidR="009871A0">
        <w:t>'</w:t>
      </w:r>
      <w:r w:rsidR="001E7035">
        <w:t>D</w:t>
      </w:r>
      <w:r w:rsidR="009871A0">
        <w:t>'</w:t>
      </w:r>
      <w:r w:rsidR="001E7035">
        <w:t xml:space="preserve"> and </w:t>
      </w:r>
      <w:r w:rsidR="009871A0">
        <w:t>'</w:t>
      </w:r>
      <w:r w:rsidR="001E7035">
        <w:t>E</w:t>
      </w:r>
      <w:r w:rsidR="009871A0">
        <w:t>'</w:t>
      </w:r>
      <w:r w:rsidR="001E7035">
        <w:t xml:space="preserve"> </w:t>
      </w:r>
      <w:r w:rsidR="00B4206E">
        <w:t>refer</w:t>
      </w:r>
      <w:r>
        <w:t>)</w:t>
      </w:r>
    </w:p>
    <w:p w14:paraId="5E462E20" w14:textId="77777777" w:rsidR="003E6A45" w:rsidRDefault="003E6A45">
      <w:pPr>
        <w:ind w:left="709" w:hanging="709"/>
        <w:rPr>
          <w:b/>
        </w:rPr>
      </w:pPr>
    </w:p>
    <w:p w14:paraId="456471F1" w14:textId="77777777" w:rsidR="003E6A45" w:rsidRDefault="003E6A45">
      <w:r>
        <w:t>Contact for further information:</w:t>
      </w:r>
    </w:p>
    <w:p w14:paraId="39740F1B" w14:textId="3DB530C1" w:rsidR="003E6A45" w:rsidRDefault="001E7035">
      <w:r>
        <w:t xml:space="preserve">Diane Lister, </w:t>
      </w:r>
      <w:r w:rsidR="009871A0">
        <w:t>(01772) 534827, Head of Your Pension Service</w:t>
      </w:r>
      <w:r>
        <w:t>,</w:t>
      </w:r>
      <w:r w:rsidR="00DD43FF">
        <w:t xml:space="preserve"> </w:t>
      </w:r>
    </w:p>
    <w:p w14:paraId="34744F82" w14:textId="77777777" w:rsidR="00DD43FF" w:rsidRDefault="00D829E2">
      <w:hyperlink r:id="rId8" w:history="1">
        <w:r w:rsidR="001E7035" w:rsidRPr="00C51B4C">
          <w:rPr>
            <w:rStyle w:val="Hyperlink"/>
          </w:rPr>
          <w:t>diane.lister@lancashire.gov.uk</w:t>
        </w:r>
      </w:hyperlink>
    </w:p>
    <w:p w14:paraId="6D1AF9C0" w14:textId="77777777" w:rsidR="001E7035" w:rsidRPr="001E7035" w:rsidRDefault="001E70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3E6A45" w14:paraId="1C1AF6ED" w14:textId="77777777">
        <w:tc>
          <w:tcPr>
            <w:tcW w:w="9180" w:type="dxa"/>
          </w:tcPr>
          <w:p w14:paraId="3EEC3E8D" w14:textId="2F31B5A4" w:rsidR="003E6A45" w:rsidRDefault="003E6A45">
            <w:pPr>
              <w:pStyle w:val="Header"/>
            </w:pPr>
          </w:p>
          <w:p w14:paraId="08286E2F" w14:textId="77777777" w:rsidR="003E6A45" w:rsidRDefault="003E6A45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14:paraId="1217B514" w14:textId="77777777" w:rsidR="001E7035" w:rsidRPr="001E7035" w:rsidRDefault="001E7035" w:rsidP="001E7035"/>
          <w:p w14:paraId="328A75FE" w14:textId="77777777" w:rsidR="001E7035" w:rsidRPr="00D829E2" w:rsidRDefault="001E7035" w:rsidP="009871A0">
            <w:pPr>
              <w:jc w:val="both"/>
            </w:pPr>
            <w:r w:rsidRPr="00D829E2">
              <w:t xml:space="preserve">The LGPS regulatory framework grants certain ‘discretions’ to administering authorities (AAs), which allow some areas of LGPS policy to be locally-determined. </w:t>
            </w:r>
          </w:p>
          <w:p w14:paraId="04DD4DD2" w14:textId="77777777" w:rsidR="001E7035" w:rsidRPr="00D829E2" w:rsidRDefault="001E7035" w:rsidP="009871A0">
            <w:pPr>
              <w:jc w:val="both"/>
            </w:pPr>
          </w:p>
          <w:p w14:paraId="38FF1BC6" w14:textId="77777777" w:rsidR="001E7035" w:rsidRPr="00D829E2" w:rsidRDefault="001E7035" w:rsidP="009871A0">
            <w:pPr>
              <w:jc w:val="both"/>
            </w:pPr>
            <w:r w:rsidRPr="00D829E2">
              <w:t xml:space="preserve">There are many discretions, ranging from relatively trivial to those where the application of a local discretion could have a significant impact on </w:t>
            </w:r>
            <w:r w:rsidR="00813C27" w:rsidRPr="00D829E2">
              <w:t xml:space="preserve">scheme members, fund </w:t>
            </w:r>
            <w:r w:rsidRPr="00D829E2">
              <w:t>employers and the Fund</w:t>
            </w:r>
            <w:r w:rsidR="00813C27" w:rsidRPr="00D829E2">
              <w:t xml:space="preserve"> itself</w:t>
            </w:r>
            <w:r w:rsidRPr="00D829E2">
              <w:t xml:space="preserve">. </w:t>
            </w:r>
          </w:p>
          <w:p w14:paraId="2DD95465" w14:textId="77777777" w:rsidR="001E7035" w:rsidRPr="00D829E2" w:rsidRDefault="001E7035" w:rsidP="009871A0">
            <w:pPr>
              <w:jc w:val="both"/>
            </w:pPr>
          </w:p>
          <w:p w14:paraId="0F873A70" w14:textId="368649D6" w:rsidR="001E7035" w:rsidRPr="00D829E2" w:rsidRDefault="001E7035" w:rsidP="009871A0">
            <w:pPr>
              <w:jc w:val="both"/>
            </w:pPr>
            <w:r w:rsidRPr="00D829E2">
              <w:t>Significant change to pension legislation, including changes to the LGPS regulatory framework, have prompted a review of existing policies and discretions.</w:t>
            </w:r>
            <w:r w:rsidR="00906624" w:rsidRPr="00D829E2">
              <w:t xml:space="preserve"> At its meeting on 30 September 2015, the Pension Fund Committee approved</w:t>
            </w:r>
            <w:r w:rsidR="00450CEA" w:rsidRPr="00D829E2">
              <w:t xml:space="preserve"> proposals</w:t>
            </w:r>
            <w:r w:rsidR="00906624" w:rsidRPr="00D829E2">
              <w:t xml:space="preserve"> in the following five key areas of discretion as the basis for a consultation exercise with fund employers and the Lancashire Local Pension Board prior to formal policy adoption by the Committee at a future meeting</w:t>
            </w:r>
            <w:r w:rsidRPr="00D829E2">
              <w:t>:</w:t>
            </w:r>
          </w:p>
          <w:p w14:paraId="51D991AF" w14:textId="77777777" w:rsidR="001E7035" w:rsidRPr="00D829E2" w:rsidRDefault="001E7035" w:rsidP="009871A0">
            <w:pPr>
              <w:jc w:val="both"/>
            </w:pPr>
          </w:p>
          <w:p w14:paraId="22B6CCDA" w14:textId="67DDFB43" w:rsidR="001E7035" w:rsidRPr="00D829E2" w:rsidRDefault="001E7035" w:rsidP="001E7035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 w:rsidRPr="00D829E2">
              <w:t xml:space="preserve">Abatement of pensions  (Appendix </w:t>
            </w:r>
            <w:r w:rsidR="009871A0" w:rsidRPr="00D829E2">
              <w:t>'</w:t>
            </w:r>
            <w:r w:rsidRPr="00D829E2">
              <w:t>A</w:t>
            </w:r>
            <w:r w:rsidR="009871A0" w:rsidRPr="00D829E2">
              <w:t>'</w:t>
            </w:r>
            <w:r w:rsidRPr="00D829E2">
              <w:t xml:space="preserve"> refers)</w:t>
            </w:r>
          </w:p>
          <w:p w14:paraId="59DD9EB6" w14:textId="103F7612" w:rsidR="001E7035" w:rsidRPr="00D829E2" w:rsidRDefault="001E7035" w:rsidP="001E7035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 w:rsidRPr="00D829E2">
              <w:t xml:space="preserve">Transfer in of pension rights (Appendix </w:t>
            </w:r>
            <w:r w:rsidR="009871A0" w:rsidRPr="00D829E2">
              <w:t>'</w:t>
            </w:r>
            <w:r w:rsidRPr="00D829E2">
              <w:t>B</w:t>
            </w:r>
            <w:r w:rsidR="009871A0" w:rsidRPr="00D829E2">
              <w:t>'</w:t>
            </w:r>
            <w:r w:rsidRPr="00D829E2">
              <w:t xml:space="preserve"> refers)</w:t>
            </w:r>
          </w:p>
          <w:p w14:paraId="261E8BF4" w14:textId="60A3C923" w:rsidR="001E7035" w:rsidRPr="00D829E2" w:rsidRDefault="001E7035" w:rsidP="001E7035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 w:rsidRPr="00D829E2">
              <w:t xml:space="preserve">Commutation of pensions (Appendix </w:t>
            </w:r>
            <w:r w:rsidR="009871A0" w:rsidRPr="00D829E2">
              <w:t>'</w:t>
            </w:r>
            <w:r w:rsidRPr="00D829E2">
              <w:t>C</w:t>
            </w:r>
            <w:r w:rsidR="009871A0" w:rsidRPr="00D829E2">
              <w:t>'</w:t>
            </w:r>
            <w:r w:rsidRPr="00D829E2">
              <w:t xml:space="preserve"> refers)</w:t>
            </w:r>
          </w:p>
          <w:p w14:paraId="7CEBCF54" w14:textId="676FF225" w:rsidR="001E7035" w:rsidRPr="00D829E2" w:rsidRDefault="003F6226" w:rsidP="001E7035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 w:rsidRPr="00D829E2">
              <w:t xml:space="preserve">Admissions and Terminations </w:t>
            </w:r>
            <w:r w:rsidR="001E7035" w:rsidRPr="00D829E2">
              <w:t xml:space="preserve">(Appendix </w:t>
            </w:r>
            <w:r w:rsidR="009871A0" w:rsidRPr="00D829E2">
              <w:t>'</w:t>
            </w:r>
            <w:r w:rsidR="001E7035" w:rsidRPr="00D829E2">
              <w:t>D</w:t>
            </w:r>
            <w:r w:rsidR="009871A0" w:rsidRPr="00D829E2">
              <w:t>'</w:t>
            </w:r>
            <w:r w:rsidR="001E7035" w:rsidRPr="00D829E2">
              <w:t xml:space="preserve"> refers); and</w:t>
            </w:r>
          </w:p>
          <w:p w14:paraId="7D7DB27D" w14:textId="1C3B4ACE" w:rsidR="00AB7853" w:rsidRPr="00D829E2" w:rsidRDefault="003F6226" w:rsidP="00AB785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D829E2">
              <w:t xml:space="preserve">Bulk Transfers </w:t>
            </w:r>
            <w:r w:rsidR="001E7035" w:rsidRPr="00D829E2">
              <w:t xml:space="preserve">(Appendix </w:t>
            </w:r>
            <w:r w:rsidR="009871A0" w:rsidRPr="00D829E2">
              <w:t>'</w:t>
            </w:r>
            <w:r w:rsidR="001E7035" w:rsidRPr="00D829E2">
              <w:t>E</w:t>
            </w:r>
            <w:r w:rsidR="009871A0" w:rsidRPr="00D829E2">
              <w:t>'</w:t>
            </w:r>
            <w:r w:rsidR="001E7035" w:rsidRPr="00D829E2">
              <w:t xml:space="preserve"> refers)</w:t>
            </w:r>
            <w:r w:rsidR="001C08DD" w:rsidRPr="00D829E2">
              <w:t>.</w:t>
            </w:r>
          </w:p>
          <w:p w14:paraId="5A3551AE" w14:textId="77777777" w:rsidR="003E6A45" w:rsidRPr="00D829E2" w:rsidRDefault="003E6A45">
            <w:pPr>
              <w:pStyle w:val="Heading5"/>
              <w:rPr>
                <w:rFonts w:ascii="Arial" w:hAnsi="Arial"/>
                <w:u w:val="none"/>
              </w:rPr>
            </w:pPr>
            <w:r w:rsidRPr="00D829E2">
              <w:rPr>
                <w:rFonts w:ascii="Arial" w:hAnsi="Arial"/>
                <w:u w:val="none"/>
              </w:rPr>
              <w:t>Recommendation</w:t>
            </w:r>
          </w:p>
          <w:p w14:paraId="4A8B6C2F" w14:textId="77777777" w:rsidR="00AE2A29" w:rsidRPr="00D829E2" w:rsidRDefault="00AE2A29" w:rsidP="00AE2A29"/>
          <w:p w14:paraId="2112292D" w14:textId="278D8724" w:rsidR="009871A0" w:rsidRPr="00D829E2" w:rsidRDefault="001E7035" w:rsidP="009871A0">
            <w:pPr>
              <w:spacing w:line="276" w:lineRule="auto"/>
              <w:jc w:val="both"/>
            </w:pPr>
            <w:r w:rsidRPr="00D829E2">
              <w:t xml:space="preserve">The </w:t>
            </w:r>
            <w:r w:rsidR="00906624" w:rsidRPr="00D829E2">
              <w:t>Board</w:t>
            </w:r>
            <w:r w:rsidRPr="00D829E2">
              <w:t xml:space="preserve"> is asked to</w:t>
            </w:r>
            <w:r w:rsidR="009871A0" w:rsidRPr="00D829E2">
              <w:t>:</w:t>
            </w:r>
          </w:p>
          <w:p w14:paraId="11779137" w14:textId="77777777" w:rsidR="009871A0" w:rsidRPr="00D829E2" w:rsidRDefault="009871A0" w:rsidP="009871A0">
            <w:pPr>
              <w:spacing w:line="276" w:lineRule="auto"/>
              <w:jc w:val="both"/>
            </w:pPr>
          </w:p>
          <w:p w14:paraId="61C21719" w14:textId="25D36B07" w:rsidR="001E7035" w:rsidRPr="00D829E2" w:rsidRDefault="00906624" w:rsidP="009871A0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</w:pPr>
            <w:r w:rsidRPr="00D829E2">
              <w:t xml:space="preserve">Note the proposals approved by the Pension Fund </w:t>
            </w:r>
            <w:proofErr w:type="spellStart"/>
            <w:r w:rsidRPr="00D829E2">
              <w:t>Commitee</w:t>
            </w:r>
            <w:proofErr w:type="spellEnd"/>
            <w:r w:rsidR="001E7035" w:rsidRPr="00D829E2">
              <w:t xml:space="preserve"> set out at Appendices </w:t>
            </w:r>
            <w:r w:rsidR="007F114C" w:rsidRPr="00D829E2">
              <w:t xml:space="preserve">'A' - 'E' </w:t>
            </w:r>
            <w:r w:rsidR="001E7035" w:rsidRPr="00D829E2">
              <w:t>and</w:t>
            </w:r>
            <w:r w:rsidR="001C08DD" w:rsidRPr="00D829E2">
              <w:t>:</w:t>
            </w:r>
          </w:p>
          <w:p w14:paraId="6DFCF39E" w14:textId="721B9505" w:rsidR="003E6A45" w:rsidRDefault="007F114C" w:rsidP="007F114C">
            <w:pPr>
              <w:pStyle w:val="ListParagraph"/>
              <w:numPr>
                <w:ilvl w:val="0"/>
                <w:numId w:val="30"/>
              </w:numPr>
              <w:spacing w:line="276" w:lineRule="auto"/>
              <w:jc w:val="both"/>
            </w:pPr>
            <w:r w:rsidRPr="00D829E2">
              <w:t>Consider, in response to the consultation, the proposals set out at Appendices 'A' - 'E' and comment as appropriate.</w:t>
            </w:r>
          </w:p>
        </w:tc>
      </w:tr>
    </w:tbl>
    <w:p w14:paraId="517FA5C2" w14:textId="77777777" w:rsidR="003E6A45" w:rsidRDefault="003E6A45">
      <w:pPr>
        <w:pStyle w:val="Header"/>
      </w:pPr>
    </w:p>
    <w:p w14:paraId="2906DE24" w14:textId="77777777" w:rsidR="003271E5" w:rsidRDefault="003271E5" w:rsidP="00772BBA">
      <w:pPr>
        <w:rPr>
          <w:b/>
        </w:rPr>
      </w:pPr>
    </w:p>
    <w:p w14:paraId="0F12AB46" w14:textId="77777777" w:rsidR="00772BBA" w:rsidRDefault="00772BBA" w:rsidP="00772BBA">
      <w:pPr>
        <w:rPr>
          <w:b/>
        </w:rPr>
      </w:pPr>
      <w:r>
        <w:rPr>
          <w:b/>
        </w:rPr>
        <w:lastRenderedPageBreak/>
        <w:t xml:space="preserve">Background and Advice </w:t>
      </w:r>
    </w:p>
    <w:p w14:paraId="5A414869" w14:textId="77777777" w:rsidR="00772BBA" w:rsidRDefault="00772BBA" w:rsidP="00772BBA"/>
    <w:p w14:paraId="1583D5E3" w14:textId="54465078" w:rsidR="000B1236" w:rsidRPr="00D829E2" w:rsidRDefault="000B1236" w:rsidP="009871A0">
      <w:pPr>
        <w:jc w:val="both"/>
      </w:pPr>
      <w:r>
        <w:t xml:space="preserve">Administering Authorities within the Local Government Pension Scheme need to maintain a range of discretionary policies, which it is appropriate are reviewed from time to time. </w:t>
      </w:r>
      <w:r w:rsidRPr="00D829E2">
        <w:t xml:space="preserve">Appendices </w:t>
      </w:r>
      <w:r w:rsidR="009871A0" w:rsidRPr="00D829E2">
        <w:t>'</w:t>
      </w:r>
      <w:r w:rsidRPr="00D829E2">
        <w:t>A</w:t>
      </w:r>
      <w:r w:rsidR="009871A0" w:rsidRPr="00D829E2">
        <w:t>'</w:t>
      </w:r>
      <w:r w:rsidRPr="00D829E2">
        <w:t xml:space="preserve"> to </w:t>
      </w:r>
      <w:r w:rsidR="009871A0" w:rsidRPr="00D829E2">
        <w:t>'</w:t>
      </w:r>
      <w:r w:rsidRPr="00D829E2">
        <w:t>E</w:t>
      </w:r>
      <w:r w:rsidR="009871A0" w:rsidRPr="00D829E2">
        <w:t>'</w:t>
      </w:r>
      <w:r w:rsidRPr="00D829E2">
        <w:t xml:space="preserve"> outline proposals in relation to five key areas of discretion</w:t>
      </w:r>
      <w:r w:rsidR="00906624" w:rsidRPr="00D829E2">
        <w:t xml:space="preserve"> which, following approval by the Pension Fund Committee on 30 September 2015, will now be subject to</w:t>
      </w:r>
      <w:r w:rsidRPr="00D829E2">
        <w:t xml:space="preserve"> consult</w:t>
      </w:r>
      <w:r w:rsidR="00906624" w:rsidRPr="00D829E2">
        <w:t>ation with the Local Pension Board and</w:t>
      </w:r>
      <w:r w:rsidRPr="00D829E2">
        <w:t xml:space="preserve"> with employers on the basis that the Fund is minded to implement them.</w:t>
      </w:r>
    </w:p>
    <w:p w14:paraId="7DB134F6" w14:textId="77777777" w:rsidR="000B1236" w:rsidRPr="00906624" w:rsidRDefault="000B1236" w:rsidP="00772BBA">
      <w:pPr>
        <w:rPr>
          <w:color w:val="FF0000"/>
        </w:rPr>
      </w:pPr>
    </w:p>
    <w:p w14:paraId="1249B6DC" w14:textId="77777777" w:rsidR="000B1236" w:rsidRDefault="000B1236" w:rsidP="00772BBA">
      <w:r>
        <w:t>The key areas of change proposed are:</w:t>
      </w:r>
    </w:p>
    <w:p w14:paraId="30F8C235" w14:textId="77777777" w:rsidR="000B1236" w:rsidRDefault="000B1236" w:rsidP="009871A0">
      <w:pPr>
        <w:jc w:val="both"/>
      </w:pPr>
    </w:p>
    <w:p w14:paraId="523F2C24" w14:textId="199BF484" w:rsidR="000B1236" w:rsidRDefault="001C08DD" w:rsidP="009871A0">
      <w:pPr>
        <w:pStyle w:val="ListParagraph"/>
        <w:numPr>
          <w:ilvl w:val="0"/>
          <w:numId w:val="4"/>
        </w:numPr>
        <w:spacing w:after="200" w:line="276" w:lineRule="auto"/>
        <w:jc w:val="both"/>
      </w:pPr>
      <w:r>
        <w:t>abatement</w:t>
      </w:r>
      <w:r w:rsidR="000B1236">
        <w:t xml:space="preserve"> of pensions  (Appendix </w:t>
      </w:r>
      <w:r w:rsidR="009871A0">
        <w:t>'</w:t>
      </w:r>
      <w:r w:rsidR="000B1236">
        <w:t>A</w:t>
      </w:r>
      <w:r w:rsidR="009871A0">
        <w:t>'</w:t>
      </w:r>
      <w:r w:rsidR="000B1236">
        <w:t xml:space="preserve"> refers)</w:t>
      </w:r>
      <w:r w:rsidR="003F6226">
        <w:t xml:space="preserve"> </w:t>
      </w:r>
      <w:r w:rsidR="009871A0">
        <w:t>-</w:t>
      </w:r>
      <w:r w:rsidR="003F6226">
        <w:t xml:space="preserve"> </w:t>
      </w:r>
      <w:r w:rsidR="00740A21">
        <w:t>to maintain the existing abatement policy until the outcome of the Government's recently announced '£95k redundancy cap for the public sector'</w:t>
      </w:r>
      <w:r w:rsidR="00450CEA">
        <w:t xml:space="preserve"> on members of the LGPS</w:t>
      </w:r>
      <w:r w:rsidR="00740A21">
        <w:t xml:space="preserve"> is known </w:t>
      </w:r>
    </w:p>
    <w:p w14:paraId="4722B989" w14:textId="77777777" w:rsidR="001C08DD" w:rsidRDefault="001C08DD" w:rsidP="009871A0">
      <w:pPr>
        <w:pStyle w:val="ListParagraph"/>
        <w:spacing w:after="200" w:line="276" w:lineRule="auto"/>
        <w:jc w:val="both"/>
      </w:pPr>
    </w:p>
    <w:p w14:paraId="450627FD" w14:textId="16B6631D" w:rsidR="001C08DD" w:rsidRDefault="001C08DD" w:rsidP="009871A0">
      <w:pPr>
        <w:pStyle w:val="ListParagraph"/>
        <w:numPr>
          <w:ilvl w:val="0"/>
          <w:numId w:val="4"/>
        </w:numPr>
        <w:spacing w:after="200" w:line="276" w:lineRule="auto"/>
        <w:jc w:val="both"/>
      </w:pPr>
      <w:proofErr w:type="gramStart"/>
      <w:r>
        <w:t>transfer</w:t>
      </w:r>
      <w:proofErr w:type="gramEnd"/>
      <w:r>
        <w:t xml:space="preserve"> </w:t>
      </w:r>
      <w:r w:rsidR="000B1236">
        <w:t xml:space="preserve">in of pension rights (Appendix </w:t>
      </w:r>
      <w:r w:rsidR="009871A0">
        <w:t>'</w:t>
      </w:r>
      <w:r w:rsidR="000B1236">
        <w:t>B</w:t>
      </w:r>
      <w:r w:rsidR="009871A0">
        <w:t>'</w:t>
      </w:r>
      <w:r w:rsidR="000B1236">
        <w:t xml:space="preserve"> refers)</w:t>
      </w:r>
      <w:r w:rsidR="003F6226">
        <w:t xml:space="preserve"> </w:t>
      </w:r>
      <w:r w:rsidR="009871A0">
        <w:t>-</w:t>
      </w:r>
      <w:r w:rsidR="003F6226">
        <w:t xml:space="preserve"> </w:t>
      </w:r>
      <w:r>
        <w:t xml:space="preserve">transfers </w:t>
      </w:r>
      <w:r w:rsidR="003F6226">
        <w:t xml:space="preserve">into the Fund continue to be accepted within the </w:t>
      </w:r>
      <w:r>
        <w:t xml:space="preserve">existing </w:t>
      </w:r>
      <w:r w:rsidR="003F6226">
        <w:t>12 month time limit. Decisions in respect of exceptions are now jointly made by the Fund and the relevant employer</w:t>
      </w:r>
      <w:r>
        <w:t>;</w:t>
      </w:r>
    </w:p>
    <w:p w14:paraId="5C8D4674" w14:textId="77822CED" w:rsidR="003F6226" w:rsidRDefault="003F6226" w:rsidP="009871A0">
      <w:pPr>
        <w:pStyle w:val="ListParagraph"/>
        <w:spacing w:after="200" w:line="276" w:lineRule="auto"/>
        <w:jc w:val="both"/>
      </w:pPr>
    </w:p>
    <w:p w14:paraId="32D4C721" w14:textId="1663D58A" w:rsidR="003A364D" w:rsidRDefault="001C08DD" w:rsidP="009871A0">
      <w:pPr>
        <w:pStyle w:val="ListParagraph"/>
        <w:numPr>
          <w:ilvl w:val="0"/>
          <w:numId w:val="4"/>
        </w:numPr>
        <w:spacing w:after="200" w:line="276" w:lineRule="auto"/>
        <w:jc w:val="both"/>
      </w:pPr>
      <w:proofErr w:type="gramStart"/>
      <w:r>
        <w:t>commutation</w:t>
      </w:r>
      <w:proofErr w:type="gramEnd"/>
      <w:r>
        <w:t xml:space="preserve"> </w:t>
      </w:r>
      <w:r w:rsidR="000B1236">
        <w:t xml:space="preserve">of pensions (Appendix </w:t>
      </w:r>
      <w:r w:rsidR="009871A0">
        <w:t>'</w:t>
      </w:r>
      <w:r w:rsidR="000B1236">
        <w:t>C</w:t>
      </w:r>
      <w:r w:rsidR="009871A0">
        <w:t>'</w:t>
      </w:r>
      <w:r w:rsidR="000B1236">
        <w:t xml:space="preserve"> refers)</w:t>
      </w:r>
      <w:r w:rsidR="003F6226">
        <w:t xml:space="preserve"> -  </w:t>
      </w:r>
      <w:r>
        <w:t xml:space="preserve">small </w:t>
      </w:r>
      <w:r w:rsidR="003A364D">
        <w:t xml:space="preserve">pension pots are to be commuted as </w:t>
      </w:r>
      <w:r w:rsidR="00740A21">
        <w:t>the 'standard offer'</w:t>
      </w:r>
      <w:r w:rsidR="003A364D">
        <w:t xml:space="preserve">. </w:t>
      </w:r>
      <w:r w:rsidR="00C247EC">
        <w:t xml:space="preserve">An exercise to commute existing 'small' pensions </w:t>
      </w:r>
      <w:r w:rsidR="003A364D">
        <w:t xml:space="preserve"> is to be considered pending advice </w:t>
      </w:r>
      <w:r w:rsidR="00C247EC">
        <w:t xml:space="preserve">from the Fund Actuary </w:t>
      </w:r>
      <w:r w:rsidR="003A364D">
        <w:t xml:space="preserve">on the impact on Fund cashflow and </w:t>
      </w:r>
      <w:r w:rsidR="00C247EC">
        <w:t>liabilitie</w:t>
      </w:r>
      <w:r>
        <w:t>s;</w:t>
      </w:r>
    </w:p>
    <w:p w14:paraId="4D8F6DE9" w14:textId="77777777" w:rsidR="00C247EC" w:rsidRDefault="00C247EC" w:rsidP="009871A0">
      <w:pPr>
        <w:pStyle w:val="ListParagraph"/>
        <w:spacing w:after="200" w:line="276" w:lineRule="auto"/>
        <w:jc w:val="both"/>
      </w:pPr>
    </w:p>
    <w:p w14:paraId="4DCF7C06" w14:textId="3D2D8778" w:rsidR="00C247EC" w:rsidRDefault="001C08DD" w:rsidP="009871A0">
      <w:pPr>
        <w:pStyle w:val="ListParagraph"/>
        <w:numPr>
          <w:ilvl w:val="0"/>
          <w:numId w:val="4"/>
        </w:numPr>
        <w:spacing w:after="200" w:line="276" w:lineRule="auto"/>
        <w:jc w:val="both"/>
      </w:pPr>
      <w:proofErr w:type="gramStart"/>
      <w:r>
        <w:t>admissions</w:t>
      </w:r>
      <w:proofErr w:type="gramEnd"/>
      <w:r>
        <w:t xml:space="preserve"> </w:t>
      </w:r>
      <w:r w:rsidR="003F6226">
        <w:t xml:space="preserve">and </w:t>
      </w:r>
      <w:r>
        <w:t xml:space="preserve">terminations </w:t>
      </w:r>
      <w:r w:rsidR="000B1236">
        <w:t xml:space="preserve">(Appendix </w:t>
      </w:r>
      <w:r w:rsidR="009871A0">
        <w:t>'</w:t>
      </w:r>
      <w:r w:rsidR="000B1236">
        <w:t>D</w:t>
      </w:r>
      <w:r w:rsidR="009871A0">
        <w:t>'</w:t>
      </w:r>
      <w:r w:rsidR="000B1236">
        <w:t xml:space="preserve"> refers) </w:t>
      </w:r>
      <w:r w:rsidR="003A364D">
        <w:t xml:space="preserve"> - admissions are no longer accept</w:t>
      </w:r>
      <w:r w:rsidR="00AA5A4D">
        <w:t>ed,</w:t>
      </w:r>
      <w:r w:rsidR="003A364D">
        <w:t xml:space="preserve"> unless the</w:t>
      </w:r>
      <w:r w:rsidR="00AA5A4D">
        <w:t>se follow as a result of contracting-out by a scheme employer or the</w:t>
      </w:r>
      <w:r w:rsidR="003A364D">
        <w:t>re</w:t>
      </w:r>
      <w:r w:rsidR="009871A0">
        <w:t xml:space="preserve"> are exceptional circumstances. </w:t>
      </w:r>
      <w:r w:rsidR="003A364D">
        <w:t xml:space="preserve">Small admissions are streamlined for ease of </w:t>
      </w:r>
      <w:r>
        <w:t>administration; and</w:t>
      </w:r>
      <w:r w:rsidR="003A364D">
        <w:t xml:space="preserve">   </w:t>
      </w:r>
    </w:p>
    <w:p w14:paraId="27E8018D" w14:textId="283C11E3" w:rsidR="000B1236" w:rsidRDefault="000B1236" w:rsidP="009871A0">
      <w:pPr>
        <w:pStyle w:val="ListParagraph"/>
        <w:spacing w:after="200" w:line="276" w:lineRule="auto"/>
        <w:jc w:val="both"/>
      </w:pPr>
    </w:p>
    <w:p w14:paraId="0A90396B" w14:textId="7DFB5B63" w:rsidR="000B1236" w:rsidRPr="001E7035" w:rsidRDefault="001C08DD" w:rsidP="009871A0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b/>
        </w:rPr>
      </w:pPr>
      <w:proofErr w:type="gramStart"/>
      <w:r>
        <w:t>b</w:t>
      </w:r>
      <w:r w:rsidR="003F6226">
        <w:t>ulk</w:t>
      </w:r>
      <w:proofErr w:type="gramEnd"/>
      <w:r w:rsidR="003F6226">
        <w:t xml:space="preserve"> </w:t>
      </w:r>
      <w:r>
        <w:t xml:space="preserve">transfers </w:t>
      </w:r>
      <w:r w:rsidR="000B1236">
        <w:t xml:space="preserve">(Appendix </w:t>
      </w:r>
      <w:r w:rsidR="009871A0">
        <w:t>'</w:t>
      </w:r>
      <w:r w:rsidR="000B1236">
        <w:t>E</w:t>
      </w:r>
      <w:r w:rsidR="009871A0">
        <w:t>'</w:t>
      </w:r>
      <w:r w:rsidR="000B1236">
        <w:t xml:space="preserve"> refers)</w:t>
      </w:r>
      <w:r w:rsidR="003A364D">
        <w:t xml:space="preserve"> </w:t>
      </w:r>
      <w:r w:rsidR="009871A0">
        <w:t>-</w:t>
      </w:r>
      <w:r w:rsidR="003A364D">
        <w:t xml:space="preserve"> bulk transfers are treated on a case by case basis </w:t>
      </w:r>
      <w:r w:rsidR="001537CF">
        <w:t xml:space="preserve">and </w:t>
      </w:r>
      <w:r w:rsidR="003A364D">
        <w:t>on the advice of the Fund Actuary</w:t>
      </w:r>
      <w:r w:rsidR="009871A0">
        <w:t>.</w:t>
      </w:r>
      <w:r w:rsidR="003A364D">
        <w:t xml:space="preserve">     </w:t>
      </w:r>
    </w:p>
    <w:p w14:paraId="600F50FB" w14:textId="77777777" w:rsidR="003E6A45" w:rsidRDefault="003E6A45">
      <w:pPr>
        <w:pStyle w:val="Heading1"/>
      </w:pPr>
      <w:r>
        <w:t>Consultations</w:t>
      </w:r>
    </w:p>
    <w:p w14:paraId="46A28DD7" w14:textId="77777777" w:rsidR="003E6A45" w:rsidRDefault="003E6A45">
      <w:pPr>
        <w:pStyle w:val="Header"/>
      </w:pPr>
    </w:p>
    <w:p w14:paraId="65285715" w14:textId="4F6CCB64" w:rsidR="00F50C06" w:rsidRPr="00D829E2" w:rsidRDefault="00054E58" w:rsidP="009871A0">
      <w:pPr>
        <w:pStyle w:val="Header"/>
        <w:jc w:val="both"/>
      </w:pPr>
      <w:r w:rsidRPr="00D829E2">
        <w:t xml:space="preserve">A consultation exercise will </w:t>
      </w:r>
      <w:r w:rsidR="00906624" w:rsidRPr="00D829E2">
        <w:t xml:space="preserve">now </w:t>
      </w:r>
      <w:r w:rsidRPr="00D829E2">
        <w:t xml:space="preserve">be conducted with </w:t>
      </w:r>
      <w:r w:rsidR="00906624" w:rsidRPr="00D829E2">
        <w:t xml:space="preserve">the Local Pension Board and </w:t>
      </w:r>
      <w:r w:rsidRPr="00D829E2">
        <w:t xml:space="preserve">fund employers prior to </w:t>
      </w:r>
      <w:r w:rsidR="00450CEA" w:rsidRPr="00D829E2">
        <w:t xml:space="preserve">presentation of revised policies to the Committee for </w:t>
      </w:r>
      <w:r w:rsidR="009871A0" w:rsidRPr="00D829E2">
        <w:t xml:space="preserve">approval and </w:t>
      </w:r>
      <w:r w:rsidRPr="00D829E2">
        <w:t xml:space="preserve">adoption.  </w:t>
      </w:r>
    </w:p>
    <w:p w14:paraId="57A1A2A2" w14:textId="77777777" w:rsidR="004C54D6" w:rsidRDefault="004C54D6"/>
    <w:p w14:paraId="6EE9112B" w14:textId="77777777" w:rsidR="00772BBA" w:rsidRDefault="003E6A45" w:rsidP="00772BBA">
      <w:r>
        <w:rPr>
          <w:b/>
        </w:rPr>
        <w:t>Implications</w:t>
      </w:r>
      <w:r>
        <w:t xml:space="preserve">: </w:t>
      </w:r>
    </w:p>
    <w:p w14:paraId="7E44832C" w14:textId="77777777" w:rsidR="00772BBA" w:rsidRDefault="00772BBA" w:rsidP="00772BBA"/>
    <w:p w14:paraId="25692632" w14:textId="77777777" w:rsidR="00772BBA" w:rsidRPr="00092B2F" w:rsidRDefault="00772BBA" w:rsidP="00772BBA">
      <w:pPr>
        <w:rPr>
          <w:b/>
        </w:rPr>
      </w:pPr>
      <w:r w:rsidRPr="00092B2F">
        <w:rPr>
          <w:b/>
        </w:rPr>
        <w:t>Risk management</w:t>
      </w:r>
    </w:p>
    <w:p w14:paraId="4DEB25B4" w14:textId="77777777" w:rsidR="00772BBA" w:rsidRDefault="00772BBA" w:rsidP="00772BBA"/>
    <w:p w14:paraId="5112468D" w14:textId="77777777" w:rsidR="00813C27" w:rsidRDefault="001E7035" w:rsidP="009871A0">
      <w:pPr>
        <w:jc w:val="both"/>
      </w:pPr>
      <w:r>
        <w:t xml:space="preserve">The recommendations contained within this report are intended to mitigate </w:t>
      </w:r>
      <w:r w:rsidR="00535475">
        <w:t xml:space="preserve">financial and reputational </w:t>
      </w:r>
      <w:r w:rsidR="00054E58">
        <w:t>r</w:t>
      </w:r>
      <w:r>
        <w:t>isk</w:t>
      </w:r>
      <w:r w:rsidR="00535475">
        <w:t xml:space="preserve"> where possible</w:t>
      </w:r>
      <w:r w:rsidR="00F50C06">
        <w:t>.</w:t>
      </w:r>
      <w:r w:rsidR="00535475">
        <w:t xml:space="preserve"> </w:t>
      </w:r>
      <w:r w:rsidR="00813C27">
        <w:t>Overall the impact of adopting</w:t>
      </w:r>
      <w:bookmarkStart w:id="0" w:name="_GoBack"/>
      <w:bookmarkEnd w:id="0"/>
      <w:r w:rsidR="00813C27">
        <w:t xml:space="preserve"> these revised policies should be fair, transparent and justifiable to the scheme member, the fund employer and the Fund itself.    </w:t>
      </w:r>
    </w:p>
    <w:p w14:paraId="750DB081" w14:textId="77777777" w:rsidR="009871A0" w:rsidRDefault="009871A0" w:rsidP="00772BBA"/>
    <w:p w14:paraId="631780CF" w14:textId="77777777" w:rsidR="00F50C06" w:rsidRDefault="00F50C06" w:rsidP="00772BBA">
      <w:pPr>
        <w:rPr>
          <w:b/>
        </w:rPr>
      </w:pPr>
      <w:r>
        <w:rPr>
          <w:b/>
        </w:rPr>
        <w:t>Financial</w:t>
      </w:r>
    </w:p>
    <w:p w14:paraId="17B55F0B" w14:textId="77777777" w:rsidR="00F50C06" w:rsidRDefault="00F50C06" w:rsidP="00772BBA">
      <w:pPr>
        <w:rPr>
          <w:b/>
        </w:rPr>
      </w:pPr>
    </w:p>
    <w:p w14:paraId="240BD44F" w14:textId="77777777" w:rsidR="00F50C06" w:rsidRDefault="00F50C06" w:rsidP="009871A0">
      <w:pPr>
        <w:jc w:val="both"/>
      </w:pPr>
      <w:r>
        <w:t>The</w:t>
      </w:r>
      <w:r w:rsidR="00054E58">
        <w:t xml:space="preserve"> recommendations</w:t>
      </w:r>
      <w:r w:rsidR="00813C27">
        <w:t xml:space="preserve">, whilst not solely focussing on financial implications, are intended where possible to make financial savings and reduce liabilities. </w:t>
      </w:r>
    </w:p>
    <w:p w14:paraId="74DC8DB9" w14:textId="77777777" w:rsidR="00054E58" w:rsidRDefault="00054E58" w:rsidP="00772BBA"/>
    <w:p w14:paraId="4C35E6CC" w14:textId="77777777" w:rsidR="003E6A45" w:rsidRDefault="003E6A4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Local Government (Access to Information) Act 1985</w:t>
      </w:r>
    </w:p>
    <w:p w14:paraId="4AE3EBDD" w14:textId="77777777" w:rsidR="003E6A45" w:rsidRDefault="003E6A45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14:paraId="24DC4944" w14:textId="77777777" w:rsidR="003E6A45" w:rsidRDefault="003E6A45"/>
    <w:tbl>
      <w:tblPr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3178"/>
      </w:tblGrid>
      <w:tr w:rsidR="003E6A45" w14:paraId="0909AC90" w14:textId="77777777" w:rsidTr="009871A0">
        <w:tc>
          <w:tcPr>
            <w:tcW w:w="3227" w:type="dxa"/>
          </w:tcPr>
          <w:p w14:paraId="31F37039" w14:textId="77777777"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14:paraId="63250F39" w14:textId="77777777" w:rsidR="003E6A45" w:rsidRDefault="003E6A45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14:paraId="1FC5F9B7" w14:textId="02389F5D" w:rsidR="003E6A45" w:rsidRDefault="003E6A45" w:rsidP="00D06BEB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</w:t>
            </w:r>
            <w:r w:rsidR="00772BBA">
              <w:rPr>
                <w:rFonts w:ascii="Arial" w:hAnsi="Arial"/>
                <w:u w:val="none"/>
              </w:rPr>
              <w:t>Tel</w:t>
            </w:r>
          </w:p>
        </w:tc>
      </w:tr>
      <w:tr w:rsidR="003E6A45" w14:paraId="151E7EF4" w14:textId="77777777" w:rsidTr="009871A0">
        <w:tc>
          <w:tcPr>
            <w:tcW w:w="3227" w:type="dxa"/>
          </w:tcPr>
          <w:p w14:paraId="2939381B" w14:textId="77777777" w:rsidR="009871A0" w:rsidRDefault="009871A0" w:rsidP="005A23A7"/>
          <w:p w14:paraId="532DC3F0" w14:textId="77777777" w:rsidR="00DD43FF" w:rsidRDefault="00F20CE0" w:rsidP="005A23A7">
            <w:r>
              <w:t>N/A</w:t>
            </w:r>
          </w:p>
        </w:tc>
        <w:tc>
          <w:tcPr>
            <w:tcW w:w="2775" w:type="dxa"/>
          </w:tcPr>
          <w:p w14:paraId="1DC2ADCC" w14:textId="77777777" w:rsidR="004257D1" w:rsidRDefault="004257D1"/>
        </w:tc>
        <w:tc>
          <w:tcPr>
            <w:tcW w:w="3178" w:type="dxa"/>
          </w:tcPr>
          <w:p w14:paraId="50923C42" w14:textId="77777777" w:rsidR="00DD43FF" w:rsidRDefault="00DD43FF" w:rsidP="004257D1"/>
        </w:tc>
      </w:tr>
      <w:tr w:rsidR="003E6A45" w14:paraId="12F92210" w14:textId="77777777" w:rsidTr="009871A0">
        <w:tc>
          <w:tcPr>
            <w:tcW w:w="9180" w:type="dxa"/>
            <w:gridSpan w:val="3"/>
          </w:tcPr>
          <w:p w14:paraId="4DF91B59" w14:textId="77777777" w:rsidR="005A23A7" w:rsidRDefault="005A23A7"/>
          <w:p w14:paraId="689B14D3" w14:textId="77777777" w:rsidR="003E6A45" w:rsidRDefault="003E6A45">
            <w:r>
              <w:t>Reason for inclusion in Part II, if appropriate</w:t>
            </w:r>
          </w:p>
          <w:p w14:paraId="207AC749" w14:textId="77777777" w:rsidR="003E6A45" w:rsidRDefault="003E6A45"/>
          <w:p w14:paraId="213BECD3" w14:textId="77777777" w:rsidR="003E6A45" w:rsidRDefault="00527211" w:rsidP="00527211">
            <w:r>
              <w:t xml:space="preserve">N/A </w:t>
            </w:r>
          </w:p>
        </w:tc>
      </w:tr>
    </w:tbl>
    <w:p w14:paraId="7A9C7742" w14:textId="77777777" w:rsidR="00CB4B32" w:rsidRDefault="00CB4B32" w:rsidP="00CB4B32">
      <w:pPr>
        <w:pStyle w:val="Default"/>
      </w:pPr>
    </w:p>
    <w:p w14:paraId="5F9808B3" w14:textId="77777777" w:rsidR="001537CF" w:rsidRDefault="001537CF" w:rsidP="00CB4B32">
      <w:pPr>
        <w:pStyle w:val="Default"/>
      </w:pPr>
    </w:p>
    <w:p w14:paraId="6692A041" w14:textId="77777777" w:rsidR="001537CF" w:rsidRDefault="001537CF" w:rsidP="00CB4B32">
      <w:pPr>
        <w:pStyle w:val="Default"/>
      </w:pPr>
    </w:p>
    <w:p w14:paraId="221AC6AA" w14:textId="77777777" w:rsidR="001537CF" w:rsidRDefault="001537CF" w:rsidP="00CB4B32">
      <w:pPr>
        <w:pStyle w:val="Default"/>
      </w:pPr>
    </w:p>
    <w:p w14:paraId="7844348E" w14:textId="77777777" w:rsidR="001537CF" w:rsidRDefault="001537CF" w:rsidP="00CB4B32">
      <w:pPr>
        <w:pStyle w:val="Default"/>
      </w:pPr>
    </w:p>
    <w:p w14:paraId="6BA132C1" w14:textId="77777777" w:rsidR="001537CF" w:rsidRDefault="001537CF" w:rsidP="00CB4B32">
      <w:pPr>
        <w:pStyle w:val="Default"/>
      </w:pPr>
    </w:p>
    <w:p w14:paraId="22250A08" w14:textId="77777777" w:rsidR="001537CF" w:rsidRDefault="001537CF" w:rsidP="00CB4B32">
      <w:pPr>
        <w:pStyle w:val="Default"/>
      </w:pPr>
    </w:p>
    <w:p w14:paraId="01FE8863" w14:textId="77777777" w:rsidR="001537CF" w:rsidRDefault="001537CF" w:rsidP="00CB4B32">
      <w:pPr>
        <w:pStyle w:val="Default"/>
      </w:pPr>
    </w:p>
    <w:p w14:paraId="1CC2E947" w14:textId="77777777" w:rsidR="001537CF" w:rsidRDefault="001537CF" w:rsidP="00CB4B32">
      <w:pPr>
        <w:pStyle w:val="Default"/>
      </w:pPr>
    </w:p>
    <w:p w14:paraId="7C7BFBD1" w14:textId="77777777" w:rsidR="001537CF" w:rsidRDefault="001537CF" w:rsidP="00CB4B32">
      <w:pPr>
        <w:pStyle w:val="Default"/>
      </w:pPr>
    </w:p>
    <w:p w14:paraId="3B788C85" w14:textId="77777777" w:rsidR="001537CF" w:rsidRDefault="001537CF" w:rsidP="00CB4B32">
      <w:pPr>
        <w:pStyle w:val="Default"/>
      </w:pPr>
    </w:p>
    <w:p w14:paraId="1AB38D15" w14:textId="77777777" w:rsidR="001537CF" w:rsidRDefault="001537CF" w:rsidP="00CB4B32">
      <w:pPr>
        <w:pStyle w:val="Default"/>
      </w:pPr>
    </w:p>
    <w:p w14:paraId="75380C08" w14:textId="77777777" w:rsidR="001537CF" w:rsidRDefault="001537CF" w:rsidP="00CB4B32">
      <w:pPr>
        <w:pStyle w:val="Default"/>
      </w:pPr>
    </w:p>
    <w:p w14:paraId="023291F6" w14:textId="77777777" w:rsidR="001537CF" w:rsidRDefault="001537CF" w:rsidP="00CB4B32">
      <w:pPr>
        <w:pStyle w:val="Default"/>
      </w:pPr>
    </w:p>
    <w:p w14:paraId="69163201" w14:textId="77777777" w:rsidR="001537CF" w:rsidRDefault="001537CF" w:rsidP="00CB4B32">
      <w:pPr>
        <w:pStyle w:val="Default"/>
      </w:pPr>
    </w:p>
    <w:p w14:paraId="13892D94" w14:textId="77777777" w:rsidR="001537CF" w:rsidRDefault="001537CF" w:rsidP="00CB4B32">
      <w:pPr>
        <w:pStyle w:val="Default"/>
      </w:pPr>
    </w:p>
    <w:p w14:paraId="10A64FC0" w14:textId="77777777" w:rsidR="001537CF" w:rsidRDefault="001537CF" w:rsidP="00CB4B32">
      <w:pPr>
        <w:pStyle w:val="Default"/>
      </w:pPr>
    </w:p>
    <w:p w14:paraId="574E2914" w14:textId="77777777" w:rsidR="001537CF" w:rsidRDefault="001537CF" w:rsidP="00CB4B32">
      <w:pPr>
        <w:pStyle w:val="Default"/>
      </w:pPr>
    </w:p>
    <w:p w14:paraId="6C8AC42C" w14:textId="77777777" w:rsidR="001537CF" w:rsidRDefault="001537CF" w:rsidP="00CB4B32">
      <w:pPr>
        <w:pStyle w:val="Default"/>
      </w:pPr>
    </w:p>
    <w:p w14:paraId="2294B902" w14:textId="77777777" w:rsidR="001537CF" w:rsidRDefault="001537CF" w:rsidP="00CB4B32">
      <w:pPr>
        <w:pStyle w:val="Default"/>
      </w:pPr>
    </w:p>
    <w:p w14:paraId="3E8A404B" w14:textId="77777777" w:rsidR="001537CF" w:rsidRDefault="001537CF" w:rsidP="00CB4B32">
      <w:pPr>
        <w:pStyle w:val="Default"/>
      </w:pPr>
    </w:p>
    <w:p w14:paraId="58D14A6C" w14:textId="77777777" w:rsidR="001537CF" w:rsidRDefault="001537CF" w:rsidP="00CB4B32">
      <w:pPr>
        <w:pStyle w:val="Default"/>
      </w:pPr>
    </w:p>
    <w:p w14:paraId="7020EE84" w14:textId="77777777" w:rsidR="001537CF" w:rsidRDefault="001537CF" w:rsidP="00CB4B32">
      <w:pPr>
        <w:pStyle w:val="Default"/>
      </w:pPr>
    </w:p>
    <w:p w14:paraId="3A6B43A0" w14:textId="77777777" w:rsidR="001537CF" w:rsidRDefault="001537CF" w:rsidP="00CB4B32">
      <w:pPr>
        <w:pStyle w:val="Default"/>
      </w:pPr>
    </w:p>
    <w:p w14:paraId="400E2CC3" w14:textId="77777777" w:rsidR="001537CF" w:rsidRDefault="001537CF" w:rsidP="00CB4B32">
      <w:pPr>
        <w:pStyle w:val="Default"/>
      </w:pPr>
    </w:p>
    <w:p w14:paraId="7AD8144C" w14:textId="77777777" w:rsidR="001537CF" w:rsidRDefault="001537CF" w:rsidP="00CB4B32">
      <w:pPr>
        <w:pStyle w:val="Default"/>
      </w:pPr>
    </w:p>
    <w:p w14:paraId="4E8F912F" w14:textId="77777777" w:rsidR="001537CF" w:rsidRDefault="001537CF" w:rsidP="00CB4B32">
      <w:pPr>
        <w:pStyle w:val="Default"/>
      </w:pPr>
    </w:p>
    <w:p w14:paraId="74C18F5D" w14:textId="77777777" w:rsidR="001537CF" w:rsidRDefault="001537CF" w:rsidP="00CB4B32">
      <w:pPr>
        <w:pStyle w:val="Default"/>
      </w:pPr>
    </w:p>
    <w:p w14:paraId="40A5D414" w14:textId="77777777" w:rsidR="001537CF" w:rsidRDefault="001537CF" w:rsidP="00CB4B32">
      <w:pPr>
        <w:pStyle w:val="Default"/>
      </w:pPr>
    </w:p>
    <w:p w14:paraId="34C5CF52" w14:textId="77777777" w:rsidR="001537CF" w:rsidRDefault="001537CF" w:rsidP="00CB4B32">
      <w:pPr>
        <w:pStyle w:val="Default"/>
      </w:pPr>
    </w:p>
    <w:p w14:paraId="52E884E1" w14:textId="77777777" w:rsidR="009871A0" w:rsidRDefault="009871A0" w:rsidP="00CB4B32">
      <w:pPr>
        <w:pStyle w:val="Default"/>
      </w:pPr>
    </w:p>
    <w:sectPr w:rsidR="009871A0" w:rsidSect="0043027A"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93921" w14:textId="77777777" w:rsidR="00404D53" w:rsidRDefault="00404D53">
      <w:r>
        <w:separator/>
      </w:r>
    </w:p>
  </w:endnote>
  <w:endnote w:type="continuationSeparator" w:id="0">
    <w:p w14:paraId="5F0D5A0C" w14:textId="77777777" w:rsidR="00404D53" w:rsidRDefault="0040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404D53" w14:paraId="29ADE82F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43763A78" w14:textId="77777777" w:rsidR="00404D53" w:rsidRDefault="00404D53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14:paraId="0FB11DB5" w14:textId="77777777" w:rsidR="00404D53" w:rsidRDefault="00404D53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404D53" w14:paraId="6F145302" w14:textId="77777777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14:paraId="18D99ACC" w14:textId="77777777" w:rsidR="00404D53" w:rsidRDefault="00404D53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 wp14:anchorId="39E9D315" wp14:editId="5A53A485">
                <wp:extent cx="1257300" cy="635000"/>
                <wp:effectExtent l="0" t="0" r="0" b="0"/>
                <wp:docPr id="2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C157D4" w14:textId="77777777" w:rsidR="00404D53" w:rsidRDefault="00404D53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6C544" w14:textId="77777777" w:rsidR="00404D53" w:rsidRDefault="00404D53">
      <w:r>
        <w:separator/>
      </w:r>
    </w:p>
  </w:footnote>
  <w:footnote w:type="continuationSeparator" w:id="0">
    <w:p w14:paraId="4F69B0B7" w14:textId="77777777" w:rsidR="00404D53" w:rsidRDefault="0040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D63"/>
    <w:multiLevelType w:val="hybridMultilevel"/>
    <w:tmpl w:val="45F8B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1D4A"/>
    <w:multiLevelType w:val="hybridMultilevel"/>
    <w:tmpl w:val="0B38A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21C6B"/>
    <w:multiLevelType w:val="hybridMultilevel"/>
    <w:tmpl w:val="0A16480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72CA"/>
    <w:multiLevelType w:val="hybridMultilevel"/>
    <w:tmpl w:val="EE60A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24B0"/>
    <w:multiLevelType w:val="hybridMultilevel"/>
    <w:tmpl w:val="3618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10949"/>
    <w:multiLevelType w:val="hybridMultilevel"/>
    <w:tmpl w:val="A182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31259"/>
    <w:multiLevelType w:val="hybridMultilevel"/>
    <w:tmpl w:val="B1161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346E5"/>
    <w:multiLevelType w:val="hybridMultilevel"/>
    <w:tmpl w:val="80163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B33F3"/>
    <w:multiLevelType w:val="hybridMultilevel"/>
    <w:tmpl w:val="51A82AE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CDC428F"/>
    <w:multiLevelType w:val="hybridMultilevel"/>
    <w:tmpl w:val="7564F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E3E04"/>
    <w:multiLevelType w:val="hybridMultilevel"/>
    <w:tmpl w:val="3A4A9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26EC"/>
    <w:multiLevelType w:val="hybridMultilevel"/>
    <w:tmpl w:val="1E26E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23A8F"/>
    <w:multiLevelType w:val="hybridMultilevel"/>
    <w:tmpl w:val="9E84B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32BE0"/>
    <w:multiLevelType w:val="hybridMultilevel"/>
    <w:tmpl w:val="E074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76626"/>
    <w:multiLevelType w:val="hybridMultilevel"/>
    <w:tmpl w:val="33023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62EFA"/>
    <w:multiLevelType w:val="hybridMultilevel"/>
    <w:tmpl w:val="1568B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C87CEA"/>
    <w:multiLevelType w:val="hybridMultilevel"/>
    <w:tmpl w:val="00E6ECD6"/>
    <w:lvl w:ilvl="0" w:tplc="4C3E4806">
      <w:numFmt w:val="bullet"/>
      <w:lvlText w:val=""/>
      <w:lvlJc w:val="left"/>
      <w:pPr>
        <w:ind w:left="825" w:hanging="465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F2B19"/>
    <w:multiLevelType w:val="hybridMultilevel"/>
    <w:tmpl w:val="D4486E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8C7409D"/>
    <w:multiLevelType w:val="hybridMultilevel"/>
    <w:tmpl w:val="97505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B0FA9"/>
    <w:multiLevelType w:val="hybridMultilevel"/>
    <w:tmpl w:val="F684B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B6ECF"/>
    <w:multiLevelType w:val="hybridMultilevel"/>
    <w:tmpl w:val="A3488E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74DFC"/>
    <w:multiLevelType w:val="hybridMultilevel"/>
    <w:tmpl w:val="AAC01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35A71"/>
    <w:multiLevelType w:val="hybridMultilevel"/>
    <w:tmpl w:val="57305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F5FE1"/>
    <w:multiLevelType w:val="hybridMultilevel"/>
    <w:tmpl w:val="07C2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66E5D"/>
    <w:multiLevelType w:val="hybridMultilevel"/>
    <w:tmpl w:val="F6CC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A7EF6"/>
    <w:multiLevelType w:val="hybridMultilevel"/>
    <w:tmpl w:val="A8B0DE20"/>
    <w:lvl w:ilvl="0" w:tplc="0750DF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453F1"/>
    <w:multiLevelType w:val="hybridMultilevel"/>
    <w:tmpl w:val="B6C88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251D00"/>
    <w:multiLevelType w:val="hybridMultilevel"/>
    <w:tmpl w:val="5B0E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3888"/>
    <w:multiLevelType w:val="hybridMultilevel"/>
    <w:tmpl w:val="E15AD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4"/>
  </w:num>
  <w:num w:numId="5">
    <w:abstractNumId w:val="21"/>
  </w:num>
  <w:num w:numId="6">
    <w:abstractNumId w:val="7"/>
  </w:num>
  <w:num w:numId="7">
    <w:abstractNumId w:val="1"/>
  </w:num>
  <w:num w:numId="8">
    <w:abstractNumId w:val="14"/>
  </w:num>
  <w:num w:numId="9">
    <w:abstractNumId w:val="3"/>
  </w:num>
  <w:num w:numId="10">
    <w:abstractNumId w:val="15"/>
  </w:num>
  <w:num w:numId="11">
    <w:abstractNumId w:val="26"/>
  </w:num>
  <w:num w:numId="12">
    <w:abstractNumId w:val="8"/>
  </w:num>
  <w:num w:numId="13">
    <w:abstractNumId w:val="28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8"/>
  </w:num>
  <w:num w:numId="18">
    <w:abstractNumId w:val="6"/>
  </w:num>
  <w:num w:numId="19">
    <w:abstractNumId w:val="27"/>
  </w:num>
  <w:num w:numId="20">
    <w:abstractNumId w:val="11"/>
  </w:num>
  <w:num w:numId="21">
    <w:abstractNumId w:val="22"/>
  </w:num>
  <w:num w:numId="22">
    <w:abstractNumId w:val="19"/>
  </w:num>
  <w:num w:numId="23">
    <w:abstractNumId w:val="9"/>
  </w:num>
  <w:num w:numId="24">
    <w:abstractNumId w:val="17"/>
  </w:num>
  <w:num w:numId="25">
    <w:abstractNumId w:val="20"/>
  </w:num>
  <w:num w:numId="26">
    <w:abstractNumId w:val="5"/>
  </w:num>
  <w:num w:numId="27">
    <w:abstractNumId w:val="24"/>
  </w:num>
  <w:num w:numId="28">
    <w:abstractNumId w:val="16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45"/>
    <w:rsid w:val="00031A74"/>
    <w:rsid w:val="00035919"/>
    <w:rsid w:val="00054E58"/>
    <w:rsid w:val="0005706B"/>
    <w:rsid w:val="00070E3E"/>
    <w:rsid w:val="000A1DCC"/>
    <w:rsid w:val="000B1236"/>
    <w:rsid w:val="000B5C38"/>
    <w:rsid w:val="000C14EE"/>
    <w:rsid w:val="000D700A"/>
    <w:rsid w:val="000E38A4"/>
    <w:rsid w:val="000F13D8"/>
    <w:rsid w:val="000F47D6"/>
    <w:rsid w:val="00103B36"/>
    <w:rsid w:val="00103DE7"/>
    <w:rsid w:val="001208AC"/>
    <w:rsid w:val="0013333F"/>
    <w:rsid w:val="00150D50"/>
    <w:rsid w:val="001537CF"/>
    <w:rsid w:val="00153BE3"/>
    <w:rsid w:val="00157904"/>
    <w:rsid w:val="00173796"/>
    <w:rsid w:val="0018343D"/>
    <w:rsid w:val="001850BA"/>
    <w:rsid w:val="00186C02"/>
    <w:rsid w:val="001C08DD"/>
    <w:rsid w:val="001D50E2"/>
    <w:rsid w:val="001D56CA"/>
    <w:rsid w:val="001E7035"/>
    <w:rsid w:val="001F4FE3"/>
    <w:rsid w:val="00207AA4"/>
    <w:rsid w:val="0021034C"/>
    <w:rsid w:val="00236BE5"/>
    <w:rsid w:val="00264C18"/>
    <w:rsid w:val="002729DE"/>
    <w:rsid w:val="0028461B"/>
    <w:rsid w:val="0029541B"/>
    <w:rsid w:val="002B09F2"/>
    <w:rsid w:val="002B11AF"/>
    <w:rsid w:val="002B3078"/>
    <w:rsid w:val="002C01AE"/>
    <w:rsid w:val="002D37BC"/>
    <w:rsid w:val="002E0BAF"/>
    <w:rsid w:val="002E1602"/>
    <w:rsid w:val="003114D2"/>
    <w:rsid w:val="003200C2"/>
    <w:rsid w:val="0032390C"/>
    <w:rsid w:val="003271E5"/>
    <w:rsid w:val="00333B2E"/>
    <w:rsid w:val="003470ED"/>
    <w:rsid w:val="00351EAB"/>
    <w:rsid w:val="00354CAC"/>
    <w:rsid w:val="00357954"/>
    <w:rsid w:val="00362B26"/>
    <w:rsid w:val="003927BE"/>
    <w:rsid w:val="003A3535"/>
    <w:rsid w:val="003A364D"/>
    <w:rsid w:val="003B3914"/>
    <w:rsid w:val="003D0EB6"/>
    <w:rsid w:val="003D26DA"/>
    <w:rsid w:val="003D7834"/>
    <w:rsid w:val="003E6A45"/>
    <w:rsid w:val="003F6226"/>
    <w:rsid w:val="004016C3"/>
    <w:rsid w:val="00404D53"/>
    <w:rsid w:val="00420F0E"/>
    <w:rsid w:val="004257D1"/>
    <w:rsid w:val="004258AE"/>
    <w:rsid w:val="0043027A"/>
    <w:rsid w:val="00446E95"/>
    <w:rsid w:val="0044710C"/>
    <w:rsid w:val="00450CEA"/>
    <w:rsid w:val="00484496"/>
    <w:rsid w:val="004A1CE1"/>
    <w:rsid w:val="004A77C5"/>
    <w:rsid w:val="004C54D6"/>
    <w:rsid w:val="004D1820"/>
    <w:rsid w:val="004E3B16"/>
    <w:rsid w:val="004F19B6"/>
    <w:rsid w:val="00500E07"/>
    <w:rsid w:val="00515BAD"/>
    <w:rsid w:val="00527211"/>
    <w:rsid w:val="00535475"/>
    <w:rsid w:val="005716DF"/>
    <w:rsid w:val="005745A0"/>
    <w:rsid w:val="00581BB4"/>
    <w:rsid w:val="00582D67"/>
    <w:rsid w:val="00590963"/>
    <w:rsid w:val="005A23A7"/>
    <w:rsid w:val="005B4BF0"/>
    <w:rsid w:val="005B664B"/>
    <w:rsid w:val="005C0303"/>
    <w:rsid w:val="005D456F"/>
    <w:rsid w:val="005D6192"/>
    <w:rsid w:val="00602D50"/>
    <w:rsid w:val="00610F26"/>
    <w:rsid w:val="00621B00"/>
    <w:rsid w:val="006237B6"/>
    <w:rsid w:val="00637CDF"/>
    <w:rsid w:val="00652FE8"/>
    <w:rsid w:val="00657230"/>
    <w:rsid w:val="006903ED"/>
    <w:rsid w:val="006A2173"/>
    <w:rsid w:val="006A68A6"/>
    <w:rsid w:val="006C6527"/>
    <w:rsid w:val="006C66B6"/>
    <w:rsid w:val="006D0B8F"/>
    <w:rsid w:val="006F122B"/>
    <w:rsid w:val="006F1D98"/>
    <w:rsid w:val="00713577"/>
    <w:rsid w:val="00740A21"/>
    <w:rsid w:val="0075254A"/>
    <w:rsid w:val="0076654B"/>
    <w:rsid w:val="00772BBA"/>
    <w:rsid w:val="00775F9C"/>
    <w:rsid w:val="00776A9B"/>
    <w:rsid w:val="007A0C74"/>
    <w:rsid w:val="007A1D43"/>
    <w:rsid w:val="007A51B6"/>
    <w:rsid w:val="007B1479"/>
    <w:rsid w:val="007B5056"/>
    <w:rsid w:val="007B711D"/>
    <w:rsid w:val="007C6674"/>
    <w:rsid w:val="007E7A9F"/>
    <w:rsid w:val="007F114C"/>
    <w:rsid w:val="007F7A94"/>
    <w:rsid w:val="0080798C"/>
    <w:rsid w:val="00813C27"/>
    <w:rsid w:val="008152A9"/>
    <w:rsid w:val="008155CD"/>
    <w:rsid w:val="00821A41"/>
    <w:rsid w:val="00830147"/>
    <w:rsid w:val="008632CE"/>
    <w:rsid w:val="008771C0"/>
    <w:rsid w:val="00881881"/>
    <w:rsid w:val="008903FB"/>
    <w:rsid w:val="008A5E88"/>
    <w:rsid w:val="008F72DF"/>
    <w:rsid w:val="00906624"/>
    <w:rsid w:val="00911A06"/>
    <w:rsid w:val="0092106C"/>
    <w:rsid w:val="009521D2"/>
    <w:rsid w:val="0097677F"/>
    <w:rsid w:val="00983813"/>
    <w:rsid w:val="009844E8"/>
    <w:rsid w:val="009871A0"/>
    <w:rsid w:val="00990F42"/>
    <w:rsid w:val="009927C9"/>
    <w:rsid w:val="009A2D49"/>
    <w:rsid w:val="009B3418"/>
    <w:rsid w:val="009B5B1A"/>
    <w:rsid w:val="009B61F1"/>
    <w:rsid w:val="009D1F0F"/>
    <w:rsid w:val="00A16FDB"/>
    <w:rsid w:val="00A2011A"/>
    <w:rsid w:val="00A26A90"/>
    <w:rsid w:val="00A725BC"/>
    <w:rsid w:val="00A77EC8"/>
    <w:rsid w:val="00A85A23"/>
    <w:rsid w:val="00AA5A4D"/>
    <w:rsid w:val="00AA5B4F"/>
    <w:rsid w:val="00AB7853"/>
    <w:rsid w:val="00AC12E7"/>
    <w:rsid w:val="00AC1528"/>
    <w:rsid w:val="00AD0F33"/>
    <w:rsid w:val="00AE2A29"/>
    <w:rsid w:val="00AE78D8"/>
    <w:rsid w:val="00AF6C66"/>
    <w:rsid w:val="00B21A7E"/>
    <w:rsid w:val="00B4206E"/>
    <w:rsid w:val="00B44F22"/>
    <w:rsid w:val="00B45705"/>
    <w:rsid w:val="00B600FF"/>
    <w:rsid w:val="00B61088"/>
    <w:rsid w:val="00B67789"/>
    <w:rsid w:val="00B7415C"/>
    <w:rsid w:val="00B777CC"/>
    <w:rsid w:val="00B84C5F"/>
    <w:rsid w:val="00BA5B2B"/>
    <w:rsid w:val="00BB08CC"/>
    <w:rsid w:val="00BB0CBD"/>
    <w:rsid w:val="00BB54B1"/>
    <w:rsid w:val="00BC2064"/>
    <w:rsid w:val="00C02EDA"/>
    <w:rsid w:val="00C20DC0"/>
    <w:rsid w:val="00C247EC"/>
    <w:rsid w:val="00C41EB4"/>
    <w:rsid w:val="00C45D72"/>
    <w:rsid w:val="00C72628"/>
    <w:rsid w:val="00C927DE"/>
    <w:rsid w:val="00C974F3"/>
    <w:rsid w:val="00CB2624"/>
    <w:rsid w:val="00CB4B32"/>
    <w:rsid w:val="00CD5239"/>
    <w:rsid w:val="00D06BEB"/>
    <w:rsid w:val="00D17AA3"/>
    <w:rsid w:val="00D4032F"/>
    <w:rsid w:val="00D63163"/>
    <w:rsid w:val="00D829E2"/>
    <w:rsid w:val="00D917B3"/>
    <w:rsid w:val="00DA3F07"/>
    <w:rsid w:val="00DB4620"/>
    <w:rsid w:val="00DB4E7C"/>
    <w:rsid w:val="00DD43FF"/>
    <w:rsid w:val="00DE0CF7"/>
    <w:rsid w:val="00E106D7"/>
    <w:rsid w:val="00E14310"/>
    <w:rsid w:val="00E205E3"/>
    <w:rsid w:val="00E22E2C"/>
    <w:rsid w:val="00E23304"/>
    <w:rsid w:val="00E71A5D"/>
    <w:rsid w:val="00E841DA"/>
    <w:rsid w:val="00EA1520"/>
    <w:rsid w:val="00EA45E5"/>
    <w:rsid w:val="00EF48F6"/>
    <w:rsid w:val="00F05F27"/>
    <w:rsid w:val="00F0678C"/>
    <w:rsid w:val="00F13A87"/>
    <w:rsid w:val="00F17F64"/>
    <w:rsid w:val="00F20CE0"/>
    <w:rsid w:val="00F3710F"/>
    <w:rsid w:val="00F427CB"/>
    <w:rsid w:val="00F50C06"/>
    <w:rsid w:val="00F6505C"/>
    <w:rsid w:val="00F66B9D"/>
    <w:rsid w:val="00F6700D"/>
    <w:rsid w:val="00F733FD"/>
    <w:rsid w:val="00F76752"/>
    <w:rsid w:val="00FD4E8F"/>
    <w:rsid w:val="00FE14F5"/>
    <w:rsid w:val="00FE20D8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991FCCF"/>
  <w15:docId w15:val="{A6553107-8CC6-4415-8521-34BBB1B6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27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3027A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rsid w:val="0043027A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43027A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43027A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027A"/>
  </w:style>
  <w:style w:type="paragraph" w:customStyle="1" w:styleId="arial11">
    <w:name w:val="arial11"/>
    <w:basedOn w:val="Normal"/>
    <w:rsid w:val="0043027A"/>
  </w:style>
  <w:style w:type="paragraph" w:styleId="BodyText">
    <w:name w:val="Body Text"/>
    <w:basedOn w:val="Normal"/>
    <w:rsid w:val="0043027A"/>
  </w:style>
  <w:style w:type="paragraph" w:styleId="Footer">
    <w:name w:val="footer"/>
    <w:basedOn w:val="Normal"/>
    <w:rsid w:val="004302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027A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4B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4FE3"/>
    <w:pPr>
      <w:ind w:left="720"/>
      <w:contextualSpacing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6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C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C0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C02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DD43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26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6FDB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BasicParagraph">
    <w:name w:val="[Basic Paragraph]"/>
    <w:basedOn w:val="Normal"/>
    <w:uiPriority w:val="99"/>
    <w:rsid w:val="007135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.lister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C796-B4D1-4201-BA8B-A185480B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14</TotalTime>
  <Pages>3</Pages>
  <Words>633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>One Connect Limited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creator>rdmcm</dc:creator>
  <dc:description>August 2009</dc:description>
  <cp:lastModifiedBy>Gorman, Dave</cp:lastModifiedBy>
  <cp:revision>6</cp:revision>
  <cp:lastPrinted>2015-05-19T11:59:00Z</cp:lastPrinted>
  <dcterms:created xsi:type="dcterms:W3CDTF">2015-09-17T08:47:00Z</dcterms:created>
  <dcterms:modified xsi:type="dcterms:W3CDTF">2015-10-06T10:32:00Z</dcterms:modified>
</cp:coreProperties>
</file>