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A45" w:rsidRDefault="00B4206E">
      <w:pPr>
        <w:rPr>
          <w:b/>
        </w:rPr>
      </w:pPr>
      <w:r>
        <w:rPr>
          <w:b/>
        </w:rPr>
        <w:t>Pension Fund Committee</w:t>
      </w:r>
    </w:p>
    <w:p w:rsidR="003E6A45" w:rsidRDefault="003E6A45">
      <w:r>
        <w:t xml:space="preserve">Meeting to be held on </w:t>
      </w:r>
      <w:r w:rsidR="003F482F">
        <w:t>29</w:t>
      </w:r>
      <w:r w:rsidR="009D1F0F">
        <w:t xml:space="preserve"> </w:t>
      </w:r>
      <w:r w:rsidR="003F482F">
        <w:t>January</w:t>
      </w:r>
      <w:r w:rsidR="009D1F0F">
        <w:t xml:space="preserve"> 201</w:t>
      </w:r>
      <w:r w:rsidR="003F482F">
        <w:t>6</w:t>
      </w:r>
    </w:p>
    <w:p w:rsidR="003E6A45" w:rsidRDefault="003E6A45"/>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3E6A45">
        <w:tc>
          <w:tcPr>
            <w:tcW w:w="3260" w:type="dxa"/>
          </w:tcPr>
          <w:p w:rsidR="003E6A45" w:rsidRDefault="003E6A45">
            <w:pPr>
              <w:pStyle w:val="BodyText"/>
            </w:pPr>
            <w:r>
              <w:t>Electoral Division affected:</w:t>
            </w:r>
          </w:p>
          <w:p w:rsidR="003E6A45" w:rsidRDefault="00B4206E">
            <w:pPr>
              <w:rPr>
                <w:u w:val="single"/>
              </w:rPr>
            </w:pPr>
            <w:r>
              <w:t>None</w:t>
            </w:r>
          </w:p>
        </w:tc>
      </w:tr>
    </w:tbl>
    <w:p w:rsidR="003E6A45" w:rsidRDefault="003E6A45">
      <w:pPr>
        <w:rPr>
          <w:u w:val="single"/>
        </w:rPr>
      </w:pPr>
    </w:p>
    <w:p w:rsidR="00CA27CA" w:rsidRDefault="00CA27CA">
      <w:pPr>
        <w:rPr>
          <w:b/>
        </w:rPr>
      </w:pPr>
    </w:p>
    <w:p w:rsidR="003E6A45" w:rsidRDefault="00DD43FF">
      <w:pPr>
        <w:rPr>
          <w:b/>
        </w:rPr>
      </w:pPr>
      <w:r>
        <w:rPr>
          <w:b/>
        </w:rPr>
        <w:t xml:space="preserve">Lancashire County Pension Fund </w:t>
      </w:r>
      <w:r w:rsidR="001E18F0">
        <w:rPr>
          <w:b/>
        </w:rPr>
        <w:t>-</w:t>
      </w:r>
      <w:r>
        <w:rPr>
          <w:b/>
        </w:rPr>
        <w:t xml:space="preserve"> </w:t>
      </w:r>
      <w:r w:rsidR="00AF2512">
        <w:rPr>
          <w:b/>
        </w:rPr>
        <w:t>Discretionary Policies Update</w:t>
      </w:r>
    </w:p>
    <w:p w:rsidR="007A0789" w:rsidRDefault="001E18F0">
      <w:r>
        <w:t>(Appendix 'A' refers)</w:t>
      </w:r>
    </w:p>
    <w:p w:rsidR="001E18F0" w:rsidRDefault="001E18F0"/>
    <w:p w:rsidR="00395EFD" w:rsidRDefault="00395EFD" w:rsidP="00395EFD">
      <w:r>
        <w:t>Contact for further information:</w:t>
      </w:r>
    </w:p>
    <w:p w:rsidR="00395EFD" w:rsidRDefault="00AF2512" w:rsidP="00395EFD">
      <w:r>
        <w:t>Andy Brown</w:t>
      </w:r>
      <w:r w:rsidR="00395EFD">
        <w:t xml:space="preserve">, </w:t>
      </w:r>
      <w:r w:rsidR="00CA27CA">
        <w:t xml:space="preserve">(01772) 530622, </w:t>
      </w:r>
      <w:r w:rsidR="00395EFD">
        <w:t xml:space="preserve">Lancashire County Pension Fund, </w:t>
      </w:r>
      <w:hyperlink r:id="rId8" w:history="1">
        <w:r w:rsidRPr="00414A1B">
          <w:rPr>
            <w:rStyle w:val="Hyperlink"/>
          </w:rPr>
          <w:t>andy.brown@lancashire.gov.uk</w:t>
        </w:r>
      </w:hyperlink>
    </w:p>
    <w:p w:rsidR="001E7035" w:rsidRPr="001E7035" w:rsidRDefault="001E7035"/>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9"/>
      </w:tblGrid>
      <w:tr w:rsidR="003E6A45" w:rsidTr="00915D62">
        <w:trPr>
          <w:trHeight w:val="51"/>
        </w:trPr>
        <w:tc>
          <w:tcPr>
            <w:tcW w:w="9099" w:type="dxa"/>
          </w:tcPr>
          <w:p w:rsidR="003E6A45" w:rsidRDefault="003E6A45">
            <w:pPr>
              <w:pStyle w:val="Header"/>
            </w:pPr>
          </w:p>
          <w:p w:rsidR="003E6A45" w:rsidRDefault="003E6A45">
            <w:pPr>
              <w:pStyle w:val="Heading6"/>
              <w:rPr>
                <w:rFonts w:ascii="Arial" w:hAnsi="Arial"/>
              </w:rPr>
            </w:pPr>
            <w:r>
              <w:rPr>
                <w:rFonts w:ascii="Arial" w:hAnsi="Arial"/>
              </w:rPr>
              <w:t>Executive Summary</w:t>
            </w:r>
          </w:p>
          <w:p w:rsidR="00395EFD" w:rsidRDefault="00395EFD" w:rsidP="00395EFD"/>
          <w:p w:rsidR="00395EFD" w:rsidRDefault="00395EFD" w:rsidP="00CA27CA">
            <w:pPr>
              <w:jc w:val="both"/>
            </w:pPr>
            <w:r>
              <w:t>On 30 September 2015, the Pension Fund Committee agreed to consult on various proposals covering five 'key' discretionary policy areas, namely:</w:t>
            </w:r>
          </w:p>
          <w:p w:rsidR="00395EFD" w:rsidRDefault="00395EFD" w:rsidP="00CA27CA">
            <w:pPr>
              <w:jc w:val="both"/>
            </w:pPr>
          </w:p>
          <w:p w:rsidR="00395EFD" w:rsidRDefault="00395EFD" w:rsidP="00CA27CA">
            <w:pPr>
              <w:pStyle w:val="ListParagraph"/>
              <w:numPr>
                <w:ilvl w:val="0"/>
                <w:numId w:val="1"/>
              </w:numPr>
              <w:spacing w:after="200" w:line="276" w:lineRule="auto"/>
              <w:jc w:val="both"/>
            </w:pPr>
            <w:r>
              <w:t xml:space="preserve">abatement of pensions; </w:t>
            </w:r>
          </w:p>
          <w:p w:rsidR="00395EFD" w:rsidRDefault="00395EFD" w:rsidP="00CA27CA">
            <w:pPr>
              <w:pStyle w:val="ListParagraph"/>
              <w:numPr>
                <w:ilvl w:val="0"/>
                <w:numId w:val="1"/>
              </w:numPr>
              <w:spacing w:after="200" w:line="276" w:lineRule="auto"/>
              <w:jc w:val="both"/>
            </w:pPr>
            <w:r>
              <w:t>transfer in of pension rights;</w:t>
            </w:r>
          </w:p>
          <w:p w:rsidR="00395EFD" w:rsidRDefault="00395EFD" w:rsidP="00CA27CA">
            <w:pPr>
              <w:pStyle w:val="ListParagraph"/>
              <w:numPr>
                <w:ilvl w:val="0"/>
                <w:numId w:val="1"/>
              </w:numPr>
              <w:spacing w:after="200" w:line="276" w:lineRule="auto"/>
              <w:jc w:val="both"/>
            </w:pPr>
            <w:r>
              <w:t xml:space="preserve">commutation of pensions; </w:t>
            </w:r>
          </w:p>
          <w:p w:rsidR="00395EFD" w:rsidRDefault="00395EFD" w:rsidP="00CA27CA">
            <w:pPr>
              <w:pStyle w:val="ListParagraph"/>
              <w:numPr>
                <w:ilvl w:val="0"/>
                <w:numId w:val="1"/>
              </w:numPr>
              <w:spacing w:after="200" w:line="276" w:lineRule="auto"/>
              <w:jc w:val="both"/>
            </w:pPr>
            <w:r>
              <w:t xml:space="preserve">admissions and terminations; and </w:t>
            </w:r>
          </w:p>
          <w:p w:rsidR="00395EFD" w:rsidRPr="00C64F7B" w:rsidRDefault="00395EFD" w:rsidP="00CA27CA">
            <w:pPr>
              <w:pStyle w:val="ListParagraph"/>
              <w:numPr>
                <w:ilvl w:val="0"/>
                <w:numId w:val="1"/>
              </w:numPr>
              <w:spacing w:after="200" w:line="276" w:lineRule="auto"/>
              <w:jc w:val="both"/>
              <w:rPr>
                <w:b/>
              </w:rPr>
            </w:pPr>
            <w:proofErr w:type="gramStart"/>
            <w:r>
              <w:t>bulk</w:t>
            </w:r>
            <w:proofErr w:type="gramEnd"/>
            <w:r>
              <w:t xml:space="preserve"> transfers.</w:t>
            </w:r>
          </w:p>
          <w:p w:rsidR="00395EFD" w:rsidRDefault="00395EFD" w:rsidP="00CA27CA">
            <w:pPr>
              <w:jc w:val="both"/>
            </w:pPr>
            <w:r>
              <w:t>The purpose of this report is to:</w:t>
            </w:r>
          </w:p>
          <w:p w:rsidR="00395EFD" w:rsidRDefault="00395EFD" w:rsidP="00CA27CA">
            <w:pPr>
              <w:jc w:val="both"/>
            </w:pPr>
          </w:p>
          <w:p w:rsidR="00395EFD" w:rsidRDefault="00395EFD" w:rsidP="00CA27CA">
            <w:pPr>
              <w:pStyle w:val="ListParagraph"/>
              <w:numPr>
                <w:ilvl w:val="0"/>
                <w:numId w:val="2"/>
              </w:numPr>
              <w:spacing w:after="160" w:line="259" w:lineRule="auto"/>
              <w:jc w:val="both"/>
            </w:pPr>
            <w:r>
              <w:t>summarise consultation feedback in respect of the above and make recommendations accordingly;</w:t>
            </w:r>
          </w:p>
          <w:p w:rsidR="00395EFD" w:rsidRDefault="00395EFD" w:rsidP="00CA27CA">
            <w:pPr>
              <w:pStyle w:val="ListParagraph"/>
              <w:numPr>
                <w:ilvl w:val="0"/>
                <w:numId w:val="2"/>
              </w:numPr>
              <w:spacing w:after="160" w:line="259" w:lineRule="auto"/>
              <w:jc w:val="both"/>
            </w:pPr>
            <w:r>
              <w:t>prese</w:t>
            </w:r>
            <w:r w:rsidR="00CA27CA">
              <w:t xml:space="preserve">nt a summary of the remaining  </w:t>
            </w:r>
            <w:r>
              <w:t>refreshed or restated policies (other than death grants); and</w:t>
            </w:r>
          </w:p>
          <w:p w:rsidR="00395EFD" w:rsidRDefault="00395EFD" w:rsidP="00CA27CA">
            <w:pPr>
              <w:pStyle w:val="ListParagraph"/>
              <w:numPr>
                <w:ilvl w:val="0"/>
                <w:numId w:val="2"/>
              </w:numPr>
              <w:spacing w:after="160" w:line="259" w:lineRule="auto"/>
              <w:jc w:val="both"/>
            </w:pPr>
            <w:proofErr w:type="gramStart"/>
            <w:r>
              <w:t>propose</w:t>
            </w:r>
            <w:proofErr w:type="gramEnd"/>
            <w:r>
              <w:t xml:space="preserve"> specific changes to the death grants policy.</w:t>
            </w:r>
          </w:p>
          <w:p w:rsidR="003E6A45" w:rsidRDefault="003E6A45" w:rsidP="00CA27CA">
            <w:pPr>
              <w:pStyle w:val="Heading5"/>
              <w:jc w:val="both"/>
              <w:rPr>
                <w:rFonts w:ascii="Arial" w:hAnsi="Arial"/>
                <w:u w:val="none"/>
              </w:rPr>
            </w:pPr>
            <w:r>
              <w:rPr>
                <w:rFonts w:ascii="Arial" w:hAnsi="Arial"/>
                <w:u w:val="none"/>
              </w:rPr>
              <w:t>Recommendation</w:t>
            </w:r>
          </w:p>
          <w:p w:rsidR="00AE2A29" w:rsidRDefault="00AE2A29" w:rsidP="00CA27CA">
            <w:pPr>
              <w:jc w:val="both"/>
            </w:pPr>
          </w:p>
          <w:p w:rsidR="00395EFD" w:rsidRDefault="00395EFD" w:rsidP="00CA27CA">
            <w:pPr>
              <w:spacing w:after="200" w:line="276" w:lineRule="auto"/>
              <w:jc w:val="both"/>
            </w:pPr>
            <w:r w:rsidRPr="00921B09">
              <w:t>Th</w:t>
            </w:r>
            <w:r>
              <w:t xml:space="preserve">e Committee is </w:t>
            </w:r>
            <w:r w:rsidR="00CA27CA">
              <w:t>recommended</w:t>
            </w:r>
            <w:r>
              <w:t xml:space="preserve"> to:</w:t>
            </w:r>
          </w:p>
          <w:p w:rsidR="00395EFD" w:rsidRDefault="00CA27CA" w:rsidP="00CA27CA">
            <w:pPr>
              <w:pStyle w:val="ListParagraph"/>
              <w:numPr>
                <w:ilvl w:val="0"/>
                <w:numId w:val="7"/>
              </w:numPr>
              <w:spacing w:after="200" w:line="276" w:lineRule="auto"/>
              <w:jc w:val="both"/>
            </w:pPr>
            <w:r>
              <w:t xml:space="preserve">Approve </w:t>
            </w:r>
            <w:r w:rsidR="00395EFD">
              <w:t>the original proposals in respect of the five key discretions above;</w:t>
            </w:r>
          </w:p>
          <w:p w:rsidR="00395EFD" w:rsidRDefault="00CA27CA" w:rsidP="00CA27CA">
            <w:pPr>
              <w:pStyle w:val="ListParagraph"/>
              <w:numPr>
                <w:ilvl w:val="0"/>
                <w:numId w:val="7"/>
              </w:numPr>
              <w:spacing w:after="200" w:line="276" w:lineRule="auto"/>
              <w:jc w:val="both"/>
            </w:pPr>
            <w:r>
              <w:t xml:space="preserve">Approve </w:t>
            </w:r>
            <w:r w:rsidR="00395EFD">
              <w:t xml:space="preserve">the proposed policies covering remaining </w:t>
            </w:r>
            <w:proofErr w:type="spellStart"/>
            <w:r w:rsidR="00395EFD">
              <w:t>dicretions</w:t>
            </w:r>
            <w:proofErr w:type="spellEnd"/>
            <w:r w:rsidR="00395EFD">
              <w:t xml:space="preserve"> (excluding death grants); and </w:t>
            </w:r>
          </w:p>
          <w:p w:rsidR="003E6A45" w:rsidRDefault="00CA27CA" w:rsidP="00CA27CA">
            <w:pPr>
              <w:pStyle w:val="ListParagraph"/>
              <w:numPr>
                <w:ilvl w:val="0"/>
                <w:numId w:val="7"/>
              </w:numPr>
              <w:spacing w:after="200" w:line="276" w:lineRule="auto"/>
              <w:jc w:val="both"/>
            </w:pPr>
            <w:r>
              <w:t>Approve</w:t>
            </w:r>
            <w:r w:rsidR="00395EFD">
              <w:t xml:space="preserve"> proposed changes to the existing death grants policy.</w:t>
            </w:r>
          </w:p>
        </w:tc>
      </w:tr>
    </w:tbl>
    <w:p w:rsidR="00CC740F" w:rsidRDefault="00CC740F" w:rsidP="00772BBA">
      <w:pPr>
        <w:rPr>
          <w:rFonts w:cs="Arial"/>
          <w:b/>
          <w:szCs w:val="24"/>
        </w:rPr>
      </w:pPr>
    </w:p>
    <w:p w:rsidR="00772BBA" w:rsidRDefault="00772BBA" w:rsidP="00772BBA">
      <w:pPr>
        <w:rPr>
          <w:rFonts w:cs="Arial"/>
          <w:b/>
          <w:szCs w:val="24"/>
        </w:rPr>
      </w:pPr>
      <w:r w:rsidRPr="003F482F">
        <w:rPr>
          <w:rFonts w:cs="Arial"/>
          <w:b/>
          <w:szCs w:val="24"/>
        </w:rPr>
        <w:t xml:space="preserve">Background and Advice </w:t>
      </w:r>
    </w:p>
    <w:p w:rsidR="007A0789" w:rsidRDefault="007A0789" w:rsidP="00772BBA">
      <w:pPr>
        <w:rPr>
          <w:rFonts w:cs="Arial"/>
          <w:b/>
          <w:szCs w:val="24"/>
        </w:rPr>
      </w:pPr>
    </w:p>
    <w:p w:rsidR="008B07BF" w:rsidRDefault="008B07BF" w:rsidP="00CA27CA">
      <w:pPr>
        <w:jc w:val="both"/>
      </w:pPr>
      <w:r w:rsidRPr="00C64F7B">
        <w:t>The</w:t>
      </w:r>
      <w:r w:rsidR="00CA27CA">
        <w:t xml:space="preserve"> Local Government Pension Scheme</w:t>
      </w:r>
      <w:r w:rsidRPr="00C64F7B">
        <w:t xml:space="preserve"> </w:t>
      </w:r>
      <w:r w:rsidR="00CA27CA">
        <w:t>(</w:t>
      </w:r>
      <w:r w:rsidRPr="00C64F7B">
        <w:t>LGPS</w:t>
      </w:r>
      <w:r w:rsidR="00CA27CA">
        <w:t>)</w:t>
      </w:r>
      <w:r w:rsidRPr="00C64F7B">
        <w:t xml:space="preserve"> regulations provide for individual funds to set their own discretionary policies in certain areas.</w:t>
      </w:r>
      <w:r>
        <w:rPr>
          <w:b/>
        </w:rPr>
        <w:t xml:space="preserve"> </w:t>
      </w:r>
      <w:r>
        <w:t xml:space="preserve">On 30 September 2015, </w:t>
      </w:r>
      <w:r>
        <w:lastRenderedPageBreak/>
        <w:t xml:space="preserve">the Pension Fund Committee agreed to consult on various proposals covering five </w:t>
      </w:r>
      <w:proofErr w:type="gramStart"/>
      <w:r w:rsidR="00915D62">
        <w:t xml:space="preserve">key </w:t>
      </w:r>
      <w:r>
        <w:t xml:space="preserve"> discretionary</w:t>
      </w:r>
      <w:proofErr w:type="gramEnd"/>
      <w:r>
        <w:t xml:space="preserve"> policy areas</w:t>
      </w:r>
      <w:r w:rsidR="00915D62">
        <w:t>:</w:t>
      </w:r>
    </w:p>
    <w:p w:rsidR="00915D62" w:rsidRDefault="00915D62" w:rsidP="008B07BF"/>
    <w:p w:rsidR="008B07BF" w:rsidRDefault="008B07BF" w:rsidP="00460A4D">
      <w:pPr>
        <w:pStyle w:val="ListParagraph"/>
        <w:numPr>
          <w:ilvl w:val="0"/>
          <w:numId w:val="1"/>
        </w:numPr>
        <w:spacing w:after="200" w:line="276" w:lineRule="auto"/>
      </w:pPr>
      <w:r>
        <w:t xml:space="preserve">abatement of pensions; </w:t>
      </w:r>
    </w:p>
    <w:p w:rsidR="008B07BF" w:rsidRDefault="008B07BF" w:rsidP="00460A4D">
      <w:pPr>
        <w:pStyle w:val="ListParagraph"/>
        <w:numPr>
          <w:ilvl w:val="0"/>
          <w:numId w:val="1"/>
        </w:numPr>
        <w:spacing w:after="200" w:line="276" w:lineRule="auto"/>
      </w:pPr>
      <w:r>
        <w:t>transfer in of pension rights;</w:t>
      </w:r>
    </w:p>
    <w:p w:rsidR="008B07BF" w:rsidRDefault="008B07BF" w:rsidP="00460A4D">
      <w:pPr>
        <w:pStyle w:val="ListParagraph"/>
        <w:numPr>
          <w:ilvl w:val="0"/>
          <w:numId w:val="1"/>
        </w:numPr>
        <w:spacing w:after="200" w:line="276" w:lineRule="auto"/>
      </w:pPr>
      <w:r>
        <w:t xml:space="preserve">commutation of pensions; </w:t>
      </w:r>
    </w:p>
    <w:p w:rsidR="008B07BF" w:rsidRDefault="008B07BF" w:rsidP="00460A4D">
      <w:pPr>
        <w:pStyle w:val="ListParagraph"/>
        <w:numPr>
          <w:ilvl w:val="0"/>
          <w:numId w:val="1"/>
        </w:numPr>
        <w:spacing w:after="200" w:line="276" w:lineRule="auto"/>
      </w:pPr>
      <w:r>
        <w:t xml:space="preserve">admissions and terminations; and </w:t>
      </w:r>
    </w:p>
    <w:p w:rsidR="008B07BF" w:rsidRPr="00C64F7B" w:rsidRDefault="008B07BF" w:rsidP="00460A4D">
      <w:pPr>
        <w:pStyle w:val="ListParagraph"/>
        <w:numPr>
          <w:ilvl w:val="0"/>
          <w:numId w:val="1"/>
        </w:numPr>
        <w:spacing w:after="200" w:line="276" w:lineRule="auto"/>
        <w:rPr>
          <w:b/>
        </w:rPr>
      </w:pPr>
      <w:r>
        <w:t xml:space="preserve">bulk transfers </w:t>
      </w:r>
    </w:p>
    <w:p w:rsidR="008B07BF" w:rsidRDefault="008B07BF" w:rsidP="00CA27CA">
      <w:pPr>
        <w:jc w:val="both"/>
      </w:pPr>
      <w:r>
        <w:t>These five p</w:t>
      </w:r>
      <w:r w:rsidR="00CA27CA">
        <w:t xml:space="preserve">olicy areas are amongst around </w:t>
      </w:r>
      <w:r>
        <w:t xml:space="preserve">100 discretionary policies which LGPS funds can determine at a Fund level, and are deemed the 'top five' most significant. </w:t>
      </w:r>
    </w:p>
    <w:p w:rsidR="00915D62" w:rsidRDefault="00915D62" w:rsidP="008B07BF"/>
    <w:p w:rsidR="008B07BF" w:rsidRDefault="008B07BF" w:rsidP="00CA27CA">
      <w:pPr>
        <w:jc w:val="both"/>
      </w:pPr>
      <w:r>
        <w:t xml:space="preserve">The reason for amending </w:t>
      </w:r>
      <w:r w:rsidR="00CA27CA">
        <w:t xml:space="preserve">and or refreshing policies is </w:t>
      </w:r>
      <w:r>
        <w:t>to ensure they remain fit for purpose and relevant in the light of both regulatory changes and operational experience, hence all existing/new discretionary policies have now been reviewed and where necessary updated.</w:t>
      </w:r>
    </w:p>
    <w:p w:rsidR="00915D62" w:rsidRDefault="00915D62" w:rsidP="00CA27CA">
      <w:pPr>
        <w:jc w:val="both"/>
      </w:pPr>
    </w:p>
    <w:p w:rsidR="008B07BF" w:rsidRDefault="008B07BF" w:rsidP="00CA27CA">
      <w:pPr>
        <w:jc w:val="both"/>
      </w:pPr>
      <w:r>
        <w:t xml:space="preserve">Subject to </w:t>
      </w:r>
      <w:r w:rsidR="00915D62">
        <w:t>C</w:t>
      </w:r>
      <w:r>
        <w:t xml:space="preserve">ommittee approval as above, existing policy documents will be amended </w:t>
      </w:r>
      <w:r w:rsidR="00915D62">
        <w:t xml:space="preserve">or created, </w:t>
      </w:r>
      <w:r>
        <w:t>ready for publication and 'go live' from 1 April 2016.</w:t>
      </w:r>
    </w:p>
    <w:p w:rsidR="00915D62" w:rsidRDefault="00915D62" w:rsidP="00CA27CA">
      <w:pPr>
        <w:jc w:val="both"/>
      </w:pPr>
    </w:p>
    <w:p w:rsidR="008B07BF" w:rsidRDefault="008B07BF" w:rsidP="00CA27CA">
      <w:pPr>
        <w:jc w:val="both"/>
      </w:pPr>
      <w:r>
        <w:t xml:space="preserve">Outside of the five most significant policy areas, which have been subject to consultation, it is proposed that any changes to the remaining discretionary policy areas are not subject to consultation: many of these policy areas can appear somewhat  esoteric and do not have as material an impact on the Fund, members or employers. </w:t>
      </w:r>
    </w:p>
    <w:p w:rsidR="00380849" w:rsidRDefault="00380849" w:rsidP="008B07BF"/>
    <w:p w:rsidR="008B07BF" w:rsidRDefault="008B07BF" w:rsidP="008B07BF">
      <w:pPr>
        <w:rPr>
          <w:b/>
        </w:rPr>
      </w:pPr>
      <w:r w:rsidRPr="00943981">
        <w:rPr>
          <w:b/>
        </w:rPr>
        <w:t>'Top Five' Consultation Feedback</w:t>
      </w:r>
    </w:p>
    <w:p w:rsidR="00AF62E7" w:rsidRPr="00943981" w:rsidRDefault="00AF62E7" w:rsidP="008B07BF">
      <w:pPr>
        <w:rPr>
          <w:b/>
        </w:rPr>
      </w:pPr>
    </w:p>
    <w:p w:rsidR="00AF62E7" w:rsidRDefault="008B07BF" w:rsidP="008B07BF">
      <w:r>
        <w:t>Nine responses were received and were all supportive in principle</w:t>
      </w:r>
      <w:r w:rsidR="00AF62E7">
        <w:t>, with the majority of respondents answering 'yes' to the various proposals.</w:t>
      </w:r>
    </w:p>
    <w:p w:rsidR="00AF62E7" w:rsidRDefault="00AF62E7" w:rsidP="008B07BF"/>
    <w:p w:rsidR="008B07BF" w:rsidRDefault="008B07BF" w:rsidP="008B07BF">
      <w:r>
        <w:t>Some useful feedback was given in respect of the abatement policy</w:t>
      </w:r>
      <w:r w:rsidR="00AF62E7">
        <w:t>,</w:t>
      </w:r>
      <w:r>
        <w:t xml:space="preserve"> which will help inform how that is taken forward once the impact of Government's proposed cap on public sector exit payments becomes clear.</w:t>
      </w:r>
    </w:p>
    <w:p w:rsidR="00AF62E7" w:rsidRDefault="00AF62E7" w:rsidP="00380849">
      <w:pPr>
        <w:jc w:val="both"/>
      </w:pPr>
    </w:p>
    <w:p w:rsidR="008B07BF" w:rsidRDefault="008B07BF" w:rsidP="00380849">
      <w:pPr>
        <w:jc w:val="both"/>
      </w:pPr>
      <w:r>
        <w:t xml:space="preserve">In respect of transfers in, one respondent expressed concerns about the potential impact of large transfers in from private sector schemes and how these could </w:t>
      </w:r>
      <w:proofErr w:type="gramStart"/>
      <w:r>
        <w:t>potentially  impact</w:t>
      </w:r>
      <w:proofErr w:type="gramEnd"/>
      <w:r>
        <w:t xml:space="preserve"> on small employers – however as the policy proposal was to 'generally' accept private sector transfers-in, it is felt this wording would provide sufficient flexibility in such a scenario.</w:t>
      </w:r>
    </w:p>
    <w:p w:rsidR="00AF62E7" w:rsidRDefault="00AF62E7" w:rsidP="00380849">
      <w:pPr>
        <w:jc w:val="both"/>
      </w:pPr>
    </w:p>
    <w:p w:rsidR="008B07BF" w:rsidRDefault="00AF62E7" w:rsidP="00380849">
      <w:pPr>
        <w:jc w:val="both"/>
      </w:pPr>
      <w:r>
        <w:t>Given the level of supp</w:t>
      </w:r>
      <w:r w:rsidR="00380849">
        <w:t>ort from consultation respondents</w:t>
      </w:r>
      <w:r>
        <w:t>, i</w:t>
      </w:r>
      <w:r w:rsidR="008B07BF">
        <w:t>t is recommended that the policy proposals presented to the Committee in September 2015 be adopted.</w:t>
      </w:r>
    </w:p>
    <w:p w:rsidR="00AF62E7" w:rsidRDefault="00AF62E7" w:rsidP="008B07BF">
      <w:pPr>
        <w:rPr>
          <w:b/>
        </w:rPr>
      </w:pPr>
    </w:p>
    <w:p w:rsidR="008B07BF" w:rsidRDefault="008B07BF" w:rsidP="008B07BF">
      <w:pPr>
        <w:rPr>
          <w:b/>
        </w:rPr>
      </w:pPr>
      <w:r w:rsidRPr="00560E66">
        <w:rPr>
          <w:b/>
        </w:rPr>
        <w:t>Other Discretionary Policies</w:t>
      </w:r>
    </w:p>
    <w:p w:rsidR="00AF62E7" w:rsidRDefault="00AF62E7" w:rsidP="008B07BF">
      <w:pPr>
        <w:rPr>
          <w:b/>
        </w:rPr>
      </w:pPr>
    </w:p>
    <w:p w:rsidR="008B07BF" w:rsidRDefault="008B07BF" w:rsidP="008B07BF">
      <w:r>
        <w:t xml:space="preserve">Appendix </w:t>
      </w:r>
      <w:r w:rsidR="00380849">
        <w:t xml:space="preserve">'A' sets out </w:t>
      </w:r>
      <w:proofErr w:type="gramStart"/>
      <w:r w:rsidR="00380849">
        <w:t>the  proposed</w:t>
      </w:r>
      <w:proofErr w:type="gramEnd"/>
      <w:r w:rsidR="00380849">
        <w:t xml:space="preserve"> Fund position </w:t>
      </w:r>
      <w:r>
        <w:t>on these discretions.</w:t>
      </w:r>
    </w:p>
    <w:p w:rsidR="00AF62E7" w:rsidRDefault="00AF62E7" w:rsidP="008B07BF"/>
    <w:p w:rsidR="00380849" w:rsidRDefault="00380849" w:rsidP="008B07BF">
      <w:pPr>
        <w:rPr>
          <w:b/>
        </w:rPr>
      </w:pPr>
    </w:p>
    <w:p w:rsidR="00FF192B" w:rsidRDefault="008B07BF" w:rsidP="008B07BF">
      <w:pPr>
        <w:rPr>
          <w:b/>
        </w:rPr>
      </w:pPr>
      <w:r w:rsidRPr="00943981">
        <w:rPr>
          <w:b/>
        </w:rPr>
        <w:lastRenderedPageBreak/>
        <w:t xml:space="preserve">Death Grants </w:t>
      </w:r>
    </w:p>
    <w:p w:rsidR="00FF192B" w:rsidRDefault="00FF192B" w:rsidP="00380849">
      <w:pPr>
        <w:jc w:val="both"/>
        <w:rPr>
          <w:b/>
        </w:rPr>
      </w:pPr>
    </w:p>
    <w:p w:rsidR="00FF192B" w:rsidRDefault="00FF192B" w:rsidP="00380849">
      <w:pPr>
        <w:jc w:val="both"/>
      </w:pPr>
      <w:r>
        <w:t>The Fund's death grants policy was last amended in 2014. The existing policy generally works well in practice, however it is proposed that changes be made to two specific aspect of this policy:</w:t>
      </w:r>
    </w:p>
    <w:p w:rsidR="00FF192B" w:rsidRDefault="00FF192B" w:rsidP="00380849">
      <w:pPr>
        <w:jc w:val="both"/>
      </w:pPr>
    </w:p>
    <w:p w:rsidR="00FF192B" w:rsidRDefault="00FF192B" w:rsidP="00380849">
      <w:pPr>
        <w:pStyle w:val="ListParagraph"/>
        <w:numPr>
          <w:ilvl w:val="0"/>
          <w:numId w:val="4"/>
        </w:numPr>
        <w:jc w:val="both"/>
      </w:pPr>
      <w:r>
        <w:t xml:space="preserve">the payment of death grants where the beneficiary would be a young adult or child; and </w:t>
      </w:r>
    </w:p>
    <w:p w:rsidR="00FF192B" w:rsidRDefault="00FF192B" w:rsidP="00380849">
      <w:pPr>
        <w:pStyle w:val="ListParagraph"/>
        <w:numPr>
          <w:ilvl w:val="0"/>
          <w:numId w:val="4"/>
        </w:numPr>
        <w:jc w:val="both"/>
      </w:pPr>
      <w:proofErr w:type="gramStart"/>
      <w:r>
        <w:t>the</w:t>
      </w:r>
      <w:proofErr w:type="gramEnd"/>
      <w:r>
        <w:t xml:space="preserve"> payment of grants where a pensioner does not have mental capacity to manage their own financial affairs.</w:t>
      </w:r>
    </w:p>
    <w:p w:rsidR="00FF192B" w:rsidRDefault="00FF192B" w:rsidP="00380849">
      <w:pPr>
        <w:jc w:val="both"/>
        <w:rPr>
          <w:b/>
        </w:rPr>
      </w:pPr>
    </w:p>
    <w:p w:rsidR="008B07BF" w:rsidRPr="00380849" w:rsidRDefault="008B07BF" w:rsidP="00380849">
      <w:pPr>
        <w:pStyle w:val="ListParagraph"/>
        <w:numPr>
          <w:ilvl w:val="0"/>
          <w:numId w:val="8"/>
        </w:numPr>
        <w:jc w:val="both"/>
        <w:rPr>
          <w:b/>
        </w:rPr>
      </w:pPr>
      <w:r w:rsidRPr="00380849">
        <w:rPr>
          <w:b/>
        </w:rPr>
        <w:t>Payments to Children or Young Adults</w:t>
      </w:r>
    </w:p>
    <w:p w:rsidR="00AF62E7" w:rsidRDefault="00AF62E7" w:rsidP="008B07BF"/>
    <w:p w:rsidR="008B07BF" w:rsidRDefault="00AF62E7" w:rsidP="00380849">
      <w:pPr>
        <w:jc w:val="both"/>
      </w:pPr>
      <w:r>
        <w:t>The</w:t>
      </w:r>
      <w:r w:rsidR="008B07BF">
        <w:t xml:space="preserve"> LGPS provides for the payment of a death grant following the death of a member:</w:t>
      </w:r>
    </w:p>
    <w:p w:rsidR="00AF62E7" w:rsidRDefault="00AF62E7" w:rsidP="00380849">
      <w:pPr>
        <w:jc w:val="both"/>
      </w:pPr>
    </w:p>
    <w:p w:rsidR="008B07BF" w:rsidRDefault="008B07BF" w:rsidP="00380849">
      <w:pPr>
        <w:pStyle w:val="ListParagraph"/>
        <w:numPr>
          <w:ilvl w:val="0"/>
          <w:numId w:val="3"/>
        </w:numPr>
        <w:spacing w:after="160" w:line="259" w:lineRule="auto"/>
        <w:jc w:val="both"/>
      </w:pPr>
      <w:r>
        <w:t>during employment;</w:t>
      </w:r>
    </w:p>
    <w:p w:rsidR="008B07BF" w:rsidRDefault="008B07BF" w:rsidP="00380849">
      <w:pPr>
        <w:pStyle w:val="ListParagraph"/>
        <w:numPr>
          <w:ilvl w:val="0"/>
          <w:numId w:val="3"/>
        </w:numPr>
        <w:spacing w:after="160" w:line="259" w:lineRule="auto"/>
        <w:jc w:val="both"/>
      </w:pPr>
      <w:r>
        <w:t>having left employment before becoming eligible to receive pension benefits; or</w:t>
      </w:r>
    </w:p>
    <w:p w:rsidR="008B07BF" w:rsidRDefault="008B07BF" w:rsidP="00380849">
      <w:pPr>
        <w:pStyle w:val="ListParagraph"/>
        <w:numPr>
          <w:ilvl w:val="0"/>
          <w:numId w:val="3"/>
        </w:numPr>
        <w:spacing w:after="160" w:line="259" w:lineRule="auto"/>
        <w:jc w:val="both"/>
      </w:pPr>
      <w:proofErr w:type="gramStart"/>
      <w:r>
        <w:t>during</w:t>
      </w:r>
      <w:proofErr w:type="gramEnd"/>
      <w:r>
        <w:t xml:space="preserve"> the minimum pension guarantee period of a pensioner.</w:t>
      </w:r>
    </w:p>
    <w:p w:rsidR="008B07BF" w:rsidRDefault="00AF62E7" w:rsidP="00380849">
      <w:pPr>
        <w:jc w:val="both"/>
      </w:pPr>
      <w:r>
        <w:t xml:space="preserve">LGPS funds </w:t>
      </w:r>
      <w:proofErr w:type="gramStart"/>
      <w:r>
        <w:t xml:space="preserve">have </w:t>
      </w:r>
      <w:r w:rsidR="008B07BF">
        <w:t xml:space="preserve"> discretion</w:t>
      </w:r>
      <w:proofErr w:type="gramEnd"/>
      <w:r w:rsidR="008B07BF">
        <w:t xml:space="preserve"> as to whom death grants are paid, and the existing policy sets out LCPF's approach. Where it is decide</w:t>
      </w:r>
      <w:r w:rsidR="00380849">
        <w:t xml:space="preserve">d, under this policy, that all </w:t>
      </w:r>
      <w:r w:rsidR="008B07BF">
        <w:t>or part of a death grant should be paid to a child or young adult, payments above a certain value are  paid  into a trust fund, which is controlled by LCPF and family (where relevant) as follows:</w:t>
      </w:r>
    </w:p>
    <w:p w:rsidR="00AF62E7" w:rsidRDefault="00AF62E7" w:rsidP="008B07BF"/>
    <w:p w:rsidR="008B07BF" w:rsidRDefault="008B07BF" w:rsidP="008B07BF">
      <w:pPr>
        <w:rPr>
          <w:b/>
        </w:rPr>
      </w:pPr>
      <w:r w:rsidRPr="002D0884">
        <w:rPr>
          <w:b/>
        </w:rPr>
        <w:t>Existing Death Grant Payment Arrangements</w:t>
      </w:r>
    </w:p>
    <w:p w:rsidR="00AF62E7" w:rsidRDefault="00AF62E7" w:rsidP="008B07BF">
      <w:pPr>
        <w:rPr>
          <w:b/>
        </w:rPr>
      </w:pPr>
    </w:p>
    <w:p w:rsidR="008B07BF" w:rsidRDefault="00FF192B" w:rsidP="00380849">
      <w:pPr>
        <w:jc w:val="both"/>
      </w:pPr>
      <w:r>
        <w:t>(</w:t>
      </w:r>
      <w:r w:rsidR="008B07BF">
        <w:t>For context, during 2014 to 2015 inclusive, 10 cases arose, affecting 11 children/young adults with ages ranging from 2-23 years, and an average grant of £28</w:t>
      </w:r>
      <w:r w:rsidR="00380849">
        <w:t>,000</w:t>
      </w:r>
      <w:r w:rsidR="008B07BF">
        <w:t>.</w:t>
      </w:r>
      <w:r>
        <w:t>)</w:t>
      </w:r>
    </w:p>
    <w:p w:rsidR="00AF62E7" w:rsidRDefault="00AF62E7" w:rsidP="008B07BF"/>
    <w:p w:rsidR="00AF62E7" w:rsidRDefault="00AF62E7" w:rsidP="00380849">
      <w:pPr>
        <w:jc w:val="both"/>
      </w:pPr>
      <w:r>
        <w:t>The table below summarises existing payment practice, which differs according to size of grant.</w:t>
      </w:r>
    </w:p>
    <w:p w:rsidR="00AF62E7" w:rsidRDefault="00AF62E7" w:rsidP="008B07BF"/>
    <w:tbl>
      <w:tblPr>
        <w:tblStyle w:val="TableGrid"/>
        <w:tblW w:w="0" w:type="auto"/>
        <w:tblLook w:val="04A0" w:firstRow="1" w:lastRow="0" w:firstColumn="1" w:lastColumn="0" w:noHBand="0" w:noVBand="1"/>
      </w:tblPr>
      <w:tblGrid>
        <w:gridCol w:w="3005"/>
        <w:gridCol w:w="3005"/>
        <w:gridCol w:w="3006"/>
      </w:tblGrid>
      <w:tr w:rsidR="008B07BF" w:rsidTr="00FC5FBB">
        <w:tc>
          <w:tcPr>
            <w:tcW w:w="3005" w:type="dxa"/>
          </w:tcPr>
          <w:p w:rsidR="008B07BF" w:rsidRPr="00AF1A99" w:rsidRDefault="008B07BF" w:rsidP="00FC5FBB">
            <w:pPr>
              <w:jc w:val="center"/>
              <w:rPr>
                <w:b/>
              </w:rPr>
            </w:pPr>
            <w:r w:rsidRPr="00AF1A99">
              <w:rPr>
                <w:b/>
              </w:rPr>
              <w:t>Above £25,000</w:t>
            </w:r>
          </w:p>
        </w:tc>
        <w:tc>
          <w:tcPr>
            <w:tcW w:w="3005" w:type="dxa"/>
          </w:tcPr>
          <w:p w:rsidR="008B07BF" w:rsidRPr="00AF1A99" w:rsidRDefault="008B07BF" w:rsidP="00FC5FBB">
            <w:pPr>
              <w:jc w:val="center"/>
              <w:rPr>
                <w:b/>
              </w:rPr>
            </w:pPr>
            <w:r w:rsidRPr="00AF1A99">
              <w:rPr>
                <w:b/>
              </w:rPr>
              <w:t>Between £5,000 and £25,000</w:t>
            </w:r>
          </w:p>
        </w:tc>
        <w:tc>
          <w:tcPr>
            <w:tcW w:w="3006" w:type="dxa"/>
          </w:tcPr>
          <w:p w:rsidR="008B07BF" w:rsidRPr="00AF1A99" w:rsidRDefault="008B07BF" w:rsidP="00FC5FBB">
            <w:pPr>
              <w:jc w:val="center"/>
              <w:rPr>
                <w:b/>
              </w:rPr>
            </w:pPr>
            <w:r w:rsidRPr="00AF1A99">
              <w:rPr>
                <w:b/>
              </w:rPr>
              <w:t>Below £5,000</w:t>
            </w:r>
          </w:p>
        </w:tc>
      </w:tr>
      <w:tr w:rsidR="008B07BF" w:rsidTr="00FC5FBB">
        <w:tc>
          <w:tcPr>
            <w:tcW w:w="3005" w:type="dxa"/>
          </w:tcPr>
          <w:p w:rsidR="008B07BF" w:rsidRDefault="008B07BF" w:rsidP="00FC5FBB">
            <w:r>
              <w:t>Paid into trust until age 25; or</w:t>
            </w:r>
          </w:p>
        </w:tc>
        <w:tc>
          <w:tcPr>
            <w:tcW w:w="3005" w:type="dxa"/>
          </w:tcPr>
          <w:p w:rsidR="008B07BF" w:rsidRDefault="008B07BF" w:rsidP="00FC5FBB">
            <w:r>
              <w:t>Paid into trust until age 18; or</w:t>
            </w:r>
          </w:p>
        </w:tc>
        <w:tc>
          <w:tcPr>
            <w:tcW w:w="3006" w:type="dxa"/>
          </w:tcPr>
          <w:p w:rsidR="008B07BF" w:rsidRDefault="008B07BF" w:rsidP="00FC5FBB">
            <w:r>
              <w:t>Below age 16 paid to parent/guardian for the benefit of child</w:t>
            </w:r>
          </w:p>
        </w:tc>
      </w:tr>
      <w:tr w:rsidR="008B07BF" w:rsidTr="00FC5FBB">
        <w:tc>
          <w:tcPr>
            <w:tcW w:w="3005" w:type="dxa"/>
          </w:tcPr>
          <w:p w:rsidR="008B07BF" w:rsidRDefault="008B07BF" w:rsidP="00FC5FBB">
            <w:r>
              <w:t>Can be partially paid out below age 25 at the discretion of trustees</w:t>
            </w:r>
          </w:p>
        </w:tc>
        <w:tc>
          <w:tcPr>
            <w:tcW w:w="3005" w:type="dxa"/>
          </w:tcPr>
          <w:p w:rsidR="008B07BF" w:rsidRDefault="008B07BF" w:rsidP="00FC5FBB">
            <w:r>
              <w:t>Can be partially paid out below age 18 at the discretion of trustees</w:t>
            </w:r>
          </w:p>
        </w:tc>
        <w:tc>
          <w:tcPr>
            <w:tcW w:w="3006" w:type="dxa"/>
          </w:tcPr>
          <w:p w:rsidR="008B07BF" w:rsidRDefault="008B07BF" w:rsidP="00FC5FBB">
            <w:r>
              <w:t>Above age 16, paid to the child</w:t>
            </w:r>
          </w:p>
        </w:tc>
      </w:tr>
    </w:tbl>
    <w:p w:rsidR="008B07BF" w:rsidRDefault="008B07BF" w:rsidP="008B07BF"/>
    <w:p w:rsidR="008B07BF" w:rsidRDefault="008B07BF" w:rsidP="00380849">
      <w:pPr>
        <w:jc w:val="both"/>
      </w:pPr>
      <w:r>
        <w:t>This particular aspect of the death grants policy is difficult to administer for a number of reasons</w:t>
      </w:r>
      <w:r w:rsidR="00AF62E7">
        <w:t>,</w:t>
      </w:r>
      <w:r>
        <w:t xml:space="preserve"> and administrative delays can cause financial penalty to both LCPF and the recipient; additionally, </w:t>
      </w:r>
      <w:r w:rsidR="00AF62E7">
        <w:t>paying death grants to recipients dependent upon age</w:t>
      </w:r>
      <w:r>
        <w:t xml:space="preserve"> could   present difficulties for young people who may wish to access their death grant earlier than current policy allows, for example to support university study or to purchase property. </w:t>
      </w:r>
    </w:p>
    <w:p w:rsidR="00AF62E7" w:rsidRDefault="00AF62E7" w:rsidP="008B07BF"/>
    <w:p w:rsidR="008B07BF" w:rsidRDefault="008B07BF" w:rsidP="008B07BF">
      <w:r>
        <w:lastRenderedPageBreak/>
        <w:t>It is proposed to change the existing payment arrangements as follows:</w:t>
      </w:r>
    </w:p>
    <w:p w:rsidR="00AF62E7" w:rsidRDefault="00AF62E7" w:rsidP="008B07BF"/>
    <w:p w:rsidR="00AF62E7" w:rsidRDefault="008B07BF" w:rsidP="008B07BF">
      <w:r w:rsidRPr="00EC631B">
        <w:rPr>
          <w:b/>
        </w:rPr>
        <w:t>Children</w:t>
      </w:r>
      <w:r>
        <w:rPr>
          <w:b/>
        </w:rPr>
        <w:t>/Young Adults</w:t>
      </w:r>
      <w:r w:rsidRPr="00EC631B">
        <w:rPr>
          <w:b/>
        </w:rPr>
        <w:t xml:space="preserve"> below the age of </w:t>
      </w:r>
      <w:r>
        <w:rPr>
          <w:b/>
        </w:rPr>
        <w:t>18</w:t>
      </w:r>
      <w:r>
        <w:t xml:space="preserve"> </w:t>
      </w:r>
    </w:p>
    <w:p w:rsidR="00AF62E7" w:rsidRDefault="00AF62E7" w:rsidP="008B07BF"/>
    <w:p w:rsidR="008B07BF" w:rsidRDefault="008B07BF" w:rsidP="00380849">
      <w:pPr>
        <w:pStyle w:val="ListParagraph"/>
        <w:numPr>
          <w:ilvl w:val="0"/>
          <w:numId w:val="5"/>
        </w:numPr>
        <w:jc w:val="both"/>
      </w:pPr>
      <w:r>
        <w:t>payment to be made to person/s with parental responsibility for the child/young adult</w:t>
      </w:r>
      <w:r w:rsidR="00AF62E7">
        <w:t>;</w:t>
      </w:r>
    </w:p>
    <w:p w:rsidR="00AF62E7" w:rsidRDefault="00AF62E7" w:rsidP="008B07BF"/>
    <w:p w:rsidR="003C6528" w:rsidRDefault="008B07BF" w:rsidP="008B07BF">
      <w:r w:rsidRPr="00EC631B">
        <w:rPr>
          <w:b/>
        </w:rPr>
        <w:t>Children</w:t>
      </w:r>
      <w:r>
        <w:rPr>
          <w:b/>
        </w:rPr>
        <w:t>/Young Adults</w:t>
      </w:r>
      <w:r w:rsidRPr="000023C0">
        <w:rPr>
          <w:b/>
        </w:rPr>
        <w:t xml:space="preserve"> above the age of 1</w:t>
      </w:r>
      <w:r>
        <w:rPr>
          <w:b/>
        </w:rPr>
        <w:t>8</w:t>
      </w:r>
      <w:r>
        <w:t xml:space="preserve"> </w:t>
      </w:r>
    </w:p>
    <w:p w:rsidR="003C6528" w:rsidRDefault="003C6528" w:rsidP="008B07BF"/>
    <w:p w:rsidR="008B07BF" w:rsidRDefault="008B07BF" w:rsidP="00380849">
      <w:pPr>
        <w:pStyle w:val="ListParagraph"/>
        <w:numPr>
          <w:ilvl w:val="0"/>
          <w:numId w:val="5"/>
        </w:numPr>
        <w:jc w:val="both"/>
      </w:pPr>
      <w:r>
        <w:t>payment to be made to the child/young adult</w:t>
      </w:r>
      <w:r w:rsidR="003C6528">
        <w:t>;</w:t>
      </w:r>
    </w:p>
    <w:p w:rsidR="003C6528" w:rsidRDefault="003C6528" w:rsidP="008B07BF"/>
    <w:p w:rsidR="00F56C0E" w:rsidRDefault="008B07BF" w:rsidP="008B07BF">
      <w:r w:rsidRPr="000023C0">
        <w:rPr>
          <w:b/>
        </w:rPr>
        <w:t>In exceptional circumstances</w:t>
      </w:r>
      <w:r w:rsidR="00F56C0E">
        <w:t xml:space="preserve"> </w:t>
      </w:r>
    </w:p>
    <w:p w:rsidR="00F56C0E" w:rsidRDefault="00F56C0E" w:rsidP="008B07BF"/>
    <w:p w:rsidR="008B07BF" w:rsidRDefault="008B07BF" w:rsidP="00380849">
      <w:pPr>
        <w:pStyle w:val="ListParagraph"/>
        <w:numPr>
          <w:ilvl w:val="0"/>
          <w:numId w:val="5"/>
        </w:numPr>
        <w:jc w:val="both"/>
      </w:pPr>
      <w:proofErr w:type="gramStart"/>
      <w:r>
        <w:t>payment</w:t>
      </w:r>
      <w:proofErr w:type="gramEnd"/>
      <w:r>
        <w:t xml:space="preserve"> </w:t>
      </w:r>
      <w:r w:rsidR="003C6528">
        <w:t xml:space="preserve">to </w:t>
      </w:r>
      <w:r>
        <w:t>be made into Trust as per existing policy and practice, at the discretion of the Fund</w:t>
      </w:r>
      <w:r w:rsidR="003C6528">
        <w:t xml:space="preserve"> (delegated to the Head of Your Pension Service)</w:t>
      </w:r>
      <w:r>
        <w:t>.</w:t>
      </w:r>
    </w:p>
    <w:p w:rsidR="003C6528" w:rsidRDefault="003C6528" w:rsidP="008B07BF"/>
    <w:p w:rsidR="003C6528" w:rsidRPr="00380849" w:rsidRDefault="003C6528" w:rsidP="00380849">
      <w:pPr>
        <w:jc w:val="both"/>
      </w:pPr>
      <w:r>
        <w:t xml:space="preserve">It is believed the 'exceptional circumstances' clause is necessary to deal with particularly complex cases or those where there are other concerns; clearly these cannot be specified in advance but could cover, for example, cases where there may </w:t>
      </w:r>
      <w:r w:rsidRPr="00380849">
        <w:t>be concerns about family dynamics or other sensitivities.</w:t>
      </w:r>
    </w:p>
    <w:p w:rsidR="00FF192B" w:rsidRDefault="00FF192B" w:rsidP="008B07BF"/>
    <w:p w:rsidR="00FF192B" w:rsidRPr="00380849" w:rsidRDefault="00FF192B" w:rsidP="00380849">
      <w:pPr>
        <w:pStyle w:val="ListParagraph"/>
        <w:numPr>
          <w:ilvl w:val="0"/>
          <w:numId w:val="8"/>
        </w:numPr>
        <w:jc w:val="both"/>
        <w:rPr>
          <w:rFonts w:eastAsia="Arial" w:cs="Arial"/>
          <w:b/>
        </w:rPr>
      </w:pPr>
      <w:r w:rsidRPr="00380849">
        <w:rPr>
          <w:rFonts w:eastAsia="Arial" w:cs="Arial"/>
          <w:b/>
          <w:spacing w:val="4"/>
        </w:rPr>
        <w:t>Death Grants - W</w:t>
      </w:r>
      <w:r w:rsidRPr="00380849">
        <w:rPr>
          <w:rFonts w:eastAsia="Arial" w:cs="Arial"/>
          <w:b/>
          <w:spacing w:val="-3"/>
        </w:rPr>
        <w:t>he</w:t>
      </w:r>
      <w:r w:rsidRPr="00380849">
        <w:rPr>
          <w:rFonts w:eastAsia="Arial" w:cs="Arial"/>
          <w:b/>
        </w:rPr>
        <w:t>th</w:t>
      </w:r>
      <w:r w:rsidRPr="00380849">
        <w:rPr>
          <w:rFonts w:eastAsia="Arial" w:cs="Arial"/>
          <w:b/>
          <w:spacing w:val="-4"/>
        </w:rPr>
        <w:t>e</w:t>
      </w:r>
      <w:r w:rsidRPr="00380849">
        <w:rPr>
          <w:rFonts w:eastAsia="Arial" w:cs="Arial"/>
          <w:b/>
        </w:rPr>
        <w:t>r,</w:t>
      </w:r>
      <w:r w:rsidRPr="00380849">
        <w:rPr>
          <w:rFonts w:eastAsia="Arial" w:cs="Arial"/>
          <w:b/>
          <w:spacing w:val="-1"/>
        </w:rPr>
        <w:t xml:space="preserve"> </w:t>
      </w:r>
      <w:r w:rsidR="00F56C0E" w:rsidRPr="00380849">
        <w:rPr>
          <w:rFonts w:eastAsia="Arial" w:cs="Arial"/>
          <w:b/>
          <w:spacing w:val="-4"/>
        </w:rPr>
        <w:t>W</w:t>
      </w:r>
      <w:r w:rsidRPr="00380849">
        <w:rPr>
          <w:rFonts w:eastAsia="Arial" w:cs="Arial"/>
          <w:b/>
        </w:rPr>
        <w:t>h</w:t>
      </w:r>
      <w:r w:rsidRPr="00380849">
        <w:rPr>
          <w:rFonts w:eastAsia="Arial" w:cs="Arial"/>
          <w:b/>
          <w:spacing w:val="-1"/>
        </w:rPr>
        <w:t>e</w:t>
      </w:r>
      <w:r w:rsidRPr="00380849">
        <w:rPr>
          <w:rFonts w:eastAsia="Arial" w:cs="Arial"/>
          <w:b/>
          <w:spacing w:val="1"/>
        </w:rPr>
        <w:t>r</w:t>
      </w:r>
      <w:r w:rsidRPr="00380849">
        <w:rPr>
          <w:rFonts w:eastAsia="Arial" w:cs="Arial"/>
          <w:b/>
        </w:rPr>
        <w:t>e a</w:t>
      </w:r>
      <w:r w:rsidRPr="00380849">
        <w:rPr>
          <w:rFonts w:eastAsia="Arial" w:cs="Arial"/>
          <w:b/>
          <w:spacing w:val="1"/>
        </w:rPr>
        <w:t xml:space="preserve"> </w:t>
      </w:r>
      <w:r w:rsidR="00F56C0E" w:rsidRPr="00380849">
        <w:rPr>
          <w:rFonts w:eastAsia="Arial" w:cs="Arial"/>
          <w:b/>
        </w:rPr>
        <w:t>P</w:t>
      </w:r>
      <w:r w:rsidRPr="00380849">
        <w:rPr>
          <w:rFonts w:eastAsia="Arial" w:cs="Arial"/>
          <w:b/>
          <w:spacing w:val="-1"/>
        </w:rPr>
        <w:t>e</w:t>
      </w:r>
      <w:r w:rsidRPr="00380849">
        <w:rPr>
          <w:rFonts w:eastAsia="Arial" w:cs="Arial"/>
          <w:b/>
          <w:spacing w:val="-2"/>
        </w:rPr>
        <w:t>r</w:t>
      </w:r>
      <w:r w:rsidRPr="00380849">
        <w:rPr>
          <w:rFonts w:eastAsia="Arial" w:cs="Arial"/>
          <w:b/>
        </w:rPr>
        <w:t>s</w:t>
      </w:r>
      <w:r w:rsidRPr="00380849">
        <w:rPr>
          <w:rFonts w:eastAsia="Arial" w:cs="Arial"/>
          <w:b/>
          <w:spacing w:val="-3"/>
        </w:rPr>
        <w:t>o</w:t>
      </w:r>
      <w:r w:rsidRPr="00380849">
        <w:rPr>
          <w:rFonts w:eastAsia="Arial" w:cs="Arial"/>
          <w:b/>
        </w:rPr>
        <w:t xml:space="preserve">n is </w:t>
      </w:r>
      <w:r w:rsidR="00F56C0E" w:rsidRPr="00380849">
        <w:rPr>
          <w:rFonts w:eastAsia="Arial" w:cs="Arial"/>
          <w:b/>
        </w:rPr>
        <w:t>I</w:t>
      </w:r>
      <w:r w:rsidRPr="00380849">
        <w:rPr>
          <w:rFonts w:eastAsia="Arial" w:cs="Arial"/>
          <w:b/>
          <w:spacing w:val="-1"/>
        </w:rPr>
        <w:t>n</w:t>
      </w:r>
      <w:r w:rsidRPr="00380849">
        <w:rPr>
          <w:rFonts w:eastAsia="Arial" w:cs="Arial"/>
          <w:b/>
        </w:rPr>
        <w:t>ca</w:t>
      </w:r>
      <w:r w:rsidRPr="00380849">
        <w:rPr>
          <w:rFonts w:eastAsia="Arial" w:cs="Arial"/>
          <w:b/>
          <w:spacing w:val="-1"/>
        </w:rPr>
        <w:t>p</w:t>
      </w:r>
      <w:r w:rsidRPr="00380849">
        <w:rPr>
          <w:rFonts w:eastAsia="Arial" w:cs="Arial"/>
          <w:b/>
        </w:rPr>
        <w:t>a</w:t>
      </w:r>
      <w:r w:rsidRPr="00380849">
        <w:rPr>
          <w:rFonts w:eastAsia="Arial" w:cs="Arial"/>
          <w:b/>
          <w:spacing w:val="-1"/>
        </w:rPr>
        <w:t>b</w:t>
      </w:r>
      <w:r w:rsidRPr="00380849">
        <w:rPr>
          <w:rFonts w:eastAsia="Arial" w:cs="Arial"/>
          <w:b/>
          <w:spacing w:val="-2"/>
        </w:rPr>
        <w:t>l</w:t>
      </w:r>
      <w:r w:rsidRPr="00380849">
        <w:rPr>
          <w:rFonts w:eastAsia="Arial" w:cs="Arial"/>
          <w:b/>
        </w:rPr>
        <w:t xml:space="preserve">e </w:t>
      </w:r>
      <w:r w:rsidRPr="00380849">
        <w:rPr>
          <w:rFonts w:eastAsia="Arial" w:cs="Arial"/>
          <w:b/>
          <w:spacing w:val="-3"/>
        </w:rPr>
        <w:t>o</w:t>
      </w:r>
      <w:r w:rsidRPr="00380849">
        <w:rPr>
          <w:rFonts w:eastAsia="Arial" w:cs="Arial"/>
          <w:b/>
        </w:rPr>
        <w:t>f</w:t>
      </w:r>
      <w:r w:rsidRPr="00380849">
        <w:rPr>
          <w:rFonts w:eastAsia="Arial" w:cs="Arial"/>
          <w:b/>
          <w:spacing w:val="2"/>
        </w:rPr>
        <w:t xml:space="preserve"> </w:t>
      </w:r>
      <w:r w:rsidR="00F56C0E" w:rsidRPr="00380849">
        <w:rPr>
          <w:rFonts w:eastAsia="Arial" w:cs="Arial"/>
          <w:b/>
        </w:rPr>
        <w:t>M</w:t>
      </w:r>
      <w:r w:rsidRPr="00380849">
        <w:rPr>
          <w:rFonts w:eastAsia="Arial" w:cs="Arial"/>
          <w:b/>
        </w:rPr>
        <w:t>a</w:t>
      </w:r>
      <w:r w:rsidRPr="00380849">
        <w:rPr>
          <w:rFonts w:eastAsia="Arial" w:cs="Arial"/>
          <w:b/>
          <w:spacing w:val="-1"/>
        </w:rPr>
        <w:t>n</w:t>
      </w:r>
      <w:r w:rsidRPr="00380849">
        <w:rPr>
          <w:rFonts w:eastAsia="Arial" w:cs="Arial"/>
          <w:b/>
          <w:spacing w:val="-3"/>
        </w:rPr>
        <w:t>a</w:t>
      </w:r>
      <w:r w:rsidRPr="00380849">
        <w:rPr>
          <w:rFonts w:eastAsia="Arial" w:cs="Arial"/>
          <w:b/>
          <w:spacing w:val="1"/>
        </w:rPr>
        <w:t>g</w:t>
      </w:r>
      <w:r w:rsidRPr="00380849">
        <w:rPr>
          <w:rFonts w:eastAsia="Arial" w:cs="Arial"/>
          <w:b/>
          <w:spacing w:val="-2"/>
        </w:rPr>
        <w:t>i</w:t>
      </w:r>
      <w:r w:rsidRPr="00380849">
        <w:rPr>
          <w:rFonts w:eastAsia="Arial" w:cs="Arial"/>
          <w:b/>
        </w:rPr>
        <w:t xml:space="preserve">ng </w:t>
      </w:r>
      <w:r w:rsidRPr="00380849">
        <w:rPr>
          <w:rFonts w:eastAsia="Arial" w:cs="Arial"/>
          <w:b/>
          <w:spacing w:val="-2"/>
        </w:rPr>
        <w:t>t</w:t>
      </w:r>
      <w:r w:rsidRPr="00380849">
        <w:rPr>
          <w:rFonts w:eastAsia="Arial" w:cs="Arial"/>
          <w:b/>
        </w:rPr>
        <w:t>h</w:t>
      </w:r>
      <w:r w:rsidRPr="00380849">
        <w:rPr>
          <w:rFonts w:eastAsia="Arial" w:cs="Arial"/>
          <w:b/>
          <w:spacing w:val="-1"/>
        </w:rPr>
        <w:t>e</w:t>
      </w:r>
      <w:r w:rsidRPr="00380849">
        <w:rPr>
          <w:rFonts w:eastAsia="Arial" w:cs="Arial"/>
          <w:b/>
          <w:spacing w:val="-2"/>
        </w:rPr>
        <w:t>i</w:t>
      </w:r>
      <w:r w:rsidRPr="00380849">
        <w:rPr>
          <w:rFonts w:eastAsia="Arial" w:cs="Arial"/>
          <w:b/>
        </w:rPr>
        <w:t>r</w:t>
      </w:r>
      <w:r w:rsidRPr="00380849">
        <w:rPr>
          <w:rFonts w:eastAsia="Arial" w:cs="Arial"/>
          <w:b/>
          <w:spacing w:val="1"/>
        </w:rPr>
        <w:t xml:space="preserve"> </w:t>
      </w:r>
      <w:r w:rsidR="00F56C0E" w:rsidRPr="00380849">
        <w:rPr>
          <w:rFonts w:eastAsia="Arial" w:cs="Arial"/>
          <w:b/>
          <w:spacing w:val="-3"/>
        </w:rPr>
        <w:t>A</w:t>
      </w:r>
      <w:r w:rsidRPr="00380849">
        <w:rPr>
          <w:rFonts w:eastAsia="Arial" w:cs="Arial"/>
          <w:b/>
        </w:rPr>
        <w:t>ffa</w:t>
      </w:r>
      <w:r w:rsidRPr="00380849">
        <w:rPr>
          <w:rFonts w:eastAsia="Arial" w:cs="Arial"/>
          <w:b/>
          <w:spacing w:val="-2"/>
        </w:rPr>
        <w:t>ir</w:t>
      </w:r>
      <w:r w:rsidRPr="00380849">
        <w:rPr>
          <w:rFonts w:eastAsia="Arial" w:cs="Arial"/>
          <w:b/>
        </w:rPr>
        <w:t>s,</w:t>
      </w:r>
      <w:r w:rsidRPr="00380849">
        <w:rPr>
          <w:rFonts w:eastAsia="Arial" w:cs="Arial"/>
          <w:b/>
          <w:spacing w:val="-1"/>
        </w:rPr>
        <w:t xml:space="preserve"> </w:t>
      </w:r>
      <w:r w:rsidRPr="00380849">
        <w:rPr>
          <w:rFonts w:eastAsia="Arial" w:cs="Arial"/>
          <w:b/>
        </w:rPr>
        <w:t>to</w:t>
      </w:r>
      <w:r w:rsidRPr="00380849">
        <w:rPr>
          <w:rFonts w:eastAsia="Arial" w:cs="Arial"/>
          <w:b/>
          <w:spacing w:val="-2"/>
        </w:rPr>
        <w:t xml:space="preserve"> </w:t>
      </w:r>
      <w:r w:rsidR="00F56C0E" w:rsidRPr="00380849">
        <w:rPr>
          <w:rFonts w:eastAsia="Arial" w:cs="Arial"/>
          <w:b/>
        </w:rPr>
        <w:t>P</w:t>
      </w:r>
      <w:r w:rsidRPr="00380849">
        <w:rPr>
          <w:rFonts w:eastAsia="Arial" w:cs="Arial"/>
          <w:b/>
          <w:spacing w:val="-1"/>
        </w:rPr>
        <w:t>a</w:t>
      </w:r>
      <w:r w:rsidRPr="00380849">
        <w:rPr>
          <w:rFonts w:eastAsia="Arial" w:cs="Arial"/>
          <w:b/>
        </w:rPr>
        <w:t>y</w:t>
      </w:r>
      <w:r w:rsidRPr="00380849">
        <w:rPr>
          <w:rFonts w:eastAsia="Arial" w:cs="Arial"/>
          <w:b/>
          <w:spacing w:val="-2"/>
        </w:rPr>
        <w:t xml:space="preserve"> </w:t>
      </w:r>
      <w:r w:rsidRPr="00380849">
        <w:rPr>
          <w:rFonts w:eastAsia="Arial" w:cs="Arial"/>
          <w:b/>
        </w:rPr>
        <w:t xml:space="preserve">the </w:t>
      </w:r>
      <w:r w:rsidR="00F56C0E" w:rsidRPr="00380849">
        <w:rPr>
          <w:rFonts w:eastAsia="Arial" w:cs="Arial"/>
          <w:b/>
          <w:spacing w:val="-4"/>
        </w:rPr>
        <w:t>W</w:t>
      </w:r>
      <w:r w:rsidRPr="00380849">
        <w:rPr>
          <w:rFonts w:eastAsia="Arial" w:cs="Arial"/>
          <w:b/>
        </w:rPr>
        <w:t>h</w:t>
      </w:r>
      <w:r w:rsidRPr="00380849">
        <w:rPr>
          <w:rFonts w:eastAsia="Arial" w:cs="Arial"/>
          <w:b/>
          <w:spacing w:val="1"/>
        </w:rPr>
        <w:t>o</w:t>
      </w:r>
      <w:r w:rsidRPr="00380849">
        <w:rPr>
          <w:rFonts w:eastAsia="Arial" w:cs="Arial"/>
          <w:b/>
          <w:spacing w:val="-2"/>
        </w:rPr>
        <w:t>l</w:t>
      </w:r>
      <w:r w:rsidRPr="00380849">
        <w:rPr>
          <w:rFonts w:eastAsia="Arial" w:cs="Arial"/>
          <w:b/>
        </w:rPr>
        <w:t>e or</w:t>
      </w:r>
      <w:r w:rsidRPr="00380849">
        <w:rPr>
          <w:rFonts w:eastAsia="Arial" w:cs="Arial"/>
          <w:b/>
          <w:spacing w:val="2"/>
        </w:rPr>
        <w:t xml:space="preserve"> </w:t>
      </w:r>
      <w:r w:rsidR="00F56C0E" w:rsidRPr="00380849">
        <w:rPr>
          <w:rFonts w:eastAsia="Arial" w:cs="Arial"/>
          <w:b/>
        </w:rPr>
        <w:t>P</w:t>
      </w:r>
      <w:r w:rsidRPr="00380849">
        <w:rPr>
          <w:rFonts w:eastAsia="Arial" w:cs="Arial"/>
          <w:b/>
          <w:spacing w:val="-4"/>
        </w:rPr>
        <w:t>a</w:t>
      </w:r>
      <w:r w:rsidRPr="00380849">
        <w:rPr>
          <w:rFonts w:eastAsia="Arial" w:cs="Arial"/>
          <w:b/>
        </w:rPr>
        <w:t>rt</w:t>
      </w:r>
      <w:r w:rsidRPr="00380849">
        <w:rPr>
          <w:rFonts w:eastAsia="Arial" w:cs="Arial"/>
          <w:b/>
          <w:spacing w:val="-1"/>
        </w:rPr>
        <w:t xml:space="preserve"> </w:t>
      </w:r>
      <w:r w:rsidRPr="00380849">
        <w:rPr>
          <w:rFonts w:eastAsia="Arial" w:cs="Arial"/>
          <w:b/>
          <w:spacing w:val="-3"/>
        </w:rPr>
        <w:t>o</w:t>
      </w:r>
      <w:r w:rsidRPr="00380849">
        <w:rPr>
          <w:rFonts w:eastAsia="Arial" w:cs="Arial"/>
          <w:b/>
        </w:rPr>
        <w:t>f</w:t>
      </w:r>
      <w:r w:rsidRPr="00380849">
        <w:rPr>
          <w:rFonts w:eastAsia="Arial" w:cs="Arial"/>
          <w:b/>
          <w:spacing w:val="2"/>
        </w:rPr>
        <w:t xml:space="preserve"> </w:t>
      </w:r>
      <w:r w:rsidRPr="00380849">
        <w:rPr>
          <w:rFonts w:eastAsia="Arial" w:cs="Arial"/>
          <w:b/>
        </w:rPr>
        <w:t>th</w:t>
      </w:r>
      <w:r w:rsidRPr="00380849">
        <w:rPr>
          <w:rFonts w:eastAsia="Arial" w:cs="Arial"/>
          <w:b/>
          <w:spacing w:val="-4"/>
        </w:rPr>
        <w:t>a</w:t>
      </w:r>
      <w:r w:rsidRPr="00380849">
        <w:rPr>
          <w:rFonts w:eastAsia="Arial" w:cs="Arial"/>
          <w:b/>
        </w:rPr>
        <w:t>t</w:t>
      </w:r>
      <w:r w:rsidRPr="00380849">
        <w:rPr>
          <w:rFonts w:eastAsia="Arial" w:cs="Arial"/>
          <w:b/>
          <w:spacing w:val="2"/>
        </w:rPr>
        <w:t xml:space="preserve"> </w:t>
      </w:r>
      <w:r w:rsidR="00F56C0E" w:rsidRPr="00380849">
        <w:rPr>
          <w:rFonts w:eastAsia="Arial" w:cs="Arial"/>
          <w:b/>
        </w:rPr>
        <w:t>P</w:t>
      </w:r>
      <w:r w:rsidRPr="00380849">
        <w:rPr>
          <w:rFonts w:eastAsia="Arial" w:cs="Arial"/>
          <w:b/>
          <w:spacing w:val="-4"/>
        </w:rPr>
        <w:t>e</w:t>
      </w:r>
      <w:r w:rsidRPr="00380849">
        <w:rPr>
          <w:rFonts w:eastAsia="Arial" w:cs="Arial"/>
          <w:b/>
        </w:rPr>
        <w:t>r</w:t>
      </w:r>
      <w:r w:rsidRPr="00380849">
        <w:rPr>
          <w:rFonts w:eastAsia="Arial" w:cs="Arial"/>
          <w:b/>
          <w:spacing w:val="-3"/>
        </w:rPr>
        <w:t>s</w:t>
      </w:r>
      <w:r w:rsidRPr="00380849">
        <w:rPr>
          <w:rFonts w:eastAsia="Arial" w:cs="Arial"/>
          <w:b/>
        </w:rPr>
        <w:t>o</w:t>
      </w:r>
      <w:r w:rsidRPr="00380849">
        <w:rPr>
          <w:rFonts w:eastAsia="Arial" w:cs="Arial"/>
          <w:b/>
          <w:spacing w:val="-1"/>
        </w:rPr>
        <w:t>n</w:t>
      </w:r>
      <w:r w:rsidRPr="00380849">
        <w:rPr>
          <w:rFonts w:eastAsia="Arial" w:cs="Arial"/>
          <w:b/>
          <w:spacing w:val="-2"/>
        </w:rPr>
        <w:t>’</w:t>
      </w:r>
      <w:r w:rsidRPr="00380849">
        <w:rPr>
          <w:rFonts w:eastAsia="Arial" w:cs="Arial"/>
          <w:b/>
        </w:rPr>
        <w:t>s</w:t>
      </w:r>
      <w:r w:rsidRPr="00380849">
        <w:rPr>
          <w:rFonts w:eastAsia="Arial" w:cs="Arial"/>
          <w:b/>
          <w:spacing w:val="1"/>
        </w:rPr>
        <w:t xml:space="preserve"> </w:t>
      </w:r>
      <w:r w:rsidR="00F56C0E" w:rsidRPr="00380849">
        <w:rPr>
          <w:rFonts w:eastAsia="Arial" w:cs="Arial"/>
          <w:b/>
        </w:rPr>
        <w:t>P</w:t>
      </w:r>
      <w:r w:rsidRPr="00380849">
        <w:rPr>
          <w:rFonts w:eastAsia="Arial" w:cs="Arial"/>
          <w:b/>
          <w:spacing w:val="-1"/>
        </w:rPr>
        <w:t>e</w:t>
      </w:r>
      <w:r w:rsidRPr="00380849">
        <w:rPr>
          <w:rFonts w:eastAsia="Arial" w:cs="Arial"/>
          <w:b/>
        </w:rPr>
        <w:t>ns</w:t>
      </w:r>
      <w:r w:rsidRPr="00380849">
        <w:rPr>
          <w:rFonts w:eastAsia="Arial" w:cs="Arial"/>
          <w:b/>
          <w:spacing w:val="-2"/>
        </w:rPr>
        <w:t>i</w:t>
      </w:r>
      <w:r w:rsidRPr="00380849">
        <w:rPr>
          <w:rFonts w:eastAsia="Arial" w:cs="Arial"/>
          <w:b/>
        </w:rPr>
        <w:t xml:space="preserve">on </w:t>
      </w:r>
      <w:r w:rsidR="00F56C0E" w:rsidRPr="00380849">
        <w:rPr>
          <w:rFonts w:eastAsia="Arial" w:cs="Arial"/>
          <w:b/>
        </w:rPr>
        <w:t>B</w:t>
      </w:r>
      <w:r w:rsidRPr="00380849">
        <w:rPr>
          <w:rFonts w:eastAsia="Arial" w:cs="Arial"/>
          <w:b/>
          <w:spacing w:val="-1"/>
        </w:rPr>
        <w:t>e</w:t>
      </w:r>
      <w:r w:rsidRPr="00380849">
        <w:rPr>
          <w:rFonts w:eastAsia="Arial" w:cs="Arial"/>
          <w:b/>
        </w:rPr>
        <w:t>n</w:t>
      </w:r>
      <w:r w:rsidRPr="00380849">
        <w:rPr>
          <w:rFonts w:eastAsia="Arial" w:cs="Arial"/>
          <w:b/>
          <w:spacing w:val="-4"/>
        </w:rPr>
        <w:t>e</w:t>
      </w:r>
      <w:r w:rsidRPr="00380849">
        <w:rPr>
          <w:rFonts w:eastAsia="Arial" w:cs="Arial"/>
          <w:b/>
          <w:spacing w:val="3"/>
        </w:rPr>
        <w:t>f</w:t>
      </w:r>
      <w:r w:rsidRPr="00380849">
        <w:rPr>
          <w:rFonts w:eastAsia="Arial" w:cs="Arial"/>
          <w:b/>
          <w:spacing w:val="-2"/>
        </w:rPr>
        <w:t>i</w:t>
      </w:r>
      <w:r w:rsidRPr="00380849">
        <w:rPr>
          <w:rFonts w:eastAsia="Arial" w:cs="Arial"/>
          <w:b/>
        </w:rPr>
        <w:t>ts</w:t>
      </w:r>
      <w:r w:rsidRPr="00380849">
        <w:rPr>
          <w:rFonts w:eastAsia="Arial" w:cs="Arial"/>
          <w:b/>
          <w:spacing w:val="-2"/>
        </w:rPr>
        <w:t xml:space="preserve"> </w:t>
      </w:r>
      <w:r w:rsidRPr="00380849">
        <w:rPr>
          <w:rFonts w:eastAsia="Arial" w:cs="Arial"/>
          <w:b/>
        </w:rPr>
        <w:t>to</w:t>
      </w:r>
      <w:r w:rsidRPr="00380849">
        <w:rPr>
          <w:rFonts w:eastAsia="Arial" w:cs="Arial"/>
          <w:b/>
          <w:spacing w:val="-2"/>
        </w:rPr>
        <w:t xml:space="preserve"> </w:t>
      </w:r>
      <w:r w:rsidR="00F56C0E" w:rsidRPr="00380849">
        <w:rPr>
          <w:rFonts w:eastAsia="Arial" w:cs="Arial"/>
          <w:b/>
        </w:rPr>
        <w:t>A</w:t>
      </w:r>
      <w:r w:rsidRPr="00380849">
        <w:rPr>
          <w:rFonts w:eastAsia="Arial" w:cs="Arial"/>
          <w:b/>
          <w:spacing w:val="-1"/>
        </w:rPr>
        <w:t>n</w:t>
      </w:r>
      <w:r w:rsidRPr="00380849">
        <w:rPr>
          <w:rFonts w:eastAsia="Arial" w:cs="Arial"/>
          <w:b/>
        </w:rPr>
        <w:t>oth</w:t>
      </w:r>
      <w:r w:rsidRPr="00380849">
        <w:rPr>
          <w:rFonts w:eastAsia="Arial" w:cs="Arial"/>
          <w:b/>
          <w:spacing w:val="-3"/>
        </w:rPr>
        <w:t>e</w:t>
      </w:r>
      <w:r w:rsidRPr="00380849">
        <w:rPr>
          <w:rFonts w:eastAsia="Arial" w:cs="Arial"/>
          <w:b/>
        </w:rPr>
        <w:t>r</w:t>
      </w:r>
      <w:r w:rsidRPr="00380849">
        <w:rPr>
          <w:rFonts w:eastAsia="Arial" w:cs="Arial"/>
          <w:b/>
          <w:spacing w:val="1"/>
        </w:rPr>
        <w:t xml:space="preserve"> </w:t>
      </w:r>
      <w:r w:rsidR="00F56C0E" w:rsidRPr="00380849">
        <w:rPr>
          <w:rFonts w:eastAsia="Arial" w:cs="Arial"/>
          <w:b/>
        </w:rPr>
        <w:t>P</w:t>
      </w:r>
      <w:r w:rsidRPr="00380849">
        <w:rPr>
          <w:rFonts w:eastAsia="Arial" w:cs="Arial"/>
          <w:b/>
          <w:spacing w:val="-4"/>
        </w:rPr>
        <w:t>e</w:t>
      </w:r>
      <w:r w:rsidRPr="00380849">
        <w:rPr>
          <w:rFonts w:eastAsia="Arial" w:cs="Arial"/>
          <w:b/>
        </w:rPr>
        <w:t>rs</w:t>
      </w:r>
      <w:r w:rsidRPr="00380849">
        <w:rPr>
          <w:rFonts w:eastAsia="Arial" w:cs="Arial"/>
          <w:b/>
          <w:spacing w:val="-3"/>
        </w:rPr>
        <w:t>o</w:t>
      </w:r>
      <w:r w:rsidRPr="00380849">
        <w:rPr>
          <w:rFonts w:eastAsia="Arial" w:cs="Arial"/>
          <w:b/>
        </w:rPr>
        <w:t>n</w:t>
      </w:r>
      <w:r w:rsidRPr="00380849">
        <w:rPr>
          <w:rFonts w:eastAsia="Arial" w:cs="Arial"/>
          <w:b/>
          <w:spacing w:val="-2"/>
        </w:rPr>
        <w:t xml:space="preserve"> </w:t>
      </w:r>
      <w:r w:rsidRPr="00380849">
        <w:rPr>
          <w:rFonts w:eastAsia="Arial" w:cs="Arial"/>
          <w:b/>
          <w:spacing w:val="3"/>
        </w:rPr>
        <w:t>f</w:t>
      </w:r>
      <w:r w:rsidRPr="00380849">
        <w:rPr>
          <w:rFonts w:eastAsia="Arial" w:cs="Arial"/>
          <w:b/>
          <w:spacing w:val="-3"/>
        </w:rPr>
        <w:t>o</w:t>
      </w:r>
      <w:r w:rsidRPr="00380849">
        <w:rPr>
          <w:rFonts w:eastAsia="Arial" w:cs="Arial"/>
          <w:b/>
        </w:rPr>
        <w:t>r</w:t>
      </w:r>
      <w:r w:rsidRPr="00380849">
        <w:rPr>
          <w:rFonts w:eastAsia="Arial" w:cs="Arial"/>
          <w:b/>
          <w:spacing w:val="-1"/>
        </w:rPr>
        <w:t xml:space="preserve"> </w:t>
      </w:r>
      <w:r w:rsidRPr="00380849">
        <w:rPr>
          <w:rFonts w:eastAsia="Arial" w:cs="Arial"/>
          <w:b/>
        </w:rPr>
        <w:t>th</w:t>
      </w:r>
      <w:r w:rsidRPr="00380849">
        <w:rPr>
          <w:rFonts w:eastAsia="Arial" w:cs="Arial"/>
          <w:b/>
          <w:spacing w:val="-1"/>
        </w:rPr>
        <w:t>e</w:t>
      </w:r>
      <w:r w:rsidRPr="00380849">
        <w:rPr>
          <w:rFonts w:eastAsia="Arial" w:cs="Arial"/>
          <w:b/>
          <w:spacing w:val="-2"/>
        </w:rPr>
        <w:t>i</w:t>
      </w:r>
      <w:r w:rsidRPr="00380849">
        <w:rPr>
          <w:rFonts w:eastAsia="Arial" w:cs="Arial"/>
          <w:b/>
        </w:rPr>
        <w:t xml:space="preserve">r </w:t>
      </w:r>
      <w:r w:rsidR="00F56C0E" w:rsidRPr="00380849">
        <w:rPr>
          <w:rFonts w:eastAsia="Arial" w:cs="Arial"/>
          <w:b/>
        </w:rPr>
        <w:t>(i.e. Pensioner's) B</w:t>
      </w:r>
      <w:r w:rsidRPr="00380849">
        <w:rPr>
          <w:rFonts w:eastAsia="Arial" w:cs="Arial"/>
          <w:b/>
          <w:spacing w:val="-1"/>
        </w:rPr>
        <w:t>e</w:t>
      </w:r>
      <w:r w:rsidRPr="00380849">
        <w:rPr>
          <w:rFonts w:eastAsia="Arial" w:cs="Arial"/>
          <w:b/>
        </w:rPr>
        <w:t>n</w:t>
      </w:r>
      <w:r w:rsidRPr="00380849">
        <w:rPr>
          <w:rFonts w:eastAsia="Arial" w:cs="Arial"/>
          <w:b/>
          <w:spacing w:val="-4"/>
        </w:rPr>
        <w:t>e</w:t>
      </w:r>
      <w:r w:rsidRPr="00380849">
        <w:rPr>
          <w:rFonts w:eastAsia="Arial" w:cs="Arial"/>
          <w:b/>
          <w:spacing w:val="3"/>
        </w:rPr>
        <w:t>f</w:t>
      </w:r>
      <w:r w:rsidRPr="00380849">
        <w:rPr>
          <w:rFonts w:eastAsia="Arial" w:cs="Arial"/>
          <w:b/>
          <w:spacing w:val="-2"/>
        </w:rPr>
        <w:t>i</w:t>
      </w:r>
      <w:r w:rsidR="00380849">
        <w:rPr>
          <w:rFonts w:eastAsia="Arial" w:cs="Arial"/>
          <w:b/>
        </w:rPr>
        <w:t>t</w:t>
      </w:r>
    </w:p>
    <w:p w:rsidR="00F56C0E" w:rsidRPr="00380849" w:rsidRDefault="00F56C0E" w:rsidP="00380849">
      <w:pPr>
        <w:jc w:val="both"/>
        <w:rPr>
          <w:rFonts w:eastAsia="Arial" w:cs="Arial"/>
          <w:b/>
          <w:szCs w:val="24"/>
        </w:rPr>
      </w:pPr>
    </w:p>
    <w:p w:rsidR="00F56C0E" w:rsidRPr="00380849" w:rsidRDefault="00F56C0E" w:rsidP="00380849">
      <w:pPr>
        <w:jc w:val="both"/>
        <w:rPr>
          <w:rFonts w:eastAsia="Arial" w:cs="Arial"/>
          <w:szCs w:val="24"/>
        </w:rPr>
      </w:pPr>
      <w:r w:rsidRPr="00380849">
        <w:rPr>
          <w:rFonts w:eastAsia="Arial" w:cs="Arial"/>
          <w:szCs w:val="24"/>
        </w:rPr>
        <w:t xml:space="preserve">The Mental Capacity Act 2005 sets out a framework for the management of the affairs of those who lack 'Mental Capacity', the meaning of which is defined within the Act. The above discretion is relatively new, as is the Act, despite its title. Policy in respect of this </w:t>
      </w:r>
      <w:proofErr w:type="spellStart"/>
      <w:r w:rsidRPr="00380849">
        <w:rPr>
          <w:rFonts w:eastAsia="Arial" w:cs="Arial"/>
          <w:szCs w:val="24"/>
        </w:rPr>
        <w:t>dicretion</w:t>
      </w:r>
      <w:proofErr w:type="spellEnd"/>
      <w:r w:rsidRPr="00380849">
        <w:rPr>
          <w:rFonts w:eastAsia="Arial" w:cs="Arial"/>
          <w:szCs w:val="24"/>
        </w:rPr>
        <w:t xml:space="preserve"> has not been stated previously.</w:t>
      </w:r>
    </w:p>
    <w:p w:rsidR="00F56C0E" w:rsidRPr="00380849" w:rsidRDefault="00F56C0E" w:rsidP="00380849">
      <w:pPr>
        <w:jc w:val="both"/>
        <w:rPr>
          <w:rFonts w:eastAsia="Arial" w:cs="Arial"/>
          <w:szCs w:val="24"/>
        </w:rPr>
      </w:pPr>
    </w:p>
    <w:p w:rsidR="00F56C0E" w:rsidRPr="00380849" w:rsidRDefault="00F56C0E" w:rsidP="00380849">
      <w:pPr>
        <w:jc w:val="both"/>
        <w:rPr>
          <w:rFonts w:eastAsia="Arial" w:cs="Arial"/>
          <w:szCs w:val="24"/>
        </w:rPr>
      </w:pPr>
      <w:r w:rsidRPr="00380849">
        <w:rPr>
          <w:rFonts w:eastAsia="Arial" w:cs="Arial"/>
          <w:szCs w:val="24"/>
        </w:rPr>
        <w:t xml:space="preserve">It is relatively common for conditions such as Alzheimer's </w:t>
      </w:r>
      <w:proofErr w:type="gramStart"/>
      <w:r w:rsidRPr="00380849">
        <w:rPr>
          <w:rFonts w:eastAsia="Arial" w:cs="Arial"/>
          <w:szCs w:val="24"/>
        </w:rPr>
        <w:t>Disease</w:t>
      </w:r>
      <w:proofErr w:type="gramEnd"/>
      <w:r w:rsidRPr="00380849">
        <w:rPr>
          <w:rFonts w:eastAsia="Arial" w:cs="Arial"/>
          <w:szCs w:val="24"/>
        </w:rPr>
        <w:t xml:space="preserve"> </w:t>
      </w:r>
      <w:r w:rsidR="00F21DE0" w:rsidRPr="00380849">
        <w:rPr>
          <w:rFonts w:eastAsia="Arial" w:cs="Arial"/>
          <w:szCs w:val="24"/>
        </w:rPr>
        <w:t>and similar causes of dementia to occur, and which can make managing financial affairs difficult or impossible for those affected. The County Council/Fund has statutory responsibilities in this area</w:t>
      </w:r>
      <w:r w:rsidR="00E170E7" w:rsidRPr="00380849">
        <w:rPr>
          <w:rFonts w:eastAsia="Arial" w:cs="Arial"/>
          <w:szCs w:val="24"/>
        </w:rPr>
        <w:t xml:space="preserve"> and must ensure it is satisfied, in any situation where another person manages (a pensioner's) financial </w:t>
      </w:r>
      <w:proofErr w:type="gramStart"/>
      <w:r w:rsidR="00E170E7" w:rsidRPr="00380849">
        <w:rPr>
          <w:rFonts w:eastAsia="Arial" w:cs="Arial"/>
          <w:szCs w:val="24"/>
        </w:rPr>
        <w:t>affairs, that</w:t>
      </w:r>
      <w:proofErr w:type="gramEnd"/>
      <w:r w:rsidR="00E170E7" w:rsidRPr="00380849">
        <w:rPr>
          <w:rFonts w:eastAsia="Arial" w:cs="Arial"/>
          <w:szCs w:val="24"/>
        </w:rPr>
        <w:t xml:space="preserve"> adequate safeguards are in place. Formal </w:t>
      </w:r>
      <w:proofErr w:type="spellStart"/>
      <w:r w:rsidR="00E170E7" w:rsidRPr="00380849">
        <w:rPr>
          <w:rFonts w:eastAsia="Arial" w:cs="Arial"/>
          <w:szCs w:val="24"/>
        </w:rPr>
        <w:t>arrangments</w:t>
      </w:r>
      <w:proofErr w:type="spellEnd"/>
      <w:r w:rsidR="00E170E7" w:rsidRPr="00380849">
        <w:rPr>
          <w:rFonts w:eastAsia="Arial" w:cs="Arial"/>
          <w:szCs w:val="24"/>
        </w:rPr>
        <w:t xml:space="preserve"> such as Lasting Power of Attorney or Deputyship, both of which are supervised by the Court of Protection, exist to provide protection for vulnerable people. However whilst such formal arrangements exist, in many situations more ad-hoc </w:t>
      </w:r>
      <w:proofErr w:type="spellStart"/>
      <w:r w:rsidR="00E170E7" w:rsidRPr="00380849">
        <w:rPr>
          <w:rFonts w:eastAsia="Arial" w:cs="Arial"/>
          <w:szCs w:val="24"/>
        </w:rPr>
        <w:t>arrangments</w:t>
      </w:r>
      <w:proofErr w:type="spellEnd"/>
      <w:r w:rsidR="00E170E7" w:rsidRPr="00380849">
        <w:rPr>
          <w:rFonts w:eastAsia="Arial" w:cs="Arial"/>
          <w:szCs w:val="24"/>
        </w:rPr>
        <w:t xml:space="preserve"> may be in place but which can work effectively. This is a sensitive area and each case must be assessed on its own merits.</w:t>
      </w:r>
    </w:p>
    <w:p w:rsidR="00E170E7" w:rsidRPr="00380849" w:rsidRDefault="00E170E7" w:rsidP="00380849">
      <w:pPr>
        <w:widowControl w:val="0"/>
        <w:jc w:val="both"/>
        <w:rPr>
          <w:rFonts w:eastAsiaTheme="minorHAnsi" w:cs="Arial"/>
          <w:b/>
          <w:szCs w:val="24"/>
          <w:lang w:val="en-US" w:eastAsia="en-US"/>
        </w:rPr>
      </w:pPr>
    </w:p>
    <w:p w:rsidR="00FF192B" w:rsidRPr="00380849" w:rsidRDefault="00FF192B" w:rsidP="00380849">
      <w:pPr>
        <w:widowControl w:val="0"/>
        <w:jc w:val="both"/>
        <w:rPr>
          <w:rFonts w:eastAsiaTheme="minorHAnsi" w:cs="Arial"/>
          <w:b/>
          <w:szCs w:val="24"/>
          <w:lang w:val="en-US" w:eastAsia="en-US"/>
        </w:rPr>
      </w:pPr>
      <w:r w:rsidRPr="00380849">
        <w:rPr>
          <w:rFonts w:eastAsiaTheme="minorHAnsi" w:cs="Arial"/>
          <w:b/>
          <w:szCs w:val="24"/>
          <w:lang w:val="en-US" w:eastAsia="en-US"/>
        </w:rPr>
        <w:t xml:space="preserve">Suggested </w:t>
      </w:r>
      <w:r w:rsidR="00E170E7" w:rsidRPr="00380849">
        <w:rPr>
          <w:rFonts w:eastAsiaTheme="minorHAnsi" w:cs="Arial"/>
          <w:b/>
          <w:szCs w:val="24"/>
          <w:lang w:val="en-US" w:eastAsia="en-US"/>
        </w:rPr>
        <w:t>P</w:t>
      </w:r>
      <w:r w:rsidRPr="00380849">
        <w:rPr>
          <w:rFonts w:eastAsiaTheme="minorHAnsi" w:cs="Arial"/>
          <w:b/>
          <w:szCs w:val="24"/>
          <w:lang w:val="en-US" w:eastAsia="en-US"/>
        </w:rPr>
        <w:t xml:space="preserve">olicy </w:t>
      </w:r>
      <w:r w:rsidR="00E170E7" w:rsidRPr="00380849">
        <w:rPr>
          <w:rFonts w:eastAsiaTheme="minorHAnsi" w:cs="Arial"/>
          <w:b/>
          <w:szCs w:val="24"/>
          <w:lang w:val="en-US" w:eastAsia="en-US"/>
        </w:rPr>
        <w:t>Statement</w:t>
      </w:r>
      <w:r w:rsidRPr="00380849">
        <w:rPr>
          <w:rFonts w:eastAsiaTheme="minorHAnsi" w:cs="Arial"/>
          <w:b/>
          <w:szCs w:val="24"/>
          <w:lang w:val="en-US" w:eastAsia="en-US"/>
        </w:rPr>
        <w:t xml:space="preserve"> </w:t>
      </w:r>
    </w:p>
    <w:p w:rsidR="00FF192B" w:rsidRPr="00380849" w:rsidRDefault="00FF192B" w:rsidP="00380849">
      <w:pPr>
        <w:widowControl w:val="0"/>
        <w:jc w:val="both"/>
        <w:rPr>
          <w:rFonts w:eastAsiaTheme="minorHAnsi" w:cs="Arial"/>
          <w:szCs w:val="24"/>
          <w:highlight w:val="green"/>
          <w:lang w:val="en-US" w:eastAsia="en-US"/>
        </w:rPr>
      </w:pPr>
    </w:p>
    <w:p w:rsidR="00FF192B" w:rsidRPr="00E170E7" w:rsidRDefault="00FF192B" w:rsidP="00380849">
      <w:pPr>
        <w:widowControl w:val="0"/>
        <w:jc w:val="both"/>
      </w:pPr>
      <w:r w:rsidRPr="00380849">
        <w:rPr>
          <w:szCs w:val="24"/>
        </w:rPr>
        <w:t xml:space="preserve">Where in the </w:t>
      </w:r>
      <w:proofErr w:type="gramStart"/>
      <w:r w:rsidR="00F56C0E" w:rsidRPr="00380849">
        <w:rPr>
          <w:szCs w:val="24"/>
        </w:rPr>
        <w:t xml:space="preserve">Fund's </w:t>
      </w:r>
      <w:r w:rsidRPr="00380849">
        <w:rPr>
          <w:szCs w:val="24"/>
        </w:rPr>
        <w:t xml:space="preserve"> opinion</w:t>
      </w:r>
      <w:proofErr w:type="gramEnd"/>
      <w:r w:rsidRPr="00380849">
        <w:rPr>
          <w:szCs w:val="24"/>
        </w:rPr>
        <w:t xml:space="preserve"> a member  is unable to manage their own affairs, then having considered the individual circumstances of the particular case they may</w:t>
      </w:r>
      <w:r w:rsidRPr="00FF192B">
        <w:t xml:space="preserve"> decide to pay some or </w:t>
      </w:r>
      <w:r w:rsidR="00E170E7" w:rsidRPr="00E170E7">
        <w:t xml:space="preserve"> </w:t>
      </w:r>
      <w:r w:rsidRPr="00FF192B">
        <w:t>all of the benefits to someone else</w:t>
      </w:r>
      <w:r w:rsidR="00E170E7" w:rsidRPr="00E170E7">
        <w:t>,</w:t>
      </w:r>
      <w:r w:rsidRPr="00FF192B">
        <w:t xml:space="preserve"> to be applied for the benefit of the member. </w:t>
      </w:r>
      <w:r w:rsidR="00E170E7" w:rsidRPr="00E170E7">
        <w:t>In such cases a</w:t>
      </w:r>
      <w:r w:rsidRPr="00FF192B">
        <w:t xml:space="preserve"> medical declaration will be require</w:t>
      </w:r>
      <w:r w:rsidR="00380849">
        <w:t xml:space="preserve">d signed by a GP or consultant. </w:t>
      </w:r>
      <w:r w:rsidRPr="00FF192B">
        <w:t>However where the</w:t>
      </w:r>
      <w:r w:rsidR="00380849">
        <w:t xml:space="preserve"> annual pension exceeds £3,000 </w:t>
      </w:r>
      <w:r w:rsidRPr="00FF192B">
        <w:t>per annum</w:t>
      </w:r>
      <w:r w:rsidR="00E170E7">
        <w:t>, or otherwise as determined by the Fund</w:t>
      </w:r>
      <w:proofErr w:type="gramStart"/>
      <w:r w:rsidR="00E170E7">
        <w:t xml:space="preserve">, </w:t>
      </w:r>
      <w:r w:rsidRPr="00FF192B">
        <w:t xml:space="preserve"> then</w:t>
      </w:r>
      <w:proofErr w:type="gramEnd"/>
      <w:r w:rsidRPr="00FF192B">
        <w:t xml:space="preserve"> </w:t>
      </w:r>
      <w:r w:rsidR="00E170E7" w:rsidRPr="00E170E7">
        <w:t>Lasting Power of A</w:t>
      </w:r>
      <w:r w:rsidRPr="00FF192B">
        <w:t xml:space="preserve">ttorney or </w:t>
      </w:r>
      <w:r w:rsidR="00E170E7" w:rsidRPr="00E170E7">
        <w:t xml:space="preserve">Deputyship </w:t>
      </w:r>
      <w:r w:rsidRPr="00FF192B">
        <w:t xml:space="preserve">arrangement </w:t>
      </w:r>
      <w:r w:rsidR="00E170E7" w:rsidRPr="00E170E7">
        <w:t>will be required to be in place.</w:t>
      </w:r>
    </w:p>
    <w:p w:rsidR="003E6A45" w:rsidRDefault="003E6A45">
      <w:pPr>
        <w:pStyle w:val="Heading1"/>
      </w:pPr>
      <w:bookmarkStart w:id="0" w:name="_GoBack"/>
      <w:bookmarkEnd w:id="0"/>
      <w:r>
        <w:t>Consultations</w:t>
      </w:r>
    </w:p>
    <w:p w:rsidR="003E6A45" w:rsidRDefault="003E6A45">
      <w:pPr>
        <w:pStyle w:val="Header"/>
      </w:pPr>
    </w:p>
    <w:p w:rsidR="003C6528" w:rsidRDefault="00380849">
      <w:pPr>
        <w:pStyle w:val="Header"/>
      </w:pPr>
      <w:r>
        <w:t>N/A</w:t>
      </w:r>
    </w:p>
    <w:p w:rsidR="004C54D6" w:rsidRDefault="004C54D6"/>
    <w:p w:rsidR="00772BBA" w:rsidRDefault="003E6A45" w:rsidP="00772BBA">
      <w:r>
        <w:rPr>
          <w:b/>
        </w:rPr>
        <w:t>Implications</w:t>
      </w:r>
      <w:r>
        <w:t xml:space="preserve">: </w:t>
      </w:r>
    </w:p>
    <w:p w:rsidR="00772BBA" w:rsidRDefault="00772BBA" w:rsidP="00772BBA"/>
    <w:p w:rsidR="00772BBA" w:rsidRDefault="00772BBA" w:rsidP="00772BBA">
      <w:pPr>
        <w:rPr>
          <w:b/>
        </w:rPr>
      </w:pPr>
      <w:r w:rsidRPr="00092B2F">
        <w:rPr>
          <w:b/>
        </w:rPr>
        <w:t>Risk management</w:t>
      </w:r>
    </w:p>
    <w:p w:rsidR="003C6528" w:rsidRDefault="003C6528" w:rsidP="00772BBA">
      <w:pPr>
        <w:rPr>
          <w:b/>
        </w:rPr>
      </w:pPr>
    </w:p>
    <w:p w:rsidR="003C6528" w:rsidRDefault="003C6528" w:rsidP="00380849">
      <w:pPr>
        <w:jc w:val="both"/>
      </w:pPr>
      <w:r>
        <w:t xml:space="preserve">The recommendations contained within this report are intended to mitigate financial and reputational risk where possible. Overall the impact of adopting these revised policies should be fair, transparent and justifiable to the scheme member, the fund employer and the Fund itself.    </w:t>
      </w:r>
    </w:p>
    <w:p w:rsidR="003C6528" w:rsidRDefault="003C6528" w:rsidP="003C6528"/>
    <w:p w:rsidR="003C6528" w:rsidRDefault="003C6528" w:rsidP="003C6528">
      <w:pPr>
        <w:rPr>
          <w:b/>
        </w:rPr>
      </w:pPr>
      <w:r>
        <w:rPr>
          <w:b/>
        </w:rPr>
        <w:t>Financial</w:t>
      </w:r>
    </w:p>
    <w:p w:rsidR="003C6528" w:rsidRDefault="003C6528" w:rsidP="003C6528">
      <w:pPr>
        <w:rPr>
          <w:b/>
        </w:rPr>
      </w:pPr>
    </w:p>
    <w:p w:rsidR="003C6528" w:rsidRDefault="003C6528" w:rsidP="00380849">
      <w:pPr>
        <w:jc w:val="both"/>
      </w:pPr>
      <w:r>
        <w:t>The recommendations, whilst not solely focus</w:t>
      </w:r>
      <w:r w:rsidR="00380849">
        <w:t xml:space="preserve">sing on financial implications, </w:t>
      </w:r>
      <w:r>
        <w:t xml:space="preserve">are intended where possible to make financial savings and reduce liabilities. </w:t>
      </w:r>
    </w:p>
    <w:p w:rsidR="00054E58" w:rsidRDefault="00054E58" w:rsidP="00772BBA"/>
    <w:p w:rsidR="003E6A45" w:rsidRDefault="003E6A45">
      <w:pPr>
        <w:pStyle w:val="Heading5"/>
        <w:rPr>
          <w:rFonts w:ascii="Arial" w:hAnsi="Arial"/>
          <w:u w:val="none"/>
        </w:rPr>
      </w:pPr>
      <w:r>
        <w:rPr>
          <w:rFonts w:ascii="Arial" w:hAnsi="Arial"/>
          <w:u w:val="none"/>
        </w:rPr>
        <w:t>Local Government (Access to Information) Act 1985</w:t>
      </w:r>
    </w:p>
    <w:p w:rsidR="003E6A45" w:rsidRDefault="003E6A45">
      <w:pPr>
        <w:pStyle w:val="Heading5"/>
        <w:rPr>
          <w:rFonts w:ascii="Arial" w:hAnsi="Arial"/>
          <w:u w:val="none"/>
        </w:rPr>
      </w:pPr>
      <w:r>
        <w:rPr>
          <w:rFonts w:ascii="Arial" w:hAnsi="Arial"/>
          <w:u w:val="none"/>
        </w:rPr>
        <w:t>List of Background Papers</w:t>
      </w:r>
    </w:p>
    <w:p w:rsidR="003E6A45" w:rsidRDefault="003E6A45" w:rsidP="00380849"/>
    <w:tbl>
      <w:tblPr>
        <w:tblW w:w="9180" w:type="dxa"/>
        <w:tblInd w:w="-108" w:type="dxa"/>
        <w:tblLayout w:type="fixed"/>
        <w:tblLook w:val="0000" w:firstRow="0" w:lastRow="0" w:firstColumn="0" w:lastColumn="0" w:noHBand="0" w:noVBand="0"/>
      </w:tblPr>
      <w:tblGrid>
        <w:gridCol w:w="3227"/>
        <w:gridCol w:w="2775"/>
        <w:gridCol w:w="3178"/>
      </w:tblGrid>
      <w:tr w:rsidR="003E6A45" w:rsidTr="00380849">
        <w:tc>
          <w:tcPr>
            <w:tcW w:w="3227" w:type="dxa"/>
          </w:tcPr>
          <w:p w:rsidR="003E6A45" w:rsidRDefault="003E6A45">
            <w:pPr>
              <w:pStyle w:val="Heading7"/>
              <w:rPr>
                <w:rFonts w:ascii="Arial" w:hAnsi="Arial"/>
                <w:u w:val="none"/>
              </w:rPr>
            </w:pPr>
            <w:r>
              <w:rPr>
                <w:rFonts w:ascii="Arial" w:hAnsi="Arial"/>
                <w:u w:val="none"/>
              </w:rPr>
              <w:t>Paper</w:t>
            </w:r>
          </w:p>
        </w:tc>
        <w:tc>
          <w:tcPr>
            <w:tcW w:w="2775" w:type="dxa"/>
          </w:tcPr>
          <w:p w:rsidR="003E6A45" w:rsidRDefault="003E6A45">
            <w:pPr>
              <w:pStyle w:val="Heading7"/>
              <w:rPr>
                <w:rFonts w:ascii="Arial" w:hAnsi="Arial"/>
                <w:u w:val="none"/>
              </w:rPr>
            </w:pPr>
            <w:r>
              <w:rPr>
                <w:rFonts w:ascii="Arial" w:hAnsi="Arial"/>
                <w:u w:val="none"/>
              </w:rPr>
              <w:t>Date</w:t>
            </w:r>
          </w:p>
        </w:tc>
        <w:tc>
          <w:tcPr>
            <w:tcW w:w="3178" w:type="dxa"/>
          </w:tcPr>
          <w:p w:rsidR="003E6A45" w:rsidRDefault="003E6A45">
            <w:pPr>
              <w:pStyle w:val="Heading7"/>
              <w:rPr>
                <w:rFonts w:ascii="Arial" w:hAnsi="Arial"/>
                <w:u w:val="none"/>
              </w:rPr>
            </w:pPr>
            <w:r>
              <w:rPr>
                <w:rFonts w:ascii="Arial" w:hAnsi="Arial"/>
                <w:u w:val="none"/>
              </w:rPr>
              <w:t>Contact/Directorate/</w:t>
            </w:r>
            <w:r w:rsidR="00772BBA">
              <w:rPr>
                <w:rFonts w:ascii="Arial" w:hAnsi="Arial"/>
                <w:u w:val="none"/>
              </w:rPr>
              <w:t>Tel</w:t>
            </w:r>
          </w:p>
        </w:tc>
      </w:tr>
      <w:tr w:rsidR="003E6A45" w:rsidTr="00380849">
        <w:tc>
          <w:tcPr>
            <w:tcW w:w="3227" w:type="dxa"/>
          </w:tcPr>
          <w:p w:rsidR="00380849" w:rsidRDefault="00380849" w:rsidP="005A23A7"/>
          <w:p w:rsidR="00DD43FF" w:rsidRDefault="00F20CE0" w:rsidP="005A23A7">
            <w:r>
              <w:t>N/A</w:t>
            </w:r>
          </w:p>
        </w:tc>
        <w:tc>
          <w:tcPr>
            <w:tcW w:w="2775" w:type="dxa"/>
          </w:tcPr>
          <w:p w:rsidR="004257D1" w:rsidRDefault="004257D1"/>
        </w:tc>
        <w:tc>
          <w:tcPr>
            <w:tcW w:w="3178" w:type="dxa"/>
          </w:tcPr>
          <w:p w:rsidR="00DD43FF" w:rsidRDefault="00DD43FF" w:rsidP="004257D1"/>
        </w:tc>
      </w:tr>
      <w:tr w:rsidR="003E6A45" w:rsidTr="00380849">
        <w:tc>
          <w:tcPr>
            <w:tcW w:w="9180" w:type="dxa"/>
            <w:gridSpan w:val="3"/>
          </w:tcPr>
          <w:p w:rsidR="005A23A7" w:rsidRDefault="005A23A7"/>
          <w:p w:rsidR="003E6A45" w:rsidRDefault="003E6A45">
            <w:r>
              <w:t>Reason for inclusion in Part II, if appropriate</w:t>
            </w:r>
          </w:p>
          <w:p w:rsidR="003E6A45" w:rsidRDefault="003E6A45"/>
          <w:p w:rsidR="003E6A45" w:rsidRDefault="00527211" w:rsidP="00527211">
            <w:r>
              <w:t xml:space="preserve">N/A </w:t>
            </w:r>
          </w:p>
        </w:tc>
      </w:tr>
      <w:tr w:rsidR="00460A4D" w:rsidTr="00380849">
        <w:tc>
          <w:tcPr>
            <w:tcW w:w="9180" w:type="dxa"/>
            <w:gridSpan w:val="3"/>
          </w:tcPr>
          <w:p w:rsidR="00460A4D" w:rsidRDefault="00460A4D"/>
        </w:tc>
      </w:tr>
    </w:tbl>
    <w:p w:rsidR="00460A4D" w:rsidRDefault="00460A4D" w:rsidP="00CB4B32">
      <w:pPr>
        <w:pStyle w:val="Default"/>
        <w:rPr>
          <w:b/>
        </w:rPr>
      </w:pPr>
    </w:p>
    <w:p w:rsidR="00460A4D" w:rsidRDefault="00460A4D" w:rsidP="00CB4B32">
      <w:pPr>
        <w:pStyle w:val="Default"/>
        <w:rPr>
          <w:b/>
        </w:rPr>
      </w:pPr>
    </w:p>
    <w:p w:rsidR="00460A4D" w:rsidRDefault="00460A4D" w:rsidP="00CB4B32">
      <w:pPr>
        <w:pStyle w:val="Default"/>
        <w:rPr>
          <w:b/>
        </w:rPr>
      </w:pPr>
    </w:p>
    <w:p w:rsidR="00460A4D" w:rsidRDefault="00460A4D" w:rsidP="00CB4B32">
      <w:pPr>
        <w:pStyle w:val="Default"/>
        <w:rPr>
          <w:b/>
        </w:rPr>
      </w:pPr>
    </w:p>
    <w:p w:rsidR="00460A4D" w:rsidRDefault="00460A4D" w:rsidP="00CB4B32">
      <w:pPr>
        <w:pStyle w:val="Default"/>
        <w:rPr>
          <w:b/>
        </w:rPr>
      </w:pPr>
    </w:p>
    <w:sectPr w:rsidR="00460A4D" w:rsidSect="00460A4D">
      <w:footerReference w:type="default" r:id="rId9"/>
      <w:footerReference w:type="first" r:id="rId10"/>
      <w:type w:val="continuous"/>
      <w:pgSz w:w="11907" w:h="16840" w:code="9"/>
      <w:pgMar w:top="1440"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857" w:rsidRDefault="00467857">
      <w:r>
        <w:separator/>
      </w:r>
    </w:p>
  </w:endnote>
  <w:endnote w:type="continuationSeparator" w:id="0">
    <w:p w:rsidR="00467857" w:rsidRDefault="0046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F482F">
      <w:tc>
        <w:tcPr>
          <w:tcW w:w="9243" w:type="dxa"/>
          <w:tcBorders>
            <w:top w:val="nil"/>
            <w:left w:val="nil"/>
            <w:bottom w:val="nil"/>
            <w:right w:val="nil"/>
          </w:tcBorders>
        </w:tcPr>
        <w:p w:rsidR="003F482F" w:rsidRDefault="003F482F">
          <w:pPr>
            <w:pStyle w:val="Footer"/>
            <w:tabs>
              <w:tab w:val="clear" w:pos="4153"/>
            </w:tabs>
            <w:ind w:right="-45"/>
            <w:jc w:val="right"/>
          </w:pPr>
        </w:p>
      </w:tc>
    </w:tr>
  </w:tbl>
  <w:p w:rsidR="003F482F" w:rsidRDefault="003F482F">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F482F">
      <w:tc>
        <w:tcPr>
          <w:tcW w:w="9243" w:type="dxa"/>
          <w:tcBorders>
            <w:top w:val="nil"/>
            <w:left w:val="nil"/>
            <w:bottom w:val="nil"/>
            <w:right w:val="nil"/>
          </w:tcBorders>
        </w:tcPr>
        <w:p w:rsidR="003F482F" w:rsidRDefault="003F482F">
          <w:pPr>
            <w:pStyle w:val="Footer"/>
            <w:tabs>
              <w:tab w:val="clear" w:pos="4153"/>
            </w:tabs>
            <w:ind w:right="-45"/>
            <w:jc w:val="right"/>
          </w:pPr>
          <w:r>
            <w:rPr>
              <w:noProof/>
            </w:rPr>
            <w:drawing>
              <wp:inline distT="0" distB="0" distL="0" distR="0" wp14:anchorId="39E9D315" wp14:editId="5A53A485">
                <wp:extent cx="1257300" cy="635000"/>
                <wp:effectExtent l="0" t="0" r="0" b="0"/>
                <wp:docPr id="2"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35000"/>
                        </a:xfrm>
                        <a:prstGeom prst="rect">
                          <a:avLst/>
                        </a:prstGeom>
                        <a:noFill/>
                        <a:ln>
                          <a:noFill/>
                        </a:ln>
                      </pic:spPr>
                    </pic:pic>
                  </a:graphicData>
                </a:graphic>
              </wp:inline>
            </w:drawing>
          </w:r>
        </w:p>
      </w:tc>
    </w:tr>
  </w:tbl>
  <w:p w:rsidR="003F482F" w:rsidRDefault="003F482F">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857" w:rsidRDefault="00467857">
      <w:r>
        <w:separator/>
      </w:r>
    </w:p>
  </w:footnote>
  <w:footnote w:type="continuationSeparator" w:id="0">
    <w:p w:rsidR="00467857" w:rsidRDefault="00467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781E"/>
    <w:multiLevelType w:val="hybridMultilevel"/>
    <w:tmpl w:val="11985010"/>
    <w:lvl w:ilvl="0" w:tplc="3268330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3F625A"/>
    <w:multiLevelType w:val="hybridMultilevel"/>
    <w:tmpl w:val="14FAF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B474E"/>
    <w:multiLevelType w:val="hybridMultilevel"/>
    <w:tmpl w:val="A78C5106"/>
    <w:lvl w:ilvl="0" w:tplc="A1301CE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3B491D"/>
    <w:multiLevelType w:val="hybridMultilevel"/>
    <w:tmpl w:val="2F5E9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324B0"/>
    <w:multiLevelType w:val="hybridMultilevel"/>
    <w:tmpl w:val="3618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37ED9"/>
    <w:multiLevelType w:val="hybridMultilevel"/>
    <w:tmpl w:val="5BBA5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787184"/>
    <w:multiLevelType w:val="multilevel"/>
    <w:tmpl w:val="3496BDC6"/>
    <w:name w:val="WDX-Numbering"/>
    <w:lvl w:ilvl="0">
      <w:start w:val="1"/>
      <w:numFmt w:val="decimal"/>
      <w:pStyle w:val="Level1"/>
      <w:lvlText w:val="%1."/>
      <w:lvlJc w:val="left"/>
      <w:pPr>
        <w:tabs>
          <w:tab w:val="num" w:pos="851"/>
        </w:tabs>
        <w:ind w:left="851" w:hanging="851"/>
      </w:pPr>
      <w:rPr>
        <w:rFonts w:hint="default"/>
        <w:b/>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701"/>
        </w:tabs>
        <w:ind w:left="1701" w:hanging="850"/>
      </w:pPr>
      <w:rPr>
        <w:rFonts w:hint="default"/>
        <w:b w:val="0"/>
        <w:i w:val="0"/>
        <w:u w:val="none"/>
      </w:rPr>
    </w:lvl>
    <w:lvl w:ilvl="3">
      <w:start w:val="1"/>
      <w:numFmt w:val="decimal"/>
      <w:pStyle w:val="Level4"/>
      <w:lvlText w:val="%1.%2.%3.%4"/>
      <w:lvlJc w:val="left"/>
      <w:pPr>
        <w:tabs>
          <w:tab w:val="num" w:pos="2835"/>
        </w:tabs>
        <w:ind w:left="2835" w:hanging="1134"/>
      </w:pPr>
      <w:rPr>
        <w:rFonts w:hint="default"/>
        <w:b w:val="0"/>
        <w:i w:val="0"/>
        <w:u w:val="none"/>
      </w:rPr>
    </w:lvl>
    <w:lvl w:ilvl="4">
      <w:start w:val="1"/>
      <w:numFmt w:val="lowerLetter"/>
      <w:pStyle w:val="Level5"/>
      <w:lvlText w:val="(%5)"/>
      <w:lvlJc w:val="left"/>
      <w:pPr>
        <w:tabs>
          <w:tab w:val="num" w:pos="2835"/>
        </w:tabs>
        <w:ind w:left="2835" w:hanging="1134"/>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7" w15:restartNumberingAfterBreak="0">
    <w:nsid w:val="76CE0E80"/>
    <w:multiLevelType w:val="hybridMultilevel"/>
    <w:tmpl w:val="5148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3"/>
  </w:num>
  <w:num w:numId="5">
    <w:abstractNumId w:val="5"/>
  </w:num>
  <w:num w:numId="6">
    <w:abstractNumId w:val="6"/>
  </w:num>
  <w:num w:numId="7">
    <w:abstractNumId w:val="2"/>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5"/>
    <w:rsid w:val="00031A74"/>
    <w:rsid w:val="00035919"/>
    <w:rsid w:val="00054E58"/>
    <w:rsid w:val="0005706B"/>
    <w:rsid w:val="00070E3E"/>
    <w:rsid w:val="000A1DCC"/>
    <w:rsid w:val="000B1236"/>
    <w:rsid w:val="000B5C38"/>
    <w:rsid w:val="000C14EE"/>
    <w:rsid w:val="000E38A4"/>
    <w:rsid w:val="000F13D8"/>
    <w:rsid w:val="000F47D6"/>
    <w:rsid w:val="00103B36"/>
    <w:rsid w:val="00103DE7"/>
    <w:rsid w:val="001208AC"/>
    <w:rsid w:val="0013333F"/>
    <w:rsid w:val="001400E8"/>
    <w:rsid w:val="00150D50"/>
    <w:rsid w:val="001537CF"/>
    <w:rsid w:val="00153BE3"/>
    <w:rsid w:val="00157904"/>
    <w:rsid w:val="00173796"/>
    <w:rsid w:val="0018343D"/>
    <w:rsid w:val="001850BA"/>
    <w:rsid w:val="00186C02"/>
    <w:rsid w:val="001C08DD"/>
    <w:rsid w:val="001D50E2"/>
    <w:rsid w:val="001D56CA"/>
    <w:rsid w:val="001E18F0"/>
    <w:rsid w:val="001E7035"/>
    <w:rsid w:val="001F4FE3"/>
    <w:rsid w:val="00207AA4"/>
    <w:rsid w:val="0021034C"/>
    <w:rsid w:val="00236BE5"/>
    <w:rsid w:val="00264C18"/>
    <w:rsid w:val="002729DE"/>
    <w:rsid w:val="0028461B"/>
    <w:rsid w:val="0029541B"/>
    <w:rsid w:val="002B09F2"/>
    <w:rsid w:val="002B11AF"/>
    <w:rsid w:val="002B3078"/>
    <w:rsid w:val="002C01AE"/>
    <w:rsid w:val="002C1997"/>
    <w:rsid w:val="002D37BC"/>
    <w:rsid w:val="002E0BAF"/>
    <w:rsid w:val="002E1602"/>
    <w:rsid w:val="003200C2"/>
    <w:rsid w:val="0032390C"/>
    <w:rsid w:val="003271E5"/>
    <w:rsid w:val="00333B2E"/>
    <w:rsid w:val="003470ED"/>
    <w:rsid w:val="00351EAB"/>
    <w:rsid w:val="00354CAC"/>
    <w:rsid w:val="00357954"/>
    <w:rsid w:val="00362B26"/>
    <w:rsid w:val="00380849"/>
    <w:rsid w:val="003927BE"/>
    <w:rsid w:val="00395EFD"/>
    <w:rsid w:val="003A3535"/>
    <w:rsid w:val="003A364D"/>
    <w:rsid w:val="003B3914"/>
    <w:rsid w:val="003C6528"/>
    <w:rsid w:val="003D0EB6"/>
    <w:rsid w:val="003D26DA"/>
    <w:rsid w:val="003D7834"/>
    <w:rsid w:val="003E6A45"/>
    <w:rsid w:val="003F482F"/>
    <w:rsid w:val="003F6226"/>
    <w:rsid w:val="004016C3"/>
    <w:rsid w:val="00404D53"/>
    <w:rsid w:val="00420F0E"/>
    <w:rsid w:val="004257D1"/>
    <w:rsid w:val="004258AE"/>
    <w:rsid w:val="0043027A"/>
    <w:rsid w:val="00446E95"/>
    <w:rsid w:val="0044710C"/>
    <w:rsid w:val="00460A4D"/>
    <w:rsid w:val="00467857"/>
    <w:rsid w:val="00484496"/>
    <w:rsid w:val="004A77C5"/>
    <w:rsid w:val="004C54D6"/>
    <w:rsid w:val="004D1820"/>
    <w:rsid w:val="004E3B16"/>
    <w:rsid w:val="004F19B6"/>
    <w:rsid w:val="00515BAD"/>
    <w:rsid w:val="00527211"/>
    <w:rsid w:val="00535475"/>
    <w:rsid w:val="0055481A"/>
    <w:rsid w:val="005716DF"/>
    <w:rsid w:val="005745A0"/>
    <w:rsid w:val="00581BB4"/>
    <w:rsid w:val="00582D67"/>
    <w:rsid w:val="00590963"/>
    <w:rsid w:val="005A23A7"/>
    <w:rsid w:val="005B4BF0"/>
    <w:rsid w:val="005B664B"/>
    <w:rsid w:val="005C0303"/>
    <w:rsid w:val="005D456F"/>
    <w:rsid w:val="005D6192"/>
    <w:rsid w:val="00602D50"/>
    <w:rsid w:val="00610F26"/>
    <w:rsid w:val="00621B00"/>
    <w:rsid w:val="006237B6"/>
    <w:rsid w:val="00637CDF"/>
    <w:rsid w:val="00652FE8"/>
    <w:rsid w:val="00657230"/>
    <w:rsid w:val="006903ED"/>
    <w:rsid w:val="006A2173"/>
    <w:rsid w:val="006A68A6"/>
    <w:rsid w:val="006C6527"/>
    <w:rsid w:val="006C66B6"/>
    <w:rsid w:val="006D0B8F"/>
    <w:rsid w:val="006F122B"/>
    <w:rsid w:val="006F1D98"/>
    <w:rsid w:val="00713577"/>
    <w:rsid w:val="00740A21"/>
    <w:rsid w:val="0075254A"/>
    <w:rsid w:val="0076654B"/>
    <w:rsid w:val="00772BBA"/>
    <w:rsid w:val="00775F9C"/>
    <w:rsid w:val="00776A9B"/>
    <w:rsid w:val="007A0789"/>
    <w:rsid w:val="007A0C74"/>
    <w:rsid w:val="007A1D43"/>
    <w:rsid w:val="007A51B6"/>
    <w:rsid w:val="007B1479"/>
    <w:rsid w:val="007B5056"/>
    <w:rsid w:val="007B711D"/>
    <w:rsid w:val="007C6674"/>
    <w:rsid w:val="007E7A9F"/>
    <w:rsid w:val="007F7A94"/>
    <w:rsid w:val="0080798C"/>
    <w:rsid w:val="00813C27"/>
    <w:rsid w:val="008152A9"/>
    <w:rsid w:val="008155CD"/>
    <w:rsid w:val="00821A41"/>
    <w:rsid w:val="00830147"/>
    <w:rsid w:val="00881881"/>
    <w:rsid w:val="008903FB"/>
    <w:rsid w:val="008A5E88"/>
    <w:rsid w:val="008B07BF"/>
    <w:rsid w:val="008F72DF"/>
    <w:rsid w:val="00911A06"/>
    <w:rsid w:val="00915D62"/>
    <w:rsid w:val="0092106C"/>
    <w:rsid w:val="009521D2"/>
    <w:rsid w:val="0097677F"/>
    <w:rsid w:val="00983813"/>
    <w:rsid w:val="009844E8"/>
    <w:rsid w:val="00990F42"/>
    <w:rsid w:val="009927C9"/>
    <w:rsid w:val="009A2D49"/>
    <w:rsid w:val="009B3418"/>
    <w:rsid w:val="009B5B1A"/>
    <w:rsid w:val="009B61F1"/>
    <w:rsid w:val="009D1F0F"/>
    <w:rsid w:val="00A16FDB"/>
    <w:rsid w:val="00A2011A"/>
    <w:rsid w:val="00A26A90"/>
    <w:rsid w:val="00A465CD"/>
    <w:rsid w:val="00A725BC"/>
    <w:rsid w:val="00A77EC8"/>
    <w:rsid w:val="00A85A23"/>
    <w:rsid w:val="00AA5A4D"/>
    <w:rsid w:val="00AA5B4F"/>
    <w:rsid w:val="00AB7853"/>
    <w:rsid w:val="00AC12E7"/>
    <w:rsid w:val="00AC1528"/>
    <w:rsid w:val="00AD0F33"/>
    <w:rsid w:val="00AE2A29"/>
    <w:rsid w:val="00AE78D8"/>
    <w:rsid w:val="00AF2512"/>
    <w:rsid w:val="00AF62E7"/>
    <w:rsid w:val="00AF6C66"/>
    <w:rsid w:val="00B21A7E"/>
    <w:rsid w:val="00B4206E"/>
    <w:rsid w:val="00B44F22"/>
    <w:rsid w:val="00B45705"/>
    <w:rsid w:val="00B600FF"/>
    <w:rsid w:val="00B61088"/>
    <w:rsid w:val="00B67789"/>
    <w:rsid w:val="00B7415C"/>
    <w:rsid w:val="00BB08CC"/>
    <w:rsid w:val="00BB0CBD"/>
    <w:rsid w:val="00BB54B1"/>
    <w:rsid w:val="00BC2064"/>
    <w:rsid w:val="00C02EDA"/>
    <w:rsid w:val="00C20DC0"/>
    <w:rsid w:val="00C247EC"/>
    <w:rsid w:val="00C41EB4"/>
    <w:rsid w:val="00C45D72"/>
    <w:rsid w:val="00C72628"/>
    <w:rsid w:val="00C927DE"/>
    <w:rsid w:val="00C974F3"/>
    <w:rsid w:val="00CA27CA"/>
    <w:rsid w:val="00CB4B32"/>
    <w:rsid w:val="00CC740F"/>
    <w:rsid w:val="00CD5239"/>
    <w:rsid w:val="00D17AA3"/>
    <w:rsid w:val="00D4032F"/>
    <w:rsid w:val="00D63163"/>
    <w:rsid w:val="00D917B3"/>
    <w:rsid w:val="00DA3F07"/>
    <w:rsid w:val="00DB4620"/>
    <w:rsid w:val="00DB4E7C"/>
    <w:rsid w:val="00DD43FF"/>
    <w:rsid w:val="00DE0CF7"/>
    <w:rsid w:val="00E106D7"/>
    <w:rsid w:val="00E14310"/>
    <w:rsid w:val="00E170E7"/>
    <w:rsid w:val="00E205E3"/>
    <w:rsid w:val="00E22E2C"/>
    <w:rsid w:val="00E23304"/>
    <w:rsid w:val="00E71A5D"/>
    <w:rsid w:val="00E841DA"/>
    <w:rsid w:val="00EA1520"/>
    <w:rsid w:val="00EA45E5"/>
    <w:rsid w:val="00EF48F6"/>
    <w:rsid w:val="00F05F27"/>
    <w:rsid w:val="00F0678C"/>
    <w:rsid w:val="00F13A87"/>
    <w:rsid w:val="00F17F64"/>
    <w:rsid w:val="00F20CE0"/>
    <w:rsid w:val="00F21DE0"/>
    <w:rsid w:val="00F3710F"/>
    <w:rsid w:val="00F427CB"/>
    <w:rsid w:val="00F50C06"/>
    <w:rsid w:val="00F56C0E"/>
    <w:rsid w:val="00F6505C"/>
    <w:rsid w:val="00F66B9D"/>
    <w:rsid w:val="00F6700D"/>
    <w:rsid w:val="00F733FD"/>
    <w:rsid w:val="00F76752"/>
    <w:rsid w:val="00FD4E8F"/>
    <w:rsid w:val="00FE14F5"/>
    <w:rsid w:val="00FE20D8"/>
    <w:rsid w:val="00FF192B"/>
    <w:rsid w:val="00FF2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6553107-8CC6-4415-8521-34BBB1B60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27A"/>
    <w:rPr>
      <w:rFonts w:ascii="Arial" w:hAnsi="Arial"/>
      <w:sz w:val="24"/>
    </w:rPr>
  </w:style>
  <w:style w:type="paragraph" w:styleId="Heading1">
    <w:name w:val="heading 1"/>
    <w:basedOn w:val="Normal"/>
    <w:next w:val="Normal"/>
    <w:uiPriority w:val="1"/>
    <w:qFormat/>
    <w:rsid w:val="0043027A"/>
    <w:pPr>
      <w:keepNext/>
      <w:outlineLvl w:val="0"/>
    </w:pPr>
    <w:rPr>
      <w:b/>
    </w:rPr>
  </w:style>
  <w:style w:type="paragraph" w:styleId="Heading5">
    <w:name w:val="heading 5"/>
    <w:basedOn w:val="Normal"/>
    <w:next w:val="Normal"/>
    <w:qFormat/>
    <w:rsid w:val="0043027A"/>
    <w:pPr>
      <w:keepNext/>
      <w:outlineLvl w:val="4"/>
    </w:pPr>
    <w:rPr>
      <w:rFonts w:ascii="Univers" w:hAnsi="Univers"/>
      <w:b/>
      <w:u w:val="single"/>
    </w:rPr>
  </w:style>
  <w:style w:type="paragraph" w:styleId="Heading6">
    <w:name w:val="heading 6"/>
    <w:basedOn w:val="Normal"/>
    <w:next w:val="Normal"/>
    <w:qFormat/>
    <w:rsid w:val="0043027A"/>
    <w:pPr>
      <w:keepNext/>
      <w:outlineLvl w:val="5"/>
    </w:pPr>
    <w:rPr>
      <w:rFonts w:ascii="Univers" w:hAnsi="Univers"/>
      <w:b/>
    </w:rPr>
  </w:style>
  <w:style w:type="paragraph" w:styleId="Heading7">
    <w:name w:val="heading 7"/>
    <w:basedOn w:val="Normal"/>
    <w:next w:val="Normal"/>
    <w:qFormat/>
    <w:rsid w:val="0043027A"/>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027A"/>
  </w:style>
  <w:style w:type="paragraph" w:customStyle="1" w:styleId="arial11">
    <w:name w:val="arial11"/>
    <w:basedOn w:val="Normal"/>
    <w:rsid w:val="0043027A"/>
  </w:style>
  <w:style w:type="paragraph" w:styleId="BodyText">
    <w:name w:val="Body Text"/>
    <w:basedOn w:val="Normal"/>
    <w:uiPriority w:val="1"/>
    <w:qFormat/>
    <w:rsid w:val="0043027A"/>
  </w:style>
  <w:style w:type="paragraph" w:styleId="Footer">
    <w:name w:val="footer"/>
    <w:basedOn w:val="Normal"/>
    <w:link w:val="FooterChar"/>
    <w:uiPriority w:val="99"/>
    <w:rsid w:val="0043027A"/>
    <w:pPr>
      <w:tabs>
        <w:tab w:val="center" w:pos="4153"/>
        <w:tab w:val="right" w:pos="8306"/>
      </w:tabs>
    </w:pPr>
  </w:style>
  <w:style w:type="character" w:styleId="PageNumber">
    <w:name w:val="page number"/>
    <w:basedOn w:val="DefaultParagraphFont"/>
    <w:rsid w:val="0043027A"/>
  </w:style>
  <w:style w:type="paragraph" w:styleId="BalloonText">
    <w:name w:val="Balloon Text"/>
    <w:basedOn w:val="Normal"/>
    <w:link w:val="BalloonTextChar"/>
    <w:uiPriority w:val="99"/>
    <w:semiHidden/>
    <w:rsid w:val="00357954"/>
    <w:rPr>
      <w:rFonts w:ascii="Tahoma" w:hAnsi="Tahoma" w:cs="Tahoma"/>
      <w:sz w:val="16"/>
      <w:szCs w:val="16"/>
    </w:rPr>
  </w:style>
  <w:style w:type="paragraph" w:customStyle="1" w:styleId="Default">
    <w:name w:val="Default"/>
    <w:rsid w:val="00CB4B3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F4FE3"/>
    <w:pPr>
      <w:ind w:left="720"/>
      <w:contextualSpacing/>
    </w:pPr>
    <w:rPr>
      <w:szCs w:val="24"/>
    </w:rPr>
  </w:style>
  <w:style w:type="character" w:styleId="CommentReference">
    <w:name w:val="annotation reference"/>
    <w:basedOn w:val="DefaultParagraphFont"/>
    <w:uiPriority w:val="99"/>
    <w:semiHidden/>
    <w:unhideWhenUsed/>
    <w:rsid w:val="00186C02"/>
    <w:rPr>
      <w:sz w:val="16"/>
      <w:szCs w:val="16"/>
    </w:rPr>
  </w:style>
  <w:style w:type="paragraph" w:styleId="CommentText">
    <w:name w:val="annotation text"/>
    <w:basedOn w:val="Normal"/>
    <w:link w:val="CommentTextChar"/>
    <w:uiPriority w:val="99"/>
    <w:semiHidden/>
    <w:unhideWhenUsed/>
    <w:rsid w:val="00186C02"/>
    <w:rPr>
      <w:sz w:val="20"/>
    </w:rPr>
  </w:style>
  <w:style w:type="character" w:customStyle="1" w:styleId="CommentTextChar">
    <w:name w:val="Comment Text Char"/>
    <w:basedOn w:val="DefaultParagraphFont"/>
    <w:link w:val="CommentText"/>
    <w:uiPriority w:val="99"/>
    <w:semiHidden/>
    <w:rsid w:val="00186C02"/>
    <w:rPr>
      <w:rFonts w:ascii="Arial" w:hAnsi="Arial"/>
    </w:rPr>
  </w:style>
  <w:style w:type="paragraph" w:styleId="CommentSubject">
    <w:name w:val="annotation subject"/>
    <w:basedOn w:val="CommentText"/>
    <w:next w:val="CommentText"/>
    <w:link w:val="CommentSubjectChar"/>
    <w:uiPriority w:val="99"/>
    <w:semiHidden/>
    <w:unhideWhenUsed/>
    <w:rsid w:val="00186C02"/>
    <w:rPr>
      <w:b/>
      <w:bCs/>
    </w:rPr>
  </w:style>
  <w:style w:type="character" w:customStyle="1" w:styleId="CommentSubjectChar">
    <w:name w:val="Comment Subject Char"/>
    <w:basedOn w:val="CommentTextChar"/>
    <w:link w:val="CommentSubject"/>
    <w:uiPriority w:val="99"/>
    <w:semiHidden/>
    <w:rsid w:val="00186C02"/>
    <w:rPr>
      <w:rFonts w:ascii="Arial" w:hAnsi="Arial"/>
      <w:b/>
      <w:bCs/>
    </w:rPr>
  </w:style>
  <w:style w:type="character" w:styleId="Hyperlink">
    <w:name w:val="Hyperlink"/>
    <w:basedOn w:val="DefaultParagraphFont"/>
    <w:uiPriority w:val="99"/>
    <w:unhideWhenUsed/>
    <w:rsid w:val="00DD43FF"/>
    <w:rPr>
      <w:color w:val="0000FF" w:themeColor="hyperlink"/>
      <w:u w:val="single"/>
    </w:rPr>
  </w:style>
  <w:style w:type="table" w:styleId="TableGrid">
    <w:name w:val="Table Grid"/>
    <w:basedOn w:val="TableNormal"/>
    <w:uiPriority w:val="39"/>
    <w:rsid w:val="003D26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6FDB"/>
    <w:pPr>
      <w:spacing w:before="100" w:beforeAutospacing="1" w:after="100" w:afterAutospacing="1"/>
    </w:pPr>
    <w:rPr>
      <w:rFonts w:ascii="Times New Roman" w:eastAsiaTheme="minorHAnsi" w:hAnsi="Times New Roman"/>
      <w:szCs w:val="24"/>
    </w:rPr>
  </w:style>
  <w:style w:type="paragraph" w:customStyle="1" w:styleId="BasicParagraph">
    <w:name w:val="[Basic Paragraph]"/>
    <w:basedOn w:val="Normal"/>
    <w:uiPriority w:val="99"/>
    <w:rsid w:val="00713577"/>
    <w:pPr>
      <w:widowControl w:val="0"/>
      <w:autoSpaceDE w:val="0"/>
      <w:autoSpaceDN w:val="0"/>
      <w:adjustRightInd w:val="0"/>
      <w:spacing w:line="288" w:lineRule="auto"/>
      <w:textAlignment w:val="center"/>
    </w:pPr>
    <w:rPr>
      <w:rFonts w:ascii="MinionPro-Regular" w:eastAsia="Calibri" w:hAnsi="MinionPro-Regular" w:cs="MinionPro-Regular"/>
      <w:color w:val="000000"/>
      <w:szCs w:val="24"/>
      <w:lang w:eastAsia="en-US"/>
    </w:rPr>
  </w:style>
  <w:style w:type="numbering" w:customStyle="1" w:styleId="NoList1">
    <w:name w:val="No List1"/>
    <w:next w:val="NoList"/>
    <w:uiPriority w:val="99"/>
    <w:semiHidden/>
    <w:unhideWhenUsed/>
    <w:rsid w:val="00460A4D"/>
  </w:style>
  <w:style w:type="paragraph" w:customStyle="1" w:styleId="TableParagraph">
    <w:name w:val="Table Paragraph"/>
    <w:basedOn w:val="Normal"/>
    <w:uiPriority w:val="1"/>
    <w:qFormat/>
    <w:rsid w:val="00460A4D"/>
    <w:pPr>
      <w:widowControl w:val="0"/>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460A4D"/>
    <w:rPr>
      <w:rFonts w:ascii="Arial" w:hAnsi="Arial"/>
      <w:sz w:val="24"/>
    </w:rPr>
  </w:style>
  <w:style w:type="character" w:customStyle="1" w:styleId="FooterChar">
    <w:name w:val="Footer Char"/>
    <w:basedOn w:val="DefaultParagraphFont"/>
    <w:link w:val="Footer"/>
    <w:uiPriority w:val="99"/>
    <w:rsid w:val="00460A4D"/>
    <w:rPr>
      <w:rFonts w:ascii="Arial" w:hAnsi="Arial"/>
      <w:sz w:val="24"/>
    </w:rPr>
  </w:style>
  <w:style w:type="paragraph" w:customStyle="1" w:styleId="Level1">
    <w:name w:val="Level 1"/>
    <w:basedOn w:val="Normal"/>
    <w:rsid w:val="00460A4D"/>
    <w:pPr>
      <w:numPr>
        <w:numId w:val="6"/>
      </w:numPr>
      <w:spacing w:after="240"/>
      <w:jc w:val="both"/>
      <w:outlineLvl w:val="0"/>
    </w:pPr>
    <w:rPr>
      <w:rFonts w:ascii="Times New Roman" w:hAnsi="Times New Roman"/>
    </w:rPr>
  </w:style>
  <w:style w:type="paragraph" w:customStyle="1" w:styleId="Level2">
    <w:name w:val="Level 2"/>
    <w:basedOn w:val="Normal"/>
    <w:rsid w:val="00460A4D"/>
    <w:pPr>
      <w:numPr>
        <w:ilvl w:val="1"/>
        <w:numId w:val="6"/>
      </w:numPr>
      <w:spacing w:after="240"/>
      <w:jc w:val="both"/>
      <w:outlineLvl w:val="1"/>
    </w:pPr>
    <w:rPr>
      <w:rFonts w:ascii="Times New Roman" w:hAnsi="Times New Roman"/>
    </w:rPr>
  </w:style>
  <w:style w:type="paragraph" w:customStyle="1" w:styleId="Level3">
    <w:name w:val="Level 3"/>
    <w:basedOn w:val="Normal"/>
    <w:rsid w:val="00460A4D"/>
    <w:pPr>
      <w:numPr>
        <w:ilvl w:val="2"/>
        <w:numId w:val="6"/>
      </w:numPr>
      <w:spacing w:after="240"/>
      <w:jc w:val="both"/>
      <w:outlineLvl w:val="2"/>
    </w:pPr>
    <w:rPr>
      <w:rFonts w:ascii="Times New Roman" w:hAnsi="Times New Roman"/>
    </w:rPr>
  </w:style>
  <w:style w:type="paragraph" w:customStyle="1" w:styleId="Level4">
    <w:name w:val="Level 4"/>
    <w:basedOn w:val="Normal"/>
    <w:rsid w:val="00460A4D"/>
    <w:pPr>
      <w:numPr>
        <w:ilvl w:val="3"/>
        <w:numId w:val="6"/>
      </w:numPr>
      <w:spacing w:after="240"/>
      <w:jc w:val="both"/>
      <w:outlineLvl w:val="3"/>
    </w:pPr>
    <w:rPr>
      <w:rFonts w:ascii="Times New Roman" w:hAnsi="Times New Roman"/>
    </w:rPr>
  </w:style>
  <w:style w:type="paragraph" w:customStyle="1" w:styleId="Level5">
    <w:name w:val="Level 5"/>
    <w:basedOn w:val="Normal"/>
    <w:rsid w:val="00460A4D"/>
    <w:pPr>
      <w:numPr>
        <w:ilvl w:val="4"/>
        <w:numId w:val="6"/>
      </w:numPr>
      <w:spacing w:after="240"/>
      <w:jc w:val="both"/>
      <w:outlineLvl w:val="4"/>
    </w:pPr>
    <w:rPr>
      <w:rFonts w:ascii="Times New Roman" w:hAnsi="Times New Roman"/>
    </w:rPr>
  </w:style>
  <w:style w:type="character" w:customStyle="1" w:styleId="CrossReference">
    <w:name w:val="Cross Reference"/>
    <w:rsid w:val="00460A4D"/>
    <w:rPr>
      <w:rFonts w:ascii="Times New Roman" w:hAnsi="Times New Roman" w:cs="Times New Roman"/>
      <w:b w:val="0"/>
      <w:color w:val="auto"/>
      <w:sz w:val="24"/>
      <w:u w:val="none"/>
    </w:rPr>
  </w:style>
  <w:style w:type="character" w:styleId="FollowedHyperlink">
    <w:name w:val="FollowedHyperlink"/>
    <w:basedOn w:val="DefaultParagraphFont"/>
    <w:uiPriority w:val="99"/>
    <w:semiHidden/>
    <w:unhideWhenUsed/>
    <w:rsid w:val="00460A4D"/>
    <w:rPr>
      <w:color w:val="800080" w:themeColor="followedHyperlink"/>
      <w:u w:val="single"/>
    </w:rPr>
  </w:style>
  <w:style w:type="character" w:customStyle="1" w:styleId="BalloonTextChar">
    <w:name w:val="Balloon Text Char"/>
    <w:basedOn w:val="DefaultParagraphFont"/>
    <w:link w:val="BalloonText"/>
    <w:uiPriority w:val="99"/>
    <w:semiHidden/>
    <w:rsid w:val="00460A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71292">
      <w:bodyDiv w:val="1"/>
      <w:marLeft w:val="0"/>
      <w:marRight w:val="0"/>
      <w:marTop w:val="0"/>
      <w:marBottom w:val="0"/>
      <w:divBdr>
        <w:top w:val="none" w:sz="0" w:space="0" w:color="auto"/>
        <w:left w:val="none" w:sz="0" w:space="0" w:color="auto"/>
        <w:bottom w:val="none" w:sz="0" w:space="0" w:color="auto"/>
        <w:right w:val="none" w:sz="0" w:space="0" w:color="auto"/>
      </w:divBdr>
    </w:div>
    <w:div w:id="346366344">
      <w:bodyDiv w:val="1"/>
      <w:marLeft w:val="0"/>
      <w:marRight w:val="0"/>
      <w:marTop w:val="0"/>
      <w:marBottom w:val="0"/>
      <w:divBdr>
        <w:top w:val="none" w:sz="0" w:space="0" w:color="auto"/>
        <w:left w:val="none" w:sz="0" w:space="0" w:color="auto"/>
        <w:bottom w:val="none" w:sz="0" w:space="0" w:color="auto"/>
        <w:right w:val="none" w:sz="0" w:space="0" w:color="auto"/>
      </w:divBdr>
    </w:div>
    <w:div w:id="706569911">
      <w:bodyDiv w:val="1"/>
      <w:marLeft w:val="0"/>
      <w:marRight w:val="0"/>
      <w:marTop w:val="0"/>
      <w:marBottom w:val="0"/>
      <w:divBdr>
        <w:top w:val="none" w:sz="0" w:space="0" w:color="auto"/>
        <w:left w:val="none" w:sz="0" w:space="0" w:color="auto"/>
        <w:bottom w:val="none" w:sz="0" w:space="0" w:color="auto"/>
        <w:right w:val="none" w:sz="0" w:space="0" w:color="auto"/>
      </w:divBdr>
    </w:div>
    <w:div w:id="1568564979">
      <w:bodyDiv w:val="1"/>
      <w:marLeft w:val="0"/>
      <w:marRight w:val="0"/>
      <w:marTop w:val="0"/>
      <w:marBottom w:val="0"/>
      <w:divBdr>
        <w:top w:val="none" w:sz="0" w:space="0" w:color="auto"/>
        <w:left w:val="none" w:sz="0" w:space="0" w:color="auto"/>
        <w:bottom w:val="none" w:sz="0" w:space="0" w:color="auto"/>
        <w:right w:val="none" w:sz="0" w:space="0" w:color="auto"/>
      </w:divBdr>
    </w:div>
    <w:div w:id="168486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y.brown@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D69D0-F0DE-4E0B-82AC-E553DE55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22</TotalTime>
  <Pages>5</Pages>
  <Words>1398</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creator>rdmcm</dc:creator>
  <dc:description>August 2009</dc:description>
  <cp:lastModifiedBy>Gorman, Dave</cp:lastModifiedBy>
  <cp:revision>4</cp:revision>
  <cp:lastPrinted>2015-05-19T11:59:00Z</cp:lastPrinted>
  <dcterms:created xsi:type="dcterms:W3CDTF">2016-01-21T07:59:00Z</dcterms:created>
  <dcterms:modified xsi:type="dcterms:W3CDTF">2016-01-21T09:19:00Z</dcterms:modified>
</cp:coreProperties>
</file>