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14B" w:rsidRPr="009F5249" w:rsidRDefault="00DC5683">
      <w:pPr>
        <w:rPr>
          <w:rFonts w:cs="Arial"/>
          <w:b/>
          <w:szCs w:val="24"/>
        </w:rPr>
      </w:pPr>
      <w:r w:rsidRPr="009F5249">
        <w:rPr>
          <w:rFonts w:cs="Arial"/>
          <w:b/>
          <w:szCs w:val="24"/>
        </w:rPr>
        <w:t>Cabinet</w:t>
      </w:r>
    </w:p>
    <w:p w:rsidR="009F5249" w:rsidRPr="009F5249" w:rsidRDefault="004E138E">
      <w:pPr>
        <w:rPr>
          <w:rFonts w:cs="Arial"/>
          <w:szCs w:val="24"/>
        </w:rPr>
      </w:pPr>
      <w:r w:rsidRPr="009F5249">
        <w:rPr>
          <w:rFonts w:cs="Arial"/>
          <w:szCs w:val="24"/>
        </w:rPr>
        <w:t xml:space="preserve">Meeting to be held on </w:t>
      </w:r>
      <w:r w:rsidR="009F5249" w:rsidRPr="009F5249">
        <w:rPr>
          <w:rFonts w:cs="Arial"/>
          <w:szCs w:val="24"/>
        </w:rPr>
        <w:t>14 July 2016</w:t>
      </w:r>
    </w:p>
    <w:p w:rsidR="009F5249" w:rsidRPr="009F5249" w:rsidRDefault="009F5249">
      <w:pPr>
        <w:rPr>
          <w:rFonts w:cs="Arial"/>
          <w:szCs w:val="24"/>
        </w:rPr>
      </w:pPr>
    </w:p>
    <w:p w:rsidR="00E5514B" w:rsidRPr="009F5249" w:rsidRDefault="00E5514B">
      <w:pPr>
        <w:rPr>
          <w:rFonts w:cs="Arial"/>
          <w:b/>
          <w:szCs w:val="24"/>
        </w:rPr>
      </w:pPr>
      <w:r w:rsidRPr="009F5249">
        <w:rPr>
          <w:rFonts w:cs="Arial"/>
          <w:b/>
          <w:szCs w:val="24"/>
        </w:rPr>
        <w:t xml:space="preserve">Report of the </w:t>
      </w:r>
      <w:r w:rsidR="00656887" w:rsidRPr="009F5249">
        <w:rPr>
          <w:rFonts w:cs="Arial"/>
          <w:b/>
          <w:szCs w:val="24"/>
        </w:rPr>
        <w:t>Director of Financial Resources</w:t>
      </w:r>
    </w:p>
    <w:p w:rsidR="00E5514B" w:rsidRPr="009F5249" w:rsidRDefault="00E5514B">
      <w:pPr>
        <w:rPr>
          <w:rFonts w:cs="Arial"/>
          <w:szCs w:val="24"/>
        </w:rPr>
      </w:pPr>
    </w:p>
    <w:p w:rsidR="00E5514B" w:rsidRPr="009F5249" w:rsidRDefault="00E5514B">
      <w:pPr>
        <w:rPr>
          <w:rFonts w:cs="Arial"/>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E5514B" w:rsidRPr="009F5249">
        <w:tc>
          <w:tcPr>
            <w:tcW w:w="3402" w:type="dxa"/>
          </w:tcPr>
          <w:p w:rsidR="00E5514B" w:rsidRPr="009F5249" w:rsidRDefault="00E5514B">
            <w:pPr>
              <w:pStyle w:val="BodyText"/>
              <w:rPr>
                <w:rFonts w:cs="Arial"/>
                <w:szCs w:val="24"/>
              </w:rPr>
            </w:pPr>
            <w:r w:rsidRPr="009F5249">
              <w:rPr>
                <w:rFonts w:cs="Arial"/>
                <w:szCs w:val="24"/>
              </w:rPr>
              <w:t>Electoral Division</w:t>
            </w:r>
            <w:r w:rsidR="009F5249" w:rsidRPr="009F5249">
              <w:rPr>
                <w:rFonts w:cs="Arial"/>
                <w:szCs w:val="24"/>
              </w:rPr>
              <w:t>s</w:t>
            </w:r>
            <w:r w:rsidRPr="009F5249">
              <w:rPr>
                <w:rFonts w:cs="Arial"/>
                <w:szCs w:val="24"/>
              </w:rPr>
              <w:t xml:space="preserve"> affected:</w:t>
            </w:r>
          </w:p>
          <w:p w:rsidR="00CE2C12" w:rsidRPr="009F5249" w:rsidRDefault="009F5249">
            <w:pPr>
              <w:ind w:right="-250"/>
              <w:rPr>
                <w:rFonts w:cs="Arial"/>
                <w:szCs w:val="24"/>
              </w:rPr>
            </w:pPr>
            <w:r w:rsidRPr="009F5249">
              <w:rPr>
                <w:rFonts w:cs="Arial"/>
                <w:szCs w:val="24"/>
              </w:rPr>
              <w:t>All</w:t>
            </w:r>
          </w:p>
        </w:tc>
      </w:tr>
    </w:tbl>
    <w:p w:rsidR="00E5514B" w:rsidRPr="009F5249" w:rsidRDefault="00E5514B">
      <w:pPr>
        <w:rPr>
          <w:rFonts w:cs="Arial"/>
          <w:b/>
          <w:szCs w:val="24"/>
          <w:u w:val="single"/>
        </w:rPr>
      </w:pPr>
    </w:p>
    <w:p w:rsidR="009F5249" w:rsidRPr="009F5249" w:rsidRDefault="009F5249">
      <w:pPr>
        <w:rPr>
          <w:rFonts w:cs="Arial"/>
          <w:b/>
          <w:szCs w:val="24"/>
        </w:rPr>
      </w:pPr>
    </w:p>
    <w:p w:rsidR="00E5514B" w:rsidRPr="009F5249" w:rsidRDefault="00CE2C12">
      <w:pPr>
        <w:rPr>
          <w:rFonts w:cs="Arial"/>
          <w:b/>
          <w:szCs w:val="24"/>
        </w:rPr>
      </w:pPr>
      <w:r w:rsidRPr="009F5249">
        <w:rPr>
          <w:rFonts w:cs="Arial"/>
          <w:b/>
          <w:szCs w:val="24"/>
        </w:rPr>
        <w:fldChar w:fldCharType="begin"/>
      </w:r>
      <w:r w:rsidRPr="009F5249">
        <w:rPr>
          <w:rFonts w:cs="Arial"/>
          <w:b/>
          <w:szCs w:val="24"/>
        </w:rPr>
        <w:instrText xml:space="preserve"> DOCPROPERTY  IssueTitle  \* MERGEFORMAT </w:instrText>
      </w:r>
      <w:r w:rsidRPr="009F5249">
        <w:rPr>
          <w:rFonts w:cs="Arial"/>
          <w:b/>
          <w:szCs w:val="24"/>
        </w:rPr>
        <w:fldChar w:fldCharType="separate"/>
      </w:r>
      <w:r w:rsidR="00695682" w:rsidRPr="009F5249">
        <w:rPr>
          <w:rFonts w:cs="Arial"/>
          <w:b/>
          <w:szCs w:val="24"/>
        </w:rPr>
        <w:t>The County Council's Financial Position - 2015/16 Outturn</w:t>
      </w:r>
      <w:r w:rsidRPr="009F5249">
        <w:rPr>
          <w:rFonts w:cs="Arial"/>
          <w:b/>
          <w:szCs w:val="24"/>
        </w:rPr>
        <w:fldChar w:fldCharType="end"/>
      </w:r>
    </w:p>
    <w:p w:rsidR="00E5514B" w:rsidRPr="009F5249" w:rsidRDefault="00656887">
      <w:pPr>
        <w:ind w:left="709" w:hanging="709"/>
        <w:rPr>
          <w:rFonts w:cs="Arial"/>
          <w:szCs w:val="24"/>
        </w:rPr>
      </w:pPr>
      <w:r w:rsidRPr="009F5249">
        <w:rPr>
          <w:rFonts w:cs="Arial"/>
          <w:szCs w:val="24"/>
        </w:rPr>
        <w:t>(Appendix 'A' refers)</w:t>
      </w:r>
    </w:p>
    <w:p w:rsidR="00656887" w:rsidRPr="009F5249" w:rsidRDefault="00656887">
      <w:pPr>
        <w:rPr>
          <w:rFonts w:cs="Arial"/>
          <w:szCs w:val="24"/>
        </w:rPr>
      </w:pPr>
    </w:p>
    <w:p w:rsidR="00E5514B" w:rsidRPr="009F5249" w:rsidRDefault="00E5514B">
      <w:pPr>
        <w:ind w:right="-873"/>
        <w:rPr>
          <w:rFonts w:cs="Arial"/>
          <w:szCs w:val="24"/>
        </w:rPr>
      </w:pPr>
      <w:r w:rsidRPr="009F5249">
        <w:rPr>
          <w:rFonts w:cs="Arial"/>
          <w:szCs w:val="24"/>
        </w:rPr>
        <w:t xml:space="preserve">Contact for further information: </w:t>
      </w:r>
    </w:p>
    <w:p w:rsidR="00E5514B" w:rsidRPr="009F5249" w:rsidRDefault="00656887">
      <w:pPr>
        <w:ind w:right="-873"/>
        <w:rPr>
          <w:rFonts w:cs="Arial"/>
          <w:szCs w:val="24"/>
        </w:rPr>
      </w:pPr>
      <w:r w:rsidRPr="009F5249">
        <w:rPr>
          <w:rFonts w:cs="Arial"/>
          <w:szCs w:val="24"/>
        </w:rPr>
        <w:t>Neil Kissock</w:t>
      </w:r>
      <w:r w:rsidR="00E5514B" w:rsidRPr="009F5249">
        <w:rPr>
          <w:rFonts w:cs="Arial"/>
          <w:szCs w:val="24"/>
        </w:rPr>
        <w:t xml:space="preserve">, </w:t>
      </w:r>
      <w:r w:rsidR="009F5249" w:rsidRPr="009F5249">
        <w:rPr>
          <w:rFonts w:cs="Arial"/>
          <w:szCs w:val="24"/>
        </w:rPr>
        <w:t>(</w:t>
      </w:r>
      <w:r w:rsidR="00F95068" w:rsidRPr="009F5249">
        <w:rPr>
          <w:rFonts w:cs="Arial"/>
          <w:szCs w:val="24"/>
        </w:rPr>
        <w:fldChar w:fldCharType="begin"/>
      </w:r>
      <w:r w:rsidR="00F95068" w:rsidRPr="009F5249">
        <w:rPr>
          <w:rFonts w:cs="Arial"/>
          <w:szCs w:val="24"/>
        </w:rPr>
        <w:instrText xml:space="preserve"> DOCPROPERTY  LeadOfficerTel  \* MERGEFORMAT </w:instrText>
      </w:r>
      <w:r w:rsidR="00F95068" w:rsidRPr="009F5249">
        <w:rPr>
          <w:rFonts w:cs="Arial"/>
          <w:szCs w:val="24"/>
        </w:rPr>
        <w:fldChar w:fldCharType="separate"/>
      </w:r>
      <w:r w:rsidR="00695682" w:rsidRPr="009F5249">
        <w:rPr>
          <w:rFonts w:cs="Arial"/>
          <w:szCs w:val="24"/>
        </w:rPr>
        <w:t>01772</w:t>
      </w:r>
      <w:r w:rsidR="009F5249" w:rsidRPr="009F5249">
        <w:rPr>
          <w:rFonts w:cs="Arial"/>
          <w:szCs w:val="24"/>
        </w:rPr>
        <w:t>)</w:t>
      </w:r>
      <w:r w:rsidR="00695682" w:rsidRPr="009F5249">
        <w:rPr>
          <w:rFonts w:cs="Arial"/>
          <w:szCs w:val="24"/>
        </w:rPr>
        <w:t xml:space="preserve"> 5</w:t>
      </w:r>
      <w:r w:rsidR="00F95068" w:rsidRPr="009F5249">
        <w:rPr>
          <w:rFonts w:cs="Arial"/>
          <w:szCs w:val="24"/>
        </w:rPr>
        <w:fldChar w:fldCharType="end"/>
      </w:r>
      <w:r w:rsidRPr="009F5249">
        <w:rPr>
          <w:rFonts w:cs="Arial"/>
          <w:szCs w:val="24"/>
        </w:rPr>
        <w:t>36154</w:t>
      </w:r>
      <w:r w:rsidR="00E5514B" w:rsidRPr="009F5249">
        <w:rPr>
          <w:rFonts w:cs="Arial"/>
          <w:szCs w:val="24"/>
        </w:rPr>
        <w:t xml:space="preserve">, </w:t>
      </w:r>
      <w:r w:rsidRPr="009F5249">
        <w:rPr>
          <w:rFonts w:cs="Arial"/>
          <w:szCs w:val="24"/>
        </w:rPr>
        <w:t>Director of Financial Resources</w:t>
      </w:r>
      <w:r w:rsidR="00FC04A2" w:rsidRPr="009F5249">
        <w:rPr>
          <w:rFonts w:cs="Arial"/>
          <w:szCs w:val="24"/>
        </w:rPr>
        <w:t xml:space="preserve"> </w:t>
      </w:r>
    </w:p>
    <w:p w:rsidR="002B7F8E" w:rsidRPr="009F5249" w:rsidRDefault="009F5249">
      <w:pPr>
        <w:ind w:right="-873"/>
        <w:rPr>
          <w:rFonts w:cs="Arial"/>
          <w:szCs w:val="24"/>
        </w:rPr>
      </w:pPr>
      <w:hyperlink r:id="rId7" w:history="1">
        <w:r w:rsidRPr="009F5249">
          <w:rPr>
            <w:rStyle w:val="Hyperlink"/>
            <w:rFonts w:cs="Arial"/>
            <w:szCs w:val="24"/>
          </w:rPr>
          <w:t>neil.kissock@lancashire.gov.uk</w:t>
        </w:r>
      </w:hyperlink>
    </w:p>
    <w:p w:rsidR="00E5514B" w:rsidRPr="009F5249" w:rsidRDefault="00E5514B">
      <w:pPr>
        <w:rPr>
          <w:rFonts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5514B" w:rsidRPr="009F5249">
        <w:tc>
          <w:tcPr>
            <w:tcW w:w="9180" w:type="dxa"/>
          </w:tcPr>
          <w:p w:rsidR="00E5514B" w:rsidRPr="009F5249" w:rsidRDefault="00E5514B">
            <w:pPr>
              <w:rPr>
                <w:rFonts w:cs="Arial"/>
                <w:b/>
                <w:szCs w:val="24"/>
                <w:u w:val="single"/>
              </w:rPr>
            </w:pPr>
          </w:p>
          <w:p w:rsidR="00E5514B" w:rsidRPr="009F5249" w:rsidRDefault="00E5514B">
            <w:pPr>
              <w:pStyle w:val="Heading6"/>
              <w:rPr>
                <w:rFonts w:ascii="Arial" w:hAnsi="Arial" w:cs="Arial"/>
                <w:szCs w:val="24"/>
              </w:rPr>
            </w:pPr>
            <w:r w:rsidRPr="009F5249">
              <w:rPr>
                <w:rFonts w:ascii="Arial" w:hAnsi="Arial" w:cs="Arial"/>
                <w:szCs w:val="24"/>
              </w:rPr>
              <w:t>Executive Summary</w:t>
            </w:r>
          </w:p>
          <w:p w:rsidR="00E5514B" w:rsidRPr="009F5249" w:rsidRDefault="00E5514B">
            <w:pPr>
              <w:rPr>
                <w:rFonts w:cs="Arial"/>
                <w:b/>
                <w:szCs w:val="24"/>
              </w:rPr>
            </w:pPr>
          </w:p>
          <w:p w:rsidR="00656887" w:rsidRPr="009F5249" w:rsidRDefault="00656887" w:rsidP="009F5249">
            <w:pPr>
              <w:jc w:val="both"/>
              <w:rPr>
                <w:rFonts w:cs="Arial"/>
                <w:szCs w:val="24"/>
              </w:rPr>
            </w:pPr>
            <w:r w:rsidRPr="009F5249">
              <w:rPr>
                <w:rFonts w:cs="Arial"/>
                <w:szCs w:val="24"/>
              </w:rPr>
              <w:t>This report provides a summary of the County Council's financial position at the end of 2015/16.</w:t>
            </w:r>
          </w:p>
          <w:p w:rsidR="00656887" w:rsidRPr="009F5249" w:rsidRDefault="00656887" w:rsidP="009F5249">
            <w:pPr>
              <w:jc w:val="both"/>
              <w:rPr>
                <w:rFonts w:cs="Arial"/>
                <w:szCs w:val="24"/>
              </w:rPr>
            </w:pPr>
          </w:p>
          <w:p w:rsidR="00656887" w:rsidRPr="009F5249" w:rsidRDefault="00B641EE" w:rsidP="009F5249">
            <w:pPr>
              <w:jc w:val="both"/>
              <w:rPr>
                <w:rFonts w:cs="Arial"/>
                <w:szCs w:val="24"/>
              </w:rPr>
            </w:pPr>
            <w:r w:rsidRPr="009F5249">
              <w:rPr>
                <w:rFonts w:cs="Arial"/>
                <w:szCs w:val="24"/>
              </w:rPr>
              <w:t>The County Council's final</w:t>
            </w:r>
            <w:r w:rsidR="009F5249" w:rsidRPr="009F5249">
              <w:rPr>
                <w:rFonts w:cs="Arial"/>
                <w:szCs w:val="24"/>
              </w:rPr>
              <w:t xml:space="preserve"> revenue outturn position is an </w:t>
            </w:r>
            <w:r w:rsidRPr="009F5249">
              <w:rPr>
                <w:rFonts w:cs="Arial"/>
                <w:szCs w:val="24"/>
              </w:rPr>
              <w:t>under</w:t>
            </w:r>
            <w:r w:rsidR="00656887" w:rsidRPr="009F5249">
              <w:rPr>
                <w:rFonts w:cs="Arial"/>
                <w:szCs w:val="24"/>
              </w:rPr>
              <w:t xml:space="preserve">spend </w:t>
            </w:r>
            <w:r w:rsidRPr="009F5249">
              <w:rPr>
                <w:rFonts w:cs="Arial"/>
                <w:szCs w:val="24"/>
              </w:rPr>
              <w:t>o</w:t>
            </w:r>
            <w:r w:rsidR="00656887" w:rsidRPr="009F5249">
              <w:rPr>
                <w:rFonts w:cs="Arial"/>
                <w:szCs w:val="24"/>
              </w:rPr>
              <w:t>f £0.601m</w:t>
            </w:r>
            <w:r w:rsidRPr="009F5249">
              <w:rPr>
                <w:rFonts w:cs="Arial"/>
                <w:szCs w:val="24"/>
              </w:rPr>
              <w:t xml:space="preserve"> against an agreed cash limit budget of £726.675m. </w:t>
            </w:r>
            <w:r w:rsidR="00656887" w:rsidRPr="009F5249">
              <w:rPr>
                <w:rFonts w:cs="Arial"/>
                <w:szCs w:val="24"/>
              </w:rPr>
              <w:t xml:space="preserve"> </w:t>
            </w:r>
          </w:p>
          <w:p w:rsidR="00B641EE" w:rsidRPr="009F5249" w:rsidRDefault="00B641EE" w:rsidP="009F5249">
            <w:pPr>
              <w:jc w:val="both"/>
              <w:rPr>
                <w:rFonts w:cs="Arial"/>
                <w:szCs w:val="24"/>
              </w:rPr>
            </w:pPr>
          </w:p>
          <w:p w:rsidR="00656887" w:rsidRPr="009F5249" w:rsidRDefault="00B641EE" w:rsidP="009F5249">
            <w:pPr>
              <w:jc w:val="both"/>
              <w:rPr>
                <w:rFonts w:cs="Arial"/>
                <w:szCs w:val="24"/>
              </w:rPr>
            </w:pPr>
            <w:r w:rsidRPr="009F5249">
              <w:rPr>
                <w:rFonts w:cs="Arial"/>
                <w:szCs w:val="24"/>
              </w:rPr>
              <w:t xml:space="preserve">The </w:t>
            </w:r>
            <w:r w:rsidR="00FA2024" w:rsidRPr="009F5249">
              <w:rPr>
                <w:rFonts w:cs="Arial"/>
                <w:szCs w:val="24"/>
              </w:rPr>
              <w:t xml:space="preserve">County Council's </w:t>
            </w:r>
            <w:r w:rsidRPr="009F5249">
              <w:rPr>
                <w:rFonts w:cs="Arial"/>
                <w:szCs w:val="24"/>
              </w:rPr>
              <w:t>2015/16</w:t>
            </w:r>
            <w:r w:rsidR="00656887" w:rsidRPr="009F5249">
              <w:rPr>
                <w:rFonts w:cs="Arial"/>
                <w:szCs w:val="24"/>
              </w:rPr>
              <w:t xml:space="preserve"> capital spending </w:t>
            </w:r>
            <w:r w:rsidR="00FA2024" w:rsidRPr="009F5249">
              <w:rPr>
                <w:rFonts w:cs="Arial"/>
                <w:szCs w:val="24"/>
              </w:rPr>
              <w:t xml:space="preserve">(excluding City Deal and non LCC </w:t>
            </w:r>
            <w:r w:rsidR="00264D72" w:rsidRPr="009F5249">
              <w:rPr>
                <w:rFonts w:cs="Arial"/>
                <w:szCs w:val="24"/>
              </w:rPr>
              <w:t>funded schemes</w:t>
            </w:r>
            <w:r w:rsidR="00FA2024" w:rsidRPr="009F5249">
              <w:rPr>
                <w:rFonts w:cs="Arial"/>
                <w:szCs w:val="24"/>
              </w:rPr>
              <w:t xml:space="preserve">) </w:t>
            </w:r>
            <w:r w:rsidR="00656887" w:rsidRPr="009F5249">
              <w:rPr>
                <w:rFonts w:cs="Arial"/>
                <w:szCs w:val="24"/>
              </w:rPr>
              <w:t>in the year was £</w:t>
            </w:r>
            <w:r w:rsidR="00264D72" w:rsidRPr="009F5249">
              <w:rPr>
                <w:rFonts w:cs="Arial"/>
                <w:szCs w:val="24"/>
              </w:rPr>
              <w:t>150.877m</w:t>
            </w:r>
            <w:r w:rsidR="00656887" w:rsidRPr="009F5249">
              <w:rPr>
                <w:rFonts w:cs="Arial"/>
                <w:szCs w:val="24"/>
              </w:rPr>
              <w:t xml:space="preserve">, which equates to </w:t>
            </w:r>
            <w:r w:rsidR="00264D72" w:rsidRPr="009F5249">
              <w:rPr>
                <w:rFonts w:cs="Arial"/>
                <w:szCs w:val="24"/>
              </w:rPr>
              <w:t>58.1%</w:t>
            </w:r>
            <w:r w:rsidR="00656887" w:rsidRPr="009F5249">
              <w:rPr>
                <w:rFonts w:cs="Arial"/>
                <w:szCs w:val="24"/>
              </w:rPr>
              <w:t xml:space="preserve"> of the approved programme. The remaining balance reflects slippage </w:t>
            </w:r>
            <w:r w:rsidR="00264D72" w:rsidRPr="009F5249">
              <w:rPr>
                <w:rFonts w:cs="Arial"/>
                <w:szCs w:val="24"/>
              </w:rPr>
              <w:t>due to a number of different factors detailed in Appendix A</w:t>
            </w:r>
            <w:r w:rsidR="00656887" w:rsidRPr="009F5249">
              <w:rPr>
                <w:rFonts w:cs="Arial"/>
                <w:szCs w:val="24"/>
              </w:rPr>
              <w:t>.</w:t>
            </w:r>
          </w:p>
          <w:p w:rsidR="00B641EE" w:rsidRPr="009F5249" w:rsidRDefault="00B641EE" w:rsidP="009F5249">
            <w:pPr>
              <w:jc w:val="both"/>
              <w:rPr>
                <w:rFonts w:cs="Arial"/>
                <w:szCs w:val="24"/>
              </w:rPr>
            </w:pPr>
          </w:p>
          <w:p w:rsidR="00E5514B" w:rsidRPr="009F5249" w:rsidRDefault="00656887" w:rsidP="009F5249">
            <w:pPr>
              <w:jc w:val="both"/>
              <w:rPr>
                <w:rFonts w:cs="Arial"/>
                <w:szCs w:val="24"/>
              </w:rPr>
            </w:pPr>
            <w:r w:rsidRPr="009F5249">
              <w:rPr>
                <w:rFonts w:cs="Arial"/>
                <w:szCs w:val="24"/>
              </w:rPr>
              <w:t>Although this overall position is favourable, it must be balanced by consideration of the significant pressures facing the Council in 201</w:t>
            </w:r>
            <w:r w:rsidR="00B641EE" w:rsidRPr="009F5249">
              <w:rPr>
                <w:rFonts w:cs="Arial"/>
                <w:szCs w:val="24"/>
              </w:rPr>
              <w:t>6/17</w:t>
            </w:r>
            <w:r w:rsidRPr="009F5249">
              <w:rPr>
                <w:rFonts w:cs="Arial"/>
                <w:szCs w:val="24"/>
              </w:rPr>
              <w:t xml:space="preserve"> and beyond.</w:t>
            </w:r>
          </w:p>
          <w:p w:rsidR="00E5514B" w:rsidRPr="009F5249" w:rsidRDefault="00E5514B">
            <w:pPr>
              <w:rPr>
                <w:rFonts w:cs="Arial"/>
                <w:b/>
                <w:szCs w:val="24"/>
              </w:rPr>
            </w:pPr>
          </w:p>
          <w:p w:rsidR="00E5514B" w:rsidRPr="009F5249" w:rsidRDefault="00E5514B">
            <w:pPr>
              <w:pStyle w:val="Heading5"/>
              <w:rPr>
                <w:rFonts w:ascii="Arial" w:hAnsi="Arial" w:cs="Arial"/>
                <w:szCs w:val="24"/>
                <w:u w:val="none"/>
              </w:rPr>
            </w:pPr>
            <w:r w:rsidRPr="009F5249">
              <w:rPr>
                <w:rFonts w:ascii="Arial" w:hAnsi="Arial" w:cs="Arial"/>
                <w:szCs w:val="24"/>
                <w:u w:val="none"/>
              </w:rPr>
              <w:t>Recommendation</w:t>
            </w:r>
          </w:p>
          <w:p w:rsidR="00E5514B" w:rsidRPr="009F5249" w:rsidRDefault="00E5514B">
            <w:pPr>
              <w:rPr>
                <w:rFonts w:cs="Arial"/>
                <w:szCs w:val="24"/>
              </w:rPr>
            </w:pPr>
          </w:p>
          <w:p w:rsidR="00B641EE" w:rsidRPr="009F5249" w:rsidRDefault="00B641EE" w:rsidP="009F5249">
            <w:pPr>
              <w:jc w:val="both"/>
              <w:rPr>
                <w:rFonts w:cs="Arial"/>
                <w:szCs w:val="24"/>
              </w:rPr>
            </w:pPr>
            <w:r w:rsidRPr="009F5249">
              <w:rPr>
                <w:rFonts w:cs="Arial"/>
                <w:szCs w:val="24"/>
              </w:rPr>
              <w:t>The Cabinet is asked to:</w:t>
            </w:r>
          </w:p>
          <w:p w:rsidR="00B641EE" w:rsidRPr="009F5249" w:rsidRDefault="00B641EE" w:rsidP="009F5249">
            <w:pPr>
              <w:jc w:val="both"/>
              <w:rPr>
                <w:rFonts w:cs="Arial"/>
                <w:szCs w:val="24"/>
              </w:rPr>
            </w:pPr>
          </w:p>
          <w:p w:rsidR="00E5514B" w:rsidRPr="009F5249" w:rsidRDefault="00B641EE" w:rsidP="009F5249">
            <w:pPr>
              <w:numPr>
                <w:ilvl w:val="0"/>
                <w:numId w:val="1"/>
              </w:numPr>
              <w:jc w:val="both"/>
              <w:rPr>
                <w:rFonts w:cs="Arial"/>
                <w:szCs w:val="24"/>
              </w:rPr>
            </w:pPr>
            <w:r w:rsidRPr="009F5249">
              <w:rPr>
                <w:rFonts w:cs="Arial"/>
                <w:szCs w:val="24"/>
              </w:rPr>
              <w:t>Approve the transfer of the</w:t>
            </w:r>
            <w:r w:rsidR="009F5249" w:rsidRPr="009F5249">
              <w:rPr>
                <w:rFonts w:cs="Arial"/>
                <w:szCs w:val="24"/>
              </w:rPr>
              <w:t xml:space="preserve"> 2015/16 underspend to reserves; and</w:t>
            </w:r>
          </w:p>
          <w:p w:rsidR="00B641EE" w:rsidRPr="009F5249" w:rsidRDefault="00B641EE" w:rsidP="009F5249">
            <w:pPr>
              <w:numPr>
                <w:ilvl w:val="0"/>
                <w:numId w:val="1"/>
              </w:numPr>
              <w:jc w:val="both"/>
              <w:rPr>
                <w:rFonts w:cs="Arial"/>
                <w:szCs w:val="24"/>
              </w:rPr>
            </w:pPr>
            <w:r w:rsidRPr="009F5249">
              <w:rPr>
                <w:rFonts w:cs="Arial"/>
                <w:szCs w:val="24"/>
              </w:rPr>
              <w:t xml:space="preserve">Approve that the Capital Programme for 2016/17 </w:t>
            </w:r>
            <w:r w:rsidR="0047736E" w:rsidRPr="009F5249">
              <w:rPr>
                <w:rFonts w:cs="Arial"/>
                <w:szCs w:val="24"/>
              </w:rPr>
              <w:t xml:space="preserve">and </w:t>
            </w:r>
            <w:r w:rsidRPr="009F5249">
              <w:rPr>
                <w:rFonts w:cs="Arial"/>
                <w:szCs w:val="24"/>
              </w:rPr>
              <w:t>onwards be increased by £108.778m to reflect the slippage in 2015/16</w:t>
            </w:r>
            <w:r w:rsidR="00264D72" w:rsidRPr="009F5249">
              <w:rPr>
                <w:rFonts w:cs="Arial"/>
                <w:szCs w:val="24"/>
              </w:rPr>
              <w:t>.</w:t>
            </w:r>
          </w:p>
          <w:p w:rsidR="00E5514B" w:rsidRPr="009F5249" w:rsidRDefault="00E5514B">
            <w:pPr>
              <w:rPr>
                <w:rFonts w:cs="Arial"/>
                <w:szCs w:val="24"/>
              </w:rPr>
            </w:pPr>
          </w:p>
        </w:tc>
      </w:tr>
    </w:tbl>
    <w:p w:rsidR="00E5514B" w:rsidRPr="009F5249" w:rsidRDefault="00E5514B">
      <w:pPr>
        <w:rPr>
          <w:rFonts w:cs="Arial"/>
          <w:b/>
          <w:szCs w:val="24"/>
          <w:u w:val="single"/>
        </w:rPr>
      </w:pPr>
    </w:p>
    <w:p w:rsidR="00DF043B" w:rsidRPr="009F5249" w:rsidRDefault="00DF043B" w:rsidP="00DF043B">
      <w:pPr>
        <w:rPr>
          <w:rFonts w:cs="Arial"/>
          <w:b/>
          <w:szCs w:val="24"/>
        </w:rPr>
      </w:pPr>
      <w:r w:rsidRPr="009F5249">
        <w:rPr>
          <w:rFonts w:cs="Arial"/>
          <w:b/>
          <w:szCs w:val="24"/>
        </w:rPr>
        <w:t xml:space="preserve">Background and Advice </w:t>
      </w:r>
    </w:p>
    <w:p w:rsidR="00DF043B" w:rsidRPr="009F5249" w:rsidRDefault="00DF043B" w:rsidP="00DF043B">
      <w:pPr>
        <w:rPr>
          <w:rFonts w:cs="Arial"/>
          <w:b/>
          <w:szCs w:val="24"/>
        </w:rPr>
      </w:pPr>
    </w:p>
    <w:p w:rsidR="00B641EE" w:rsidRPr="009F5249" w:rsidRDefault="00B641EE" w:rsidP="00B641EE">
      <w:pPr>
        <w:pStyle w:val="Default"/>
      </w:pPr>
      <w:r w:rsidRPr="009F5249">
        <w:t>The detailed report at Appendix 'A' presents the County Council's financial position as at the 31</w:t>
      </w:r>
      <w:r w:rsidRPr="009F5249">
        <w:rPr>
          <w:vertAlign w:val="superscript"/>
        </w:rPr>
        <w:t>st</w:t>
      </w:r>
      <w:r w:rsidRPr="009F5249">
        <w:t xml:space="preserve"> March 201</w:t>
      </w:r>
      <w:r w:rsidR="00264D72" w:rsidRPr="009F5249">
        <w:t>6</w:t>
      </w:r>
      <w:r w:rsidR="009F5249" w:rsidRPr="009F5249">
        <w:t>.</w:t>
      </w:r>
    </w:p>
    <w:p w:rsidR="00B641EE" w:rsidRPr="009F5249" w:rsidRDefault="00B641EE" w:rsidP="00B641EE">
      <w:pPr>
        <w:pStyle w:val="Default"/>
      </w:pPr>
      <w:r w:rsidRPr="009F5249">
        <w:t xml:space="preserve"> </w:t>
      </w:r>
    </w:p>
    <w:p w:rsidR="00DF043B" w:rsidRPr="009F5249" w:rsidRDefault="00B641EE" w:rsidP="00FA2024">
      <w:pPr>
        <w:jc w:val="both"/>
        <w:rPr>
          <w:rFonts w:cs="Arial"/>
          <w:szCs w:val="24"/>
        </w:rPr>
      </w:pPr>
      <w:r w:rsidRPr="009F5249">
        <w:rPr>
          <w:rFonts w:cs="Arial"/>
          <w:szCs w:val="24"/>
        </w:rPr>
        <w:lastRenderedPageBreak/>
        <w:t>Overall, despite a range of pressures, the County Council's financial strategy has developed further over the course of the year in preparation for the challenging times ahead. The report includes the Director of Financial Resources conclusion on the County Council's financial standing at the end of the year.</w:t>
      </w:r>
    </w:p>
    <w:p w:rsidR="005058AE" w:rsidRPr="009F5249" w:rsidRDefault="005058AE">
      <w:pPr>
        <w:rPr>
          <w:rFonts w:cs="Arial"/>
          <w:b/>
          <w:szCs w:val="24"/>
        </w:rPr>
      </w:pPr>
    </w:p>
    <w:p w:rsidR="00E5514B" w:rsidRPr="009F5249" w:rsidRDefault="00E5514B">
      <w:pPr>
        <w:rPr>
          <w:rFonts w:cs="Arial"/>
          <w:b/>
          <w:szCs w:val="24"/>
        </w:rPr>
      </w:pPr>
      <w:r w:rsidRPr="009F5249">
        <w:rPr>
          <w:rFonts w:cs="Arial"/>
          <w:b/>
          <w:szCs w:val="24"/>
        </w:rPr>
        <w:t>Consultations</w:t>
      </w:r>
    </w:p>
    <w:p w:rsidR="00E5514B" w:rsidRPr="009F5249" w:rsidRDefault="00E5514B">
      <w:pPr>
        <w:rPr>
          <w:rFonts w:cs="Arial"/>
          <w:b/>
          <w:szCs w:val="24"/>
        </w:rPr>
      </w:pPr>
    </w:p>
    <w:p w:rsidR="00E5514B" w:rsidRPr="009F5249" w:rsidRDefault="00B641EE">
      <w:pPr>
        <w:rPr>
          <w:rFonts w:cs="Arial"/>
          <w:szCs w:val="24"/>
        </w:rPr>
      </w:pPr>
      <w:r w:rsidRPr="009F5249">
        <w:rPr>
          <w:rFonts w:cs="Arial"/>
          <w:szCs w:val="24"/>
        </w:rPr>
        <w:t>N/A</w:t>
      </w:r>
    </w:p>
    <w:p w:rsidR="00E5514B" w:rsidRPr="009F5249" w:rsidRDefault="00E5514B">
      <w:pPr>
        <w:pStyle w:val="Header"/>
        <w:rPr>
          <w:rFonts w:ascii="Arial" w:hAnsi="Arial" w:cs="Arial"/>
          <w:szCs w:val="24"/>
        </w:rPr>
      </w:pPr>
    </w:p>
    <w:p w:rsidR="00E5514B" w:rsidRPr="009F5249" w:rsidRDefault="00E5514B">
      <w:pPr>
        <w:rPr>
          <w:rFonts w:cs="Arial"/>
          <w:szCs w:val="24"/>
        </w:rPr>
      </w:pPr>
      <w:r w:rsidRPr="009F5249">
        <w:rPr>
          <w:rFonts w:cs="Arial"/>
          <w:b/>
          <w:szCs w:val="24"/>
        </w:rPr>
        <w:t>Implications</w:t>
      </w:r>
      <w:r w:rsidRPr="009F5249">
        <w:rPr>
          <w:rFonts w:cs="Arial"/>
          <w:szCs w:val="24"/>
        </w:rPr>
        <w:t xml:space="preserve">: </w:t>
      </w:r>
    </w:p>
    <w:p w:rsidR="00DF043B" w:rsidRPr="009F5249" w:rsidRDefault="00DF043B">
      <w:pPr>
        <w:rPr>
          <w:rFonts w:cs="Arial"/>
          <w:szCs w:val="24"/>
        </w:rPr>
      </w:pPr>
    </w:p>
    <w:p w:rsidR="00E5514B" w:rsidRPr="009F5249" w:rsidRDefault="00E5514B">
      <w:pPr>
        <w:rPr>
          <w:rFonts w:cs="Arial"/>
          <w:szCs w:val="24"/>
        </w:rPr>
      </w:pPr>
      <w:r w:rsidRPr="009F5249">
        <w:rPr>
          <w:rFonts w:cs="Arial"/>
          <w:szCs w:val="24"/>
        </w:rPr>
        <w:t>This item has the following implications, as indicated:</w:t>
      </w:r>
    </w:p>
    <w:p w:rsidR="00E5514B" w:rsidRPr="009F5249" w:rsidRDefault="00E5514B">
      <w:pPr>
        <w:rPr>
          <w:rFonts w:cs="Arial"/>
          <w:szCs w:val="24"/>
        </w:rPr>
      </w:pPr>
    </w:p>
    <w:p w:rsidR="00FC04A2" w:rsidRPr="009F5249" w:rsidRDefault="00FC04A2" w:rsidP="00FC04A2">
      <w:pPr>
        <w:rPr>
          <w:rFonts w:cs="Arial"/>
          <w:b/>
          <w:szCs w:val="24"/>
        </w:rPr>
      </w:pPr>
      <w:r w:rsidRPr="009F5249">
        <w:rPr>
          <w:rFonts w:cs="Arial"/>
          <w:b/>
          <w:szCs w:val="24"/>
        </w:rPr>
        <w:t>Risk management</w:t>
      </w:r>
    </w:p>
    <w:p w:rsidR="00FC04A2" w:rsidRPr="009F5249" w:rsidRDefault="00FC04A2" w:rsidP="00FC04A2">
      <w:pPr>
        <w:rPr>
          <w:rFonts w:cs="Arial"/>
          <w:szCs w:val="24"/>
        </w:rPr>
      </w:pPr>
    </w:p>
    <w:p w:rsidR="00FC04A2" w:rsidRPr="009F5249" w:rsidRDefault="00B641EE" w:rsidP="009F5249">
      <w:pPr>
        <w:jc w:val="both"/>
        <w:rPr>
          <w:rFonts w:cs="Arial"/>
          <w:szCs w:val="24"/>
        </w:rPr>
      </w:pPr>
      <w:r w:rsidRPr="009F5249">
        <w:rPr>
          <w:rFonts w:cs="Arial"/>
          <w:szCs w:val="24"/>
        </w:rPr>
        <w:t>The County Council's overall approach to managing financial risks continues to be to identify and acknowledge risks early and build their impact into financial plans while continuing to develop strategies which will minimise their impact. This approach operates in parallel with the identification and setting aside of sufficient resources to manage the financial impact of the change risks facing the organisation.</w:t>
      </w:r>
    </w:p>
    <w:p w:rsidR="00E5514B" w:rsidRPr="009F5249" w:rsidRDefault="00E5514B">
      <w:pPr>
        <w:rPr>
          <w:rFonts w:cs="Arial"/>
          <w:szCs w:val="24"/>
        </w:rPr>
      </w:pPr>
    </w:p>
    <w:p w:rsidR="00E5514B" w:rsidRPr="009F5249" w:rsidRDefault="00E5514B">
      <w:pPr>
        <w:pStyle w:val="Heading5"/>
        <w:rPr>
          <w:rFonts w:ascii="Arial" w:hAnsi="Arial" w:cs="Arial"/>
          <w:szCs w:val="24"/>
          <w:u w:val="none"/>
        </w:rPr>
      </w:pPr>
      <w:r w:rsidRPr="009F5249">
        <w:rPr>
          <w:rFonts w:ascii="Arial" w:hAnsi="Arial" w:cs="Arial"/>
          <w:szCs w:val="24"/>
          <w:u w:val="none"/>
        </w:rPr>
        <w:t>List of Background Papers</w:t>
      </w:r>
    </w:p>
    <w:p w:rsidR="00E5514B" w:rsidRPr="009F5249" w:rsidRDefault="00E5514B">
      <w:pPr>
        <w:rPr>
          <w:rFonts w:cs="Arial"/>
          <w:szCs w:val="24"/>
        </w:rPr>
      </w:pPr>
    </w:p>
    <w:tbl>
      <w:tblPr>
        <w:tblW w:w="0" w:type="auto"/>
        <w:tblLayout w:type="fixed"/>
        <w:tblLook w:val="0000" w:firstRow="0" w:lastRow="0" w:firstColumn="0" w:lastColumn="0" w:noHBand="0" w:noVBand="0"/>
      </w:tblPr>
      <w:tblGrid>
        <w:gridCol w:w="3227"/>
        <w:gridCol w:w="2775"/>
        <w:gridCol w:w="3178"/>
      </w:tblGrid>
      <w:tr w:rsidR="00E5514B" w:rsidRPr="009F5249">
        <w:trPr>
          <w:trHeight w:val="113"/>
        </w:trPr>
        <w:tc>
          <w:tcPr>
            <w:tcW w:w="3227" w:type="dxa"/>
          </w:tcPr>
          <w:p w:rsidR="00E5514B" w:rsidRPr="009F5249" w:rsidRDefault="00E5514B">
            <w:pPr>
              <w:pStyle w:val="Heading7"/>
              <w:rPr>
                <w:rFonts w:ascii="Arial" w:hAnsi="Arial" w:cs="Arial"/>
                <w:szCs w:val="24"/>
                <w:u w:val="none"/>
              </w:rPr>
            </w:pPr>
            <w:r w:rsidRPr="009F5249">
              <w:rPr>
                <w:rFonts w:ascii="Arial" w:hAnsi="Arial" w:cs="Arial"/>
                <w:szCs w:val="24"/>
                <w:u w:val="none"/>
              </w:rPr>
              <w:t>Paper</w:t>
            </w:r>
          </w:p>
        </w:tc>
        <w:tc>
          <w:tcPr>
            <w:tcW w:w="2775" w:type="dxa"/>
          </w:tcPr>
          <w:p w:rsidR="00E5514B" w:rsidRPr="009F5249" w:rsidRDefault="00E5514B">
            <w:pPr>
              <w:pStyle w:val="Heading7"/>
              <w:rPr>
                <w:rFonts w:ascii="Arial" w:hAnsi="Arial" w:cs="Arial"/>
                <w:szCs w:val="24"/>
                <w:u w:val="none"/>
              </w:rPr>
            </w:pPr>
            <w:r w:rsidRPr="009F5249">
              <w:rPr>
                <w:rFonts w:ascii="Arial" w:hAnsi="Arial" w:cs="Arial"/>
                <w:szCs w:val="24"/>
                <w:u w:val="none"/>
              </w:rPr>
              <w:t>Date</w:t>
            </w:r>
          </w:p>
        </w:tc>
        <w:tc>
          <w:tcPr>
            <w:tcW w:w="3178" w:type="dxa"/>
          </w:tcPr>
          <w:p w:rsidR="00E5514B" w:rsidRPr="009F5249" w:rsidRDefault="00E5514B" w:rsidP="00707981">
            <w:pPr>
              <w:pStyle w:val="Heading7"/>
              <w:rPr>
                <w:rFonts w:ascii="Arial" w:hAnsi="Arial" w:cs="Arial"/>
                <w:szCs w:val="24"/>
                <w:u w:val="none"/>
              </w:rPr>
            </w:pPr>
            <w:r w:rsidRPr="009F5249">
              <w:rPr>
                <w:rFonts w:ascii="Arial" w:hAnsi="Arial" w:cs="Arial"/>
                <w:szCs w:val="24"/>
                <w:u w:val="none"/>
              </w:rPr>
              <w:t>Contact/</w:t>
            </w:r>
            <w:r w:rsidR="00FC04A2" w:rsidRPr="009F5249">
              <w:rPr>
                <w:rFonts w:ascii="Arial" w:hAnsi="Arial" w:cs="Arial"/>
                <w:szCs w:val="24"/>
                <w:u w:val="none"/>
              </w:rPr>
              <w:t>Tel</w:t>
            </w:r>
          </w:p>
        </w:tc>
      </w:tr>
      <w:tr w:rsidR="00E5514B" w:rsidRPr="009F5249">
        <w:tc>
          <w:tcPr>
            <w:tcW w:w="3227" w:type="dxa"/>
          </w:tcPr>
          <w:p w:rsidR="00E5514B" w:rsidRPr="009F5249" w:rsidRDefault="00E5514B">
            <w:pPr>
              <w:pStyle w:val="Heading7"/>
              <w:rPr>
                <w:rFonts w:ascii="Arial" w:hAnsi="Arial" w:cs="Arial"/>
                <w:szCs w:val="24"/>
              </w:rPr>
            </w:pPr>
          </w:p>
          <w:p w:rsidR="00E5514B" w:rsidRPr="009F5249" w:rsidRDefault="00B641EE">
            <w:pPr>
              <w:rPr>
                <w:rFonts w:cs="Arial"/>
                <w:szCs w:val="24"/>
              </w:rPr>
            </w:pPr>
            <w:r w:rsidRPr="009F5249">
              <w:rPr>
                <w:rFonts w:cs="Arial"/>
                <w:bCs/>
                <w:szCs w:val="24"/>
              </w:rPr>
              <w:t>Money Matters – The Financial Strategy for 2016/17 to 2020/21</w:t>
            </w:r>
          </w:p>
        </w:tc>
        <w:tc>
          <w:tcPr>
            <w:tcW w:w="2775" w:type="dxa"/>
          </w:tcPr>
          <w:p w:rsidR="00E5514B" w:rsidRPr="009F5249" w:rsidRDefault="00E5514B">
            <w:pPr>
              <w:pStyle w:val="Heading7"/>
              <w:rPr>
                <w:rFonts w:ascii="Arial" w:hAnsi="Arial" w:cs="Arial"/>
                <w:szCs w:val="24"/>
              </w:rPr>
            </w:pPr>
          </w:p>
          <w:p w:rsidR="00E5514B" w:rsidRPr="009F5249" w:rsidRDefault="00B641EE">
            <w:pPr>
              <w:rPr>
                <w:rFonts w:cs="Arial"/>
                <w:szCs w:val="24"/>
              </w:rPr>
            </w:pPr>
            <w:r w:rsidRPr="009F5249">
              <w:rPr>
                <w:rFonts w:cs="Arial"/>
                <w:szCs w:val="24"/>
              </w:rPr>
              <w:t>21</w:t>
            </w:r>
            <w:r w:rsidRPr="009F5249">
              <w:rPr>
                <w:rFonts w:cs="Arial"/>
                <w:szCs w:val="24"/>
                <w:vertAlign w:val="superscript"/>
              </w:rPr>
              <w:t xml:space="preserve">st </w:t>
            </w:r>
            <w:r w:rsidRPr="009F5249">
              <w:rPr>
                <w:rFonts w:cs="Arial"/>
                <w:szCs w:val="24"/>
              </w:rPr>
              <w:t>January 2016</w:t>
            </w:r>
          </w:p>
        </w:tc>
        <w:tc>
          <w:tcPr>
            <w:tcW w:w="3178" w:type="dxa"/>
          </w:tcPr>
          <w:p w:rsidR="00E5514B" w:rsidRPr="009F5249" w:rsidRDefault="00E5514B">
            <w:pPr>
              <w:rPr>
                <w:rFonts w:cs="Arial"/>
                <w:szCs w:val="24"/>
                <w:u w:val="single"/>
              </w:rPr>
            </w:pPr>
          </w:p>
          <w:p w:rsidR="00E5514B" w:rsidRPr="009F5249" w:rsidRDefault="00FA2024" w:rsidP="00B641EE">
            <w:pPr>
              <w:rPr>
                <w:rFonts w:cs="Arial"/>
                <w:szCs w:val="24"/>
              </w:rPr>
            </w:pPr>
            <w:r w:rsidRPr="009F5249">
              <w:rPr>
                <w:rFonts w:cs="Arial"/>
                <w:szCs w:val="24"/>
              </w:rPr>
              <w:t xml:space="preserve">Neil Kissock </w:t>
            </w:r>
            <w:r w:rsidR="00B641EE" w:rsidRPr="009F5249">
              <w:rPr>
                <w:rFonts w:cs="Arial"/>
                <w:szCs w:val="24"/>
              </w:rPr>
              <w:t>x34715</w:t>
            </w:r>
          </w:p>
        </w:tc>
      </w:tr>
      <w:tr w:rsidR="00E5514B" w:rsidRPr="009F5249">
        <w:tc>
          <w:tcPr>
            <w:tcW w:w="9180" w:type="dxa"/>
            <w:gridSpan w:val="3"/>
          </w:tcPr>
          <w:p w:rsidR="00E5514B" w:rsidRPr="009F5249" w:rsidRDefault="00E5514B">
            <w:pPr>
              <w:pStyle w:val="Heading7"/>
              <w:rPr>
                <w:rFonts w:ascii="Arial" w:hAnsi="Arial" w:cs="Arial"/>
                <w:szCs w:val="24"/>
                <w:u w:val="none"/>
              </w:rPr>
            </w:pPr>
          </w:p>
          <w:p w:rsidR="009F5249" w:rsidRPr="009F5249" w:rsidRDefault="009F5249" w:rsidP="009F5249">
            <w:pPr>
              <w:pStyle w:val="Heading7"/>
              <w:rPr>
                <w:rFonts w:ascii="Arial" w:hAnsi="Arial" w:cs="Arial"/>
                <w:szCs w:val="24"/>
                <w:u w:val="none"/>
              </w:rPr>
            </w:pPr>
            <w:r w:rsidRPr="009F5249">
              <w:rPr>
                <w:rFonts w:ascii="Arial" w:hAnsi="Arial" w:cs="Arial"/>
                <w:szCs w:val="24"/>
                <w:u w:val="none"/>
              </w:rPr>
              <w:t>Reason for inclusion in Part II, if appropriate</w:t>
            </w:r>
          </w:p>
          <w:p w:rsidR="009F5249" w:rsidRPr="009F5249" w:rsidRDefault="009F5249" w:rsidP="009F5249">
            <w:pPr>
              <w:rPr>
                <w:rFonts w:cs="Arial"/>
                <w:szCs w:val="24"/>
              </w:rPr>
            </w:pPr>
          </w:p>
          <w:p w:rsidR="00E5514B" w:rsidRPr="009F5249" w:rsidRDefault="009F5249">
            <w:pPr>
              <w:rPr>
                <w:rFonts w:cs="Arial"/>
                <w:szCs w:val="24"/>
              </w:rPr>
            </w:pPr>
            <w:r w:rsidRPr="009F5249">
              <w:rPr>
                <w:rFonts w:cs="Arial"/>
                <w:szCs w:val="24"/>
              </w:rPr>
              <w:t>N/A</w:t>
            </w:r>
          </w:p>
          <w:p w:rsidR="00E5514B" w:rsidRPr="009F5249" w:rsidRDefault="00E5514B">
            <w:pPr>
              <w:rPr>
                <w:rFonts w:cs="Arial"/>
                <w:szCs w:val="24"/>
              </w:rPr>
            </w:pPr>
          </w:p>
          <w:p w:rsidR="00E5514B" w:rsidRPr="009F5249" w:rsidRDefault="00E5514B">
            <w:pPr>
              <w:rPr>
                <w:rFonts w:cs="Arial"/>
                <w:szCs w:val="24"/>
              </w:rPr>
            </w:pPr>
          </w:p>
        </w:tc>
        <w:bookmarkStart w:id="0" w:name="_GoBack"/>
        <w:bookmarkEnd w:id="0"/>
      </w:tr>
    </w:tbl>
    <w:p w:rsidR="00E5514B" w:rsidRPr="009F5249" w:rsidRDefault="00E5514B">
      <w:pPr>
        <w:rPr>
          <w:rFonts w:cs="Arial"/>
          <w:szCs w:val="24"/>
        </w:rPr>
      </w:pPr>
    </w:p>
    <w:sectPr w:rsidR="00E5514B" w:rsidRPr="009F5249">
      <w:footerReference w:type="default" r:id="rId8"/>
      <w:footerReference w:type="first" r:id="rId9"/>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804" w:rsidRDefault="00841804">
      <w:r>
        <w:separator/>
      </w:r>
    </w:p>
  </w:endnote>
  <w:endnote w:type="continuationSeparator" w:id="0">
    <w:p w:rsidR="00841804" w:rsidRDefault="0084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DF043B">
      <w:tc>
        <w:tcPr>
          <w:tcW w:w="9243" w:type="dxa"/>
          <w:tcBorders>
            <w:top w:val="nil"/>
            <w:left w:val="nil"/>
            <w:bottom w:val="nil"/>
            <w:right w:val="nil"/>
          </w:tcBorders>
        </w:tcPr>
        <w:p w:rsidR="00DF043B" w:rsidRDefault="00DF043B">
          <w:pPr>
            <w:pStyle w:val="Footer"/>
            <w:tabs>
              <w:tab w:val="clear" w:pos="4153"/>
            </w:tabs>
            <w:ind w:right="-45"/>
            <w:jc w:val="right"/>
          </w:pPr>
        </w:p>
      </w:tc>
    </w:tr>
  </w:tbl>
  <w:p w:rsidR="00DF043B" w:rsidRDefault="00DF043B">
    <w:pPr>
      <w:pStyle w:val="Footer"/>
      <w:tabs>
        <w:tab w:val="clear" w:pos="4153"/>
      </w:tabs>
      <w:ind w:right="-45"/>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6487C">
      <w:tc>
        <w:tcPr>
          <w:tcW w:w="9243" w:type="dxa"/>
          <w:tcBorders>
            <w:top w:val="nil"/>
            <w:left w:val="nil"/>
            <w:bottom w:val="nil"/>
            <w:right w:val="nil"/>
          </w:tcBorders>
        </w:tcPr>
        <w:p w:rsidR="0036487C" w:rsidRDefault="0021059C" w:rsidP="004D419B">
          <w:pPr>
            <w:pStyle w:val="Footer"/>
            <w:tabs>
              <w:tab w:val="clear" w:pos="4153"/>
            </w:tabs>
            <w:ind w:right="-45"/>
            <w:jc w:val="right"/>
          </w:pPr>
          <w:r>
            <w:rPr>
              <w:noProof/>
            </w:rPr>
            <w:drawing>
              <wp:inline distT="0" distB="0" distL="0" distR="0">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r>
  </w:tbl>
  <w:p w:rsidR="00DF043B" w:rsidRPr="0036487C" w:rsidRDefault="00DF043B" w:rsidP="00364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804" w:rsidRDefault="00841804">
      <w:r>
        <w:separator/>
      </w:r>
    </w:p>
  </w:footnote>
  <w:footnote w:type="continuationSeparator" w:id="0">
    <w:p w:rsidR="00841804" w:rsidRDefault="008418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C7C77"/>
    <w:multiLevelType w:val="hybridMultilevel"/>
    <w:tmpl w:val="931AE76C"/>
    <w:lvl w:ilvl="0" w:tplc="2F3A2B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707F7"/>
    <w:multiLevelType w:val="hybridMultilevel"/>
    <w:tmpl w:val="DAE649FC"/>
    <w:lvl w:ilvl="0" w:tplc="1CC40234">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4B"/>
    <w:rsid w:val="00002719"/>
    <w:rsid w:val="000E24D7"/>
    <w:rsid w:val="0021059C"/>
    <w:rsid w:val="00245237"/>
    <w:rsid w:val="00264D72"/>
    <w:rsid w:val="002A44DA"/>
    <w:rsid w:val="002B7F8E"/>
    <w:rsid w:val="003254F5"/>
    <w:rsid w:val="0036487C"/>
    <w:rsid w:val="0047736E"/>
    <w:rsid w:val="004D419B"/>
    <w:rsid w:val="004E138E"/>
    <w:rsid w:val="004F0E44"/>
    <w:rsid w:val="005058AE"/>
    <w:rsid w:val="005548DD"/>
    <w:rsid w:val="0060036F"/>
    <w:rsid w:val="00626F7D"/>
    <w:rsid w:val="00655131"/>
    <w:rsid w:val="00656887"/>
    <w:rsid w:val="00670BC1"/>
    <w:rsid w:val="00695682"/>
    <w:rsid w:val="006F0238"/>
    <w:rsid w:val="00701D64"/>
    <w:rsid w:val="00707981"/>
    <w:rsid w:val="00782B20"/>
    <w:rsid w:val="00841804"/>
    <w:rsid w:val="00846540"/>
    <w:rsid w:val="00864579"/>
    <w:rsid w:val="008664DE"/>
    <w:rsid w:val="0088697C"/>
    <w:rsid w:val="008E3BC3"/>
    <w:rsid w:val="00911715"/>
    <w:rsid w:val="009F5249"/>
    <w:rsid w:val="00A2745C"/>
    <w:rsid w:val="00AF3C5C"/>
    <w:rsid w:val="00B22EB7"/>
    <w:rsid w:val="00B52950"/>
    <w:rsid w:val="00B641EE"/>
    <w:rsid w:val="00BA5465"/>
    <w:rsid w:val="00C520A5"/>
    <w:rsid w:val="00CE2C12"/>
    <w:rsid w:val="00CF7BC0"/>
    <w:rsid w:val="00D648E4"/>
    <w:rsid w:val="00D7557F"/>
    <w:rsid w:val="00DA6F1A"/>
    <w:rsid w:val="00DC5683"/>
    <w:rsid w:val="00DF043B"/>
    <w:rsid w:val="00DF2594"/>
    <w:rsid w:val="00E5514B"/>
    <w:rsid w:val="00F95068"/>
    <w:rsid w:val="00FA2024"/>
    <w:rsid w:val="00FB0AA1"/>
    <w:rsid w:val="00FB0C96"/>
    <w:rsid w:val="00FC0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3134F4-B833-45B6-BF6E-E312A86D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3BC3"/>
    <w:rPr>
      <w:rFonts w:ascii="Tahoma" w:hAnsi="Tahoma" w:cs="Tahoma"/>
      <w:sz w:val="16"/>
      <w:szCs w:val="16"/>
    </w:rPr>
  </w:style>
  <w:style w:type="paragraph" w:styleId="ListParagraph">
    <w:name w:val="List Paragraph"/>
    <w:basedOn w:val="Normal"/>
    <w:uiPriority w:val="34"/>
    <w:unhideWhenUsed/>
    <w:qFormat/>
    <w:rsid w:val="00B641EE"/>
    <w:pPr>
      <w:autoSpaceDE w:val="0"/>
      <w:autoSpaceDN w:val="0"/>
      <w:adjustRightInd w:val="0"/>
      <w:spacing w:after="120"/>
      <w:ind w:left="720"/>
      <w:contextualSpacing/>
      <w:jc w:val="both"/>
    </w:pPr>
    <w:rPr>
      <w:rFonts w:eastAsia="Calibri" w:cs="Helvetica-Light"/>
      <w:color w:val="000000"/>
      <w:szCs w:val="24"/>
      <w:lang w:eastAsia="en-US"/>
    </w:rPr>
  </w:style>
  <w:style w:type="paragraph" w:customStyle="1" w:styleId="Default">
    <w:name w:val="Default"/>
    <w:rsid w:val="00B641E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9F52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eil.kissock@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3b%20-%20Report%20to%20Cabinet%20from%20Chief%20Officers%20-%20for%20Decision%20or%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Annex 3b - Report to Cabinet from Chief Officers - for Decision or Information.dot</Template>
  <TotalTime>17</TotalTime>
  <Pages>2</Pages>
  <Words>359</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Report to Cabinet or Cabinet Committee</vt:lpstr>
    </vt:vector>
  </TitlesOfParts>
  <Company>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Cabinet or Cabinet Committee</dc:title>
  <dc:subject/>
  <dc:creator>C Mather</dc:creator>
  <cp:keywords/>
  <dc:description>22.1.13</dc:description>
  <cp:lastModifiedBy>Evenson, Maya</cp:lastModifiedBy>
  <cp:revision>4</cp:revision>
  <cp:lastPrinted>2016-07-05T13:41:00Z</cp:lastPrinted>
  <dcterms:created xsi:type="dcterms:W3CDTF">2016-07-05T08:25:00Z</dcterms:created>
  <dcterms:modified xsi:type="dcterms:W3CDTF">2016-07-05T13:41:00Z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Executive Scrutiny Committee</vt:lpwstr>
  </property>
  <property fmtid="{D5CDD505-2E9C-101B-9397-08002B2CF9AE}" pid="3" name="MeetingDate">
    <vt:lpwstr>Tuesday, 12 July 2016</vt:lpwstr>
  </property>
  <property fmtid="{D5CDD505-2E9C-101B-9397-08002B2CF9AE}" pid="4" name="IssueTitle">
    <vt:lpwstr>The County Council's Financial Position - 2015/16 Outturn</vt:lpwstr>
  </property>
  <property fmtid="{D5CDD505-2E9C-101B-9397-08002B2CF9AE}" pid="5" name="LeadOfficer">
    <vt:lpwstr>Kate Lee</vt:lpwstr>
  </property>
  <property fmtid="{D5CDD505-2E9C-101B-9397-08002B2CF9AE}" pid="6" name="Wards">
    <vt:lpwstr>(All Divisions);</vt:lpwstr>
  </property>
  <property fmtid="{D5CDD505-2E9C-101B-9397-08002B2CF9AE}" pid="7" name="LeadOfficerEmail">
    <vt:lpwstr>kate.lee@lancashire.gov.uk</vt:lpwstr>
  </property>
  <property fmtid="{D5CDD505-2E9C-101B-9397-08002B2CF9AE}" pid="8" name="LeadOfficerTel">
    <vt:lpwstr>Tel: 01772 531733</vt:lpwstr>
  </property>
</Properties>
</file>