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Default="005049C5">
      <w:pPr>
        <w:rPr>
          <w:b/>
        </w:rPr>
      </w:pPr>
      <w:r>
        <w:rPr>
          <w:b/>
        </w:rPr>
        <w:t>Meeting of the Full Council</w:t>
      </w:r>
    </w:p>
    <w:p w:rsidR="005049C5" w:rsidRDefault="005049C5">
      <w:pPr>
        <w:rPr>
          <w:b/>
        </w:rPr>
      </w:pPr>
      <w:r>
        <w:rPr>
          <w:b/>
        </w:rPr>
        <w:t xml:space="preserve">Meeting to be held on </w:t>
      </w:r>
      <w:r w:rsidR="00DB7E1A">
        <w:rPr>
          <w:b/>
        </w:rPr>
        <w:t>9</w:t>
      </w:r>
      <w:r w:rsidR="00B921E9">
        <w:rPr>
          <w:b/>
        </w:rPr>
        <w:t xml:space="preserve"> February </w:t>
      </w:r>
      <w:r w:rsidR="00DB7E1A">
        <w:rPr>
          <w:b/>
        </w:rPr>
        <w:t>2017</w:t>
      </w:r>
    </w:p>
    <w:p w:rsidR="005049C5" w:rsidRDefault="005049C5"/>
    <w:p w:rsidR="005049C5" w:rsidRDefault="00B921E9">
      <w:pPr>
        <w:rPr>
          <w:b/>
          <w:u w:val="single"/>
        </w:rPr>
      </w:pPr>
      <w:r>
        <w:t>Report submitted by</w:t>
      </w:r>
      <w:r w:rsidR="005049C5">
        <w:t xml:space="preserve"> </w:t>
      </w:r>
      <w:r>
        <w:t xml:space="preserve">the </w:t>
      </w:r>
      <w:r w:rsidR="0066403B" w:rsidRPr="0066403B">
        <w:t>D</w:t>
      </w:r>
      <w:r w:rsidR="0066403B">
        <w:t>irector</w:t>
      </w:r>
      <w:r w:rsidR="0066403B" w:rsidRPr="0066403B">
        <w:t xml:space="preserve"> </w:t>
      </w:r>
      <w:r w:rsidR="0066403B">
        <w:t>of</w:t>
      </w:r>
      <w:r w:rsidR="0066403B" w:rsidRPr="0066403B">
        <w:t xml:space="preserve"> F</w:t>
      </w:r>
      <w:r w:rsidR="0066403B">
        <w:t>inancial</w:t>
      </w:r>
      <w:r w:rsidR="0066403B" w:rsidRPr="0066403B">
        <w:t xml:space="preserve"> R</w:t>
      </w:r>
      <w:r w:rsidR="0066403B">
        <w:t>esources</w:t>
      </w:r>
    </w:p>
    <w:tbl>
      <w:tblPr>
        <w:tblpPr w:leftFromText="180" w:rightFromText="180" w:vertAnchor="text" w:horzAnchor="margin" w:tblpXSpec="right" w:tblpY="32"/>
        <w:tblW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46"/>
      </w:tblGrid>
      <w:tr w:rsidR="00B57078" w:rsidTr="00B57078">
        <w:trPr>
          <w:gridBefore w:val="1"/>
          <w:wBefore w:w="2093" w:type="dxa"/>
        </w:trPr>
        <w:tc>
          <w:tcPr>
            <w:tcW w:w="1246" w:type="dxa"/>
            <w:tcBorders>
              <w:top w:val="single" w:sz="4" w:space="0" w:color="auto"/>
              <w:left w:val="single" w:sz="4" w:space="0" w:color="auto"/>
              <w:bottom w:val="single" w:sz="4" w:space="0" w:color="auto"/>
              <w:right w:val="single" w:sz="4" w:space="0" w:color="auto"/>
            </w:tcBorders>
          </w:tcPr>
          <w:p w:rsidR="00B57078" w:rsidRPr="00B57078" w:rsidRDefault="00B57078" w:rsidP="00B921E9">
            <w:pPr>
              <w:rPr>
                <w:b/>
                <w:sz w:val="28"/>
                <w:szCs w:val="28"/>
              </w:rPr>
            </w:pPr>
            <w:r w:rsidRPr="00B57078">
              <w:rPr>
                <w:b/>
                <w:sz w:val="28"/>
                <w:szCs w:val="28"/>
              </w:rPr>
              <w:t xml:space="preserve">Part </w:t>
            </w:r>
            <w:r w:rsidR="00B921E9">
              <w:rPr>
                <w:b/>
                <w:sz w:val="28"/>
                <w:szCs w:val="28"/>
              </w:rPr>
              <w:t>A</w:t>
            </w:r>
          </w:p>
        </w:tc>
      </w:tr>
      <w:tr w:rsidR="00B57078" w:rsidTr="00B57078">
        <w:tc>
          <w:tcPr>
            <w:tcW w:w="3339" w:type="dxa"/>
            <w:gridSpan w:val="2"/>
            <w:tcBorders>
              <w:top w:val="nil"/>
              <w:left w:val="nil"/>
              <w:bottom w:val="nil"/>
              <w:right w:val="nil"/>
            </w:tcBorders>
          </w:tcPr>
          <w:p w:rsidR="00B57078" w:rsidRPr="00B57078" w:rsidRDefault="00B57078" w:rsidP="00B57078">
            <w:pPr>
              <w:rPr>
                <w:b/>
                <w:sz w:val="28"/>
                <w:szCs w:val="28"/>
              </w:rPr>
            </w:pPr>
          </w:p>
        </w:tc>
      </w:tr>
      <w:tr w:rsidR="00B57078" w:rsidTr="00B57078">
        <w:tc>
          <w:tcPr>
            <w:tcW w:w="3339" w:type="dxa"/>
            <w:gridSpan w:val="2"/>
            <w:tcBorders>
              <w:top w:val="single" w:sz="4" w:space="0" w:color="auto"/>
            </w:tcBorders>
          </w:tcPr>
          <w:p w:rsidR="00B57078" w:rsidRPr="003A11ED" w:rsidRDefault="00B57078" w:rsidP="00B57078">
            <w:pPr>
              <w:pStyle w:val="BodyText"/>
            </w:pPr>
            <w:r w:rsidRPr="003A11ED">
              <w:t>Electoral Division affected:</w:t>
            </w:r>
          </w:p>
          <w:p w:rsidR="00B57078" w:rsidRPr="00B57078" w:rsidRDefault="00B921E9" w:rsidP="00B57078">
            <w:pPr>
              <w:rPr>
                <w:b/>
                <w:sz w:val="28"/>
                <w:szCs w:val="28"/>
              </w:rPr>
            </w:pPr>
            <w:r>
              <w:t>All</w:t>
            </w:r>
          </w:p>
        </w:tc>
      </w:tr>
    </w:tbl>
    <w:p w:rsidR="00B57078" w:rsidRDefault="00B57078">
      <w:pPr>
        <w:rPr>
          <w:b/>
          <w:u w:val="single"/>
        </w:rPr>
      </w:pPr>
    </w:p>
    <w:p w:rsidR="00B57078" w:rsidRDefault="00B57078">
      <w:pPr>
        <w:rPr>
          <w:b/>
          <w:u w:val="single"/>
        </w:rPr>
      </w:pPr>
    </w:p>
    <w:p w:rsidR="009C7212" w:rsidRDefault="009C7212">
      <w:pPr>
        <w:rPr>
          <w:b/>
        </w:rPr>
      </w:pPr>
    </w:p>
    <w:p w:rsidR="009C7212" w:rsidRDefault="009C7212">
      <w:pPr>
        <w:rPr>
          <w:b/>
        </w:rPr>
      </w:pPr>
    </w:p>
    <w:p w:rsidR="009C7212" w:rsidRDefault="009C7212">
      <w:pPr>
        <w:rPr>
          <w:b/>
        </w:rPr>
      </w:pPr>
    </w:p>
    <w:p w:rsidR="00C047F3" w:rsidRDefault="00C047F3" w:rsidP="00B921E9">
      <w:pPr>
        <w:rPr>
          <w:b/>
        </w:rPr>
      </w:pPr>
    </w:p>
    <w:p w:rsidR="00B921E9" w:rsidRDefault="00B921E9" w:rsidP="00B921E9">
      <w:pPr>
        <w:rPr>
          <w:b/>
        </w:rPr>
      </w:pPr>
      <w:r>
        <w:rPr>
          <w:b/>
        </w:rPr>
        <w:t>Treasury Mana</w:t>
      </w:r>
      <w:r w:rsidR="00EC3B17">
        <w:rPr>
          <w:b/>
        </w:rPr>
        <w:t>gement Policy and Strategy 201</w:t>
      </w:r>
      <w:r w:rsidR="00DB7E1A">
        <w:rPr>
          <w:b/>
        </w:rPr>
        <w:t>7</w:t>
      </w:r>
      <w:r w:rsidR="00EC3B17">
        <w:rPr>
          <w:b/>
        </w:rPr>
        <w:t>/</w:t>
      </w:r>
      <w:r>
        <w:rPr>
          <w:b/>
        </w:rPr>
        <w:t>1</w:t>
      </w:r>
      <w:r w:rsidR="00DB7E1A">
        <w:rPr>
          <w:b/>
        </w:rPr>
        <w:t>8</w:t>
      </w:r>
    </w:p>
    <w:p w:rsidR="005049C5" w:rsidRDefault="00B921E9">
      <w:r>
        <w:t xml:space="preserve">(Appendices </w:t>
      </w:r>
      <w:r w:rsidR="00C047F3">
        <w:t>'</w:t>
      </w:r>
      <w:r>
        <w:t>A</w:t>
      </w:r>
      <w:r w:rsidR="00C047F3">
        <w:t>' - '</w:t>
      </w:r>
      <w:r w:rsidR="00607266">
        <w:t>C</w:t>
      </w:r>
      <w:r w:rsidR="00C047F3">
        <w:t>'</w:t>
      </w:r>
      <w:r>
        <w:t xml:space="preserve"> refer)</w:t>
      </w:r>
    </w:p>
    <w:p w:rsidR="005049C5" w:rsidRDefault="005049C5">
      <w:pPr>
        <w:pStyle w:val="Header"/>
        <w:rPr>
          <w:rFonts w:ascii="Arial" w:hAnsi="Arial"/>
        </w:rPr>
      </w:pPr>
    </w:p>
    <w:p w:rsidR="005049C5" w:rsidRDefault="005049C5">
      <w:pPr>
        <w:ind w:right="-873"/>
      </w:pPr>
      <w:r>
        <w:t xml:space="preserve">Contact for further information: </w:t>
      </w:r>
    </w:p>
    <w:p w:rsidR="00716E4A" w:rsidRDefault="00DB7E1A">
      <w:pPr>
        <w:ind w:right="-873"/>
      </w:pPr>
      <w:r>
        <w:t>Neil Kissock</w:t>
      </w:r>
      <w:r w:rsidR="005049C5">
        <w:t xml:space="preserve">, </w:t>
      </w:r>
      <w:r w:rsidR="00C047F3">
        <w:t>(</w:t>
      </w:r>
      <w:r w:rsidR="00B921E9">
        <w:t>01772</w:t>
      </w:r>
      <w:r w:rsidR="00C047F3">
        <w:t>)</w:t>
      </w:r>
      <w:r w:rsidR="00B921E9">
        <w:t xml:space="preserve"> 53</w:t>
      </w:r>
      <w:r w:rsidR="0066403B">
        <w:t>6154</w:t>
      </w:r>
      <w:r w:rsidR="005049C5">
        <w:t xml:space="preserve">, </w:t>
      </w:r>
      <w:r w:rsidR="00C047F3">
        <w:t>Director of Financial Resources</w:t>
      </w:r>
    </w:p>
    <w:p w:rsidR="008C23C8" w:rsidRDefault="008C23C8" w:rsidP="008C23C8">
      <w:pPr>
        <w:spacing w:line="276" w:lineRule="auto"/>
      </w:pPr>
      <w:hyperlink r:id="rId7" w:history="1">
        <w:r w:rsidRPr="00F41F66">
          <w:rPr>
            <w:rStyle w:val="Hyperlink"/>
          </w:rPr>
          <w:t>neil.kissock@lancashire.gov.uk</w:t>
        </w:r>
      </w:hyperlink>
    </w:p>
    <w:p w:rsidR="000D79B4" w:rsidRDefault="000D79B4">
      <w:pPr>
        <w:ind w:right="-8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049C5">
        <w:tc>
          <w:tcPr>
            <w:tcW w:w="9180" w:type="dxa"/>
          </w:tcPr>
          <w:p w:rsidR="00C047F3" w:rsidRDefault="00C047F3" w:rsidP="00B921E9">
            <w:pPr>
              <w:pStyle w:val="Heading6"/>
              <w:rPr>
                <w:rFonts w:ascii="Arial" w:hAnsi="Arial"/>
              </w:rPr>
            </w:pPr>
          </w:p>
          <w:p w:rsidR="00B921E9" w:rsidRDefault="00B921E9" w:rsidP="00B921E9">
            <w:pPr>
              <w:pStyle w:val="Heading6"/>
              <w:rPr>
                <w:rFonts w:ascii="Arial" w:hAnsi="Arial"/>
              </w:rPr>
            </w:pPr>
            <w:r>
              <w:rPr>
                <w:rFonts w:ascii="Arial" w:hAnsi="Arial"/>
              </w:rPr>
              <w:t>Executive Summary</w:t>
            </w:r>
          </w:p>
          <w:p w:rsidR="00B921E9" w:rsidRDefault="00B921E9" w:rsidP="00B921E9"/>
          <w:p w:rsidR="00B921E9" w:rsidRDefault="00B921E9" w:rsidP="00C047F3">
            <w:pPr>
              <w:autoSpaceDE w:val="0"/>
              <w:autoSpaceDN w:val="0"/>
              <w:adjustRightInd w:val="0"/>
              <w:jc w:val="both"/>
              <w:rPr>
                <w:rFonts w:cs="Arial"/>
                <w:szCs w:val="24"/>
              </w:rPr>
            </w:pPr>
            <w:r w:rsidRPr="00B35AF7">
              <w:rPr>
                <w:rFonts w:cs="Arial"/>
                <w:szCs w:val="24"/>
              </w:rPr>
              <w:t>This report outlines the proposed Treasury Management Policy Framework for 201</w:t>
            </w:r>
            <w:r w:rsidR="00DB7E1A">
              <w:rPr>
                <w:rFonts w:cs="Arial"/>
                <w:szCs w:val="24"/>
              </w:rPr>
              <w:t>7</w:t>
            </w:r>
            <w:r w:rsidRPr="00B35AF7">
              <w:rPr>
                <w:rFonts w:cs="Arial"/>
                <w:szCs w:val="24"/>
              </w:rPr>
              <w:t>/1</w:t>
            </w:r>
            <w:r w:rsidR="00DB7E1A">
              <w:rPr>
                <w:rFonts w:cs="Arial"/>
                <w:szCs w:val="24"/>
              </w:rPr>
              <w:t>8</w:t>
            </w:r>
            <w:r w:rsidRPr="00B35AF7">
              <w:rPr>
                <w:rFonts w:cs="Arial"/>
                <w:szCs w:val="24"/>
              </w:rPr>
              <w:t xml:space="preserve"> as</w:t>
            </w:r>
            <w:r>
              <w:rPr>
                <w:rFonts w:cs="Arial"/>
                <w:szCs w:val="24"/>
              </w:rPr>
              <w:t xml:space="preserve"> </w:t>
            </w:r>
            <w:r w:rsidRPr="00B35AF7">
              <w:rPr>
                <w:rFonts w:cs="Arial"/>
                <w:szCs w:val="24"/>
              </w:rPr>
              <w:t>required by the Chartered Institute of Public Finance and Accountancy (CIPFA)</w:t>
            </w:r>
            <w:r>
              <w:rPr>
                <w:rFonts w:cs="Arial"/>
                <w:szCs w:val="24"/>
              </w:rPr>
              <w:t xml:space="preserve"> </w:t>
            </w:r>
            <w:r w:rsidRPr="00B35AF7">
              <w:rPr>
                <w:rFonts w:cs="Arial"/>
                <w:szCs w:val="24"/>
              </w:rPr>
              <w:t>Treasury Management Code of Practice (20</w:t>
            </w:r>
            <w:r>
              <w:rPr>
                <w:rFonts w:cs="Arial"/>
                <w:szCs w:val="24"/>
              </w:rPr>
              <w:t>11</w:t>
            </w:r>
            <w:r w:rsidRPr="00B35AF7">
              <w:rPr>
                <w:rFonts w:cs="Arial"/>
                <w:szCs w:val="24"/>
              </w:rPr>
              <w:t>).</w:t>
            </w:r>
            <w:r w:rsidR="00C047F3">
              <w:rPr>
                <w:rFonts w:cs="Arial"/>
                <w:szCs w:val="24"/>
              </w:rPr>
              <w:t xml:space="preserve"> </w:t>
            </w:r>
            <w:r w:rsidRPr="00B35AF7">
              <w:rPr>
                <w:rFonts w:cs="Arial"/>
                <w:szCs w:val="24"/>
              </w:rPr>
              <w:t>It includes the County Council's</w:t>
            </w:r>
            <w:r>
              <w:rPr>
                <w:rFonts w:cs="Arial"/>
                <w:szCs w:val="24"/>
              </w:rPr>
              <w:t xml:space="preserve"> </w:t>
            </w:r>
            <w:r w:rsidRPr="00B35AF7">
              <w:rPr>
                <w:rFonts w:cs="Arial"/>
                <w:szCs w:val="24"/>
              </w:rPr>
              <w:t>borrowing and investment strategies</w:t>
            </w:r>
            <w:r w:rsidR="00607266">
              <w:rPr>
                <w:rFonts w:cs="Arial"/>
                <w:szCs w:val="24"/>
              </w:rPr>
              <w:t xml:space="preserve"> and the proposed Minimum Revenue Provision Policy,</w:t>
            </w:r>
            <w:r w:rsidRPr="00B35AF7">
              <w:rPr>
                <w:rFonts w:cs="Arial"/>
                <w:szCs w:val="24"/>
              </w:rPr>
              <w:t xml:space="preserve"> together with the treasury management</w:t>
            </w:r>
            <w:r>
              <w:rPr>
                <w:rFonts w:cs="Arial"/>
                <w:szCs w:val="24"/>
              </w:rPr>
              <w:t xml:space="preserve"> </w:t>
            </w:r>
            <w:r w:rsidRPr="00B35AF7">
              <w:rPr>
                <w:rFonts w:cs="Arial"/>
                <w:szCs w:val="24"/>
              </w:rPr>
              <w:t>prudential indicators which seek to ensure that the Council's borrowing levels</w:t>
            </w:r>
            <w:r>
              <w:rPr>
                <w:rFonts w:cs="Arial"/>
                <w:szCs w:val="24"/>
              </w:rPr>
              <w:t xml:space="preserve"> </w:t>
            </w:r>
            <w:r w:rsidRPr="00B35AF7">
              <w:rPr>
                <w:rFonts w:cs="Arial"/>
                <w:szCs w:val="24"/>
              </w:rPr>
              <w:t xml:space="preserve">remain both sustainable and affordable. </w:t>
            </w:r>
          </w:p>
          <w:p w:rsidR="00B921E9" w:rsidRPr="005B6C0E" w:rsidRDefault="00B921E9" w:rsidP="00B921E9">
            <w:pPr>
              <w:autoSpaceDE w:val="0"/>
              <w:autoSpaceDN w:val="0"/>
              <w:adjustRightInd w:val="0"/>
            </w:pPr>
          </w:p>
          <w:p w:rsidR="00B921E9" w:rsidRPr="00AA0078" w:rsidRDefault="00B921E9" w:rsidP="00B921E9">
            <w:pPr>
              <w:pStyle w:val="Heading5"/>
              <w:rPr>
                <w:rFonts w:ascii="Arial" w:hAnsi="Arial"/>
                <w:u w:val="none"/>
              </w:rPr>
            </w:pPr>
            <w:r w:rsidRPr="00AA0078">
              <w:rPr>
                <w:rFonts w:ascii="Arial" w:hAnsi="Arial"/>
                <w:u w:val="none"/>
              </w:rPr>
              <w:t>Recommendation</w:t>
            </w:r>
          </w:p>
          <w:p w:rsidR="00B921E9" w:rsidRPr="00AA0078" w:rsidRDefault="00B921E9" w:rsidP="00B921E9"/>
          <w:p w:rsidR="00607266" w:rsidRDefault="00B921E9" w:rsidP="00184729">
            <w:r w:rsidRPr="00AA0078">
              <w:t xml:space="preserve">The </w:t>
            </w:r>
            <w:r w:rsidR="00DB7ADD">
              <w:t>Full Council is</w:t>
            </w:r>
            <w:r w:rsidRPr="00AA0078">
              <w:t xml:space="preserve"> recommend</w:t>
            </w:r>
            <w:r w:rsidR="00DB7ADD">
              <w:t>ed to</w:t>
            </w:r>
            <w:r w:rsidR="00184729">
              <w:t>:</w:t>
            </w:r>
          </w:p>
          <w:p w:rsidR="00607266" w:rsidRDefault="00607266" w:rsidP="00607266">
            <w:pPr>
              <w:jc w:val="both"/>
            </w:pPr>
          </w:p>
          <w:p w:rsidR="00607266" w:rsidRDefault="00184729" w:rsidP="00DB7E1A">
            <w:pPr>
              <w:pStyle w:val="ListParagraph"/>
              <w:numPr>
                <w:ilvl w:val="0"/>
                <w:numId w:val="1"/>
              </w:numPr>
              <w:ind w:left="738" w:hanging="389"/>
              <w:jc w:val="both"/>
            </w:pPr>
            <w:r>
              <w:t xml:space="preserve">Approve </w:t>
            </w:r>
            <w:r w:rsidR="00607266" w:rsidRPr="00AA0078">
              <w:t xml:space="preserve">the Treasury Management Policy </w:t>
            </w:r>
            <w:r>
              <w:t xml:space="preserve">as set out at Appendix </w:t>
            </w:r>
            <w:r w:rsidR="00C047F3">
              <w:t>'</w:t>
            </w:r>
            <w:r w:rsidR="00607266">
              <w:t>A</w:t>
            </w:r>
            <w:r w:rsidR="00C047F3">
              <w:t>'</w:t>
            </w:r>
            <w:r>
              <w:t>;</w:t>
            </w:r>
          </w:p>
          <w:p w:rsidR="00607266" w:rsidRDefault="00184729" w:rsidP="00B231A7">
            <w:pPr>
              <w:pStyle w:val="ListParagraph"/>
              <w:numPr>
                <w:ilvl w:val="0"/>
                <w:numId w:val="1"/>
              </w:numPr>
              <w:ind w:left="698" w:hanging="349"/>
              <w:jc w:val="both"/>
            </w:pPr>
            <w:r>
              <w:t xml:space="preserve">Approve </w:t>
            </w:r>
            <w:r w:rsidR="00607266">
              <w:t xml:space="preserve">the Treasury Management Strategy for </w:t>
            </w:r>
            <w:r>
              <w:t>201</w:t>
            </w:r>
            <w:r w:rsidR="00DB7E1A">
              <w:t>7</w:t>
            </w:r>
            <w:r>
              <w:t>/1</w:t>
            </w:r>
            <w:r w:rsidR="00DB7E1A">
              <w:t>8</w:t>
            </w:r>
            <w:r>
              <w:t xml:space="preserve"> as set out at Appendix </w:t>
            </w:r>
            <w:r w:rsidR="00C047F3">
              <w:t>'</w:t>
            </w:r>
            <w:r w:rsidR="00607266">
              <w:t>B</w:t>
            </w:r>
            <w:r w:rsidR="00C047F3">
              <w:t>'</w:t>
            </w:r>
            <w:r>
              <w:t>;</w:t>
            </w:r>
          </w:p>
          <w:p w:rsidR="00607266" w:rsidRDefault="00C047F3" w:rsidP="00C047F3">
            <w:pPr>
              <w:pStyle w:val="ListParagraph"/>
              <w:numPr>
                <w:ilvl w:val="0"/>
                <w:numId w:val="1"/>
              </w:numPr>
              <w:ind w:left="698" w:hanging="349"/>
              <w:jc w:val="both"/>
            </w:pPr>
            <w:r>
              <w:t>I</w:t>
            </w:r>
            <w:r w:rsidR="00607266">
              <w:t>n respect of the Minimum Revenue Provision Statement fo</w:t>
            </w:r>
            <w:r w:rsidR="00184729">
              <w:t>r 201</w:t>
            </w:r>
            <w:r w:rsidR="00DB7E1A">
              <w:t>7</w:t>
            </w:r>
            <w:r w:rsidR="00184729">
              <w:t>/1</w:t>
            </w:r>
            <w:r w:rsidR="00DB7E1A">
              <w:t>8</w:t>
            </w:r>
            <w:r w:rsidR="00184729">
              <w:t xml:space="preserve">, set out at Appendix </w:t>
            </w:r>
            <w:r>
              <w:t>'</w:t>
            </w:r>
            <w:r w:rsidR="00697712">
              <w:t>C</w:t>
            </w:r>
            <w:r>
              <w:t>'</w:t>
            </w:r>
            <w:r w:rsidR="00607266">
              <w:t>:</w:t>
            </w:r>
          </w:p>
          <w:p w:rsidR="00607266" w:rsidRPr="00EB5315" w:rsidRDefault="00607266" w:rsidP="00607266">
            <w:pPr>
              <w:pStyle w:val="ListParagraph"/>
              <w:numPr>
                <w:ilvl w:val="1"/>
                <w:numId w:val="1"/>
              </w:numPr>
              <w:jc w:val="both"/>
            </w:pPr>
            <w:r w:rsidRPr="003C767F">
              <w:rPr>
                <w:rFonts w:cs="Arial"/>
              </w:rPr>
              <w:t xml:space="preserve">Approve the Asset Life method for expenditure funded from </w:t>
            </w:r>
            <w:r w:rsidR="00EB5315">
              <w:rPr>
                <w:rFonts w:cs="Arial"/>
              </w:rPr>
              <w:t xml:space="preserve">unsupported </w:t>
            </w:r>
            <w:r w:rsidRPr="003C767F">
              <w:rPr>
                <w:rFonts w:cs="Arial"/>
              </w:rPr>
              <w:t>borrowing</w:t>
            </w:r>
            <w:r w:rsidR="00C047F3">
              <w:rPr>
                <w:rFonts w:cs="Arial"/>
              </w:rPr>
              <w:t>;</w:t>
            </w:r>
            <w:r w:rsidRPr="003C767F">
              <w:rPr>
                <w:rFonts w:cs="Arial"/>
              </w:rPr>
              <w:t xml:space="preserve"> </w:t>
            </w:r>
          </w:p>
          <w:p w:rsidR="00EB5315" w:rsidRPr="003C767F" w:rsidRDefault="00EB5315" w:rsidP="00EB5315">
            <w:pPr>
              <w:pStyle w:val="ListParagraph"/>
              <w:numPr>
                <w:ilvl w:val="1"/>
                <w:numId w:val="1"/>
              </w:numPr>
              <w:jc w:val="both"/>
            </w:pPr>
            <w:r>
              <w:t xml:space="preserve">For </w:t>
            </w:r>
            <w:r w:rsidRPr="00EB5315">
              <w:t>supported borrowing incurred before 1 April 2007</w:t>
            </w:r>
            <w:r>
              <w:t xml:space="preserve"> to  use the </w:t>
            </w:r>
            <w:r w:rsidRPr="00EB5315">
              <w:t>capital financing requirement based upon a 50 year life</w:t>
            </w:r>
            <w:r w:rsidR="00C047F3">
              <w:t>;</w:t>
            </w:r>
            <w:r w:rsidRPr="00EB5315">
              <w:t xml:space="preserve"> </w:t>
            </w:r>
          </w:p>
          <w:p w:rsidR="00184729" w:rsidRPr="00184729" w:rsidRDefault="00664434" w:rsidP="00184729">
            <w:pPr>
              <w:pStyle w:val="ListParagraph"/>
              <w:numPr>
                <w:ilvl w:val="1"/>
                <w:numId w:val="1"/>
              </w:numPr>
              <w:jc w:val="both"/>
            </w:pPr>
            <w:r w:rsidRPr="00B231A7">
              <w:rPr>
                <w:rFonts w:cs="Arial"/>
              </w:rPr>
              <w:t>Approve</w:t>
            </w:r>
            <w:r w:rsidR="007C2264" w:rsidRPr="00B231A7">
              <w:rPr>
                <w:rFonts w:cs="Arial"/>
              </w:rPr>
              <w:t xml:space="preserve"> that</w:t>
            </w:r>
            <w:r w:rsidRPr="00B231A7">
              <w:rPr>
                <w:rFonts w:cs="Arial"/>
              </w:rPr>
              <w:t xml:space="preserve"> c</w:t>
            </w:r>
            <w:r w:rsidR="00607266" w:rsidRPr="00B231A7">
              <w:rPr>
                <w:rFonts w:cs="Arial"/>
              </w:rPr>
              <w:t xml:space="preserve">harges to revenue </w:t>
            </w:r>
            <w:r w:rsidRPr="00B231A7">
              <w:rPr>
                <w:rFonts w:cs="Arial"/>
              </w:rPr>
              <w:t>be</w:t>
            </w:r>
            <w:r>
              <w:rPr>
                <w:rFonts w:cs="Arial"/>
              </w:rPr>
              <w:t xml:space="preserve"> </w:t>
            </w:r>
            <w:r w:rsidR="00607266" w:rsidRPr="003C767F">
              <w:rPr>
                <w:rFonts w:cs="Arial"/>
              </w:rPr>
              <w:t>a sum equal to the repayment of any credit liability</w:t>
            </w:r>
            <w:r w:rsidR="00C047F3">
              <w:rPr>
                <w:rFonts w:cs="Arial"/>
              </w:rPr>
              <w:t>;</w:t>
            </w:r>
          </w:p>
          <w:p w:rsidR="005049C5" w:rsidRDefault="00607266" w:rsidP="00D80F1B">
            <w:pPr>
              <w:pStyle w:val="ListParagraph"/>
              <w:numPr>
                <w:ilvl w:val="1"/>
                <w:numId w:val="1"/>
              </w:numPr>
              <w:jc w:val="both"/>
            </w:pPr>
            <w:r w:rsidRPr="00184729">
              <w:rPr>
                <w:rFonts w:cs="Arial"/>
              </w:rPr>
              <w:t>Approve the proposed treatment of assets constructed under the Preston, South Ribble and Lancashire City Deal subject to annual review.</w:t>
            </w:r>
          </w:p>
        </w:tc>
      </w:tr>
    </w:tbl>
    <w:p w:rsidR="001E4688" w:rsidRDefault="001E4688" w:rsidP="001E4688">
      <w:pPr>
        <w:rPr>
          <w:b/>
        </w:rPr>
      </w:pPr>
    </w:p>
    <w:p w:rsidR="00C047F3" w:rsidRDefault="00C047F3" w:rsidP="001E4688">
      <w:pPr>
        <w:rPr>
          <w:b/>
        </w:rPr>
      </w:pPr>
    </w:p>
    <w:p w:rsidR="00C047F3" w:rsidRDefault="00C047F3" w:rsidP="001E4688">
      <w:pPr>
        <w:rPr>
          <w:b/>
        </w:rPr>
      </w:pPr>
    </w:p>
    <w:p w:rsidR="00184729" w:rsidRPr="00C047F3" w:rsidRDefault="00184729" w:rsidP="00184729">
      <w:pPr>
        <w:rPr>
          <w:rFonts w:cs="Arial"/>
          <w:b/>
        </w:rPr>
      </w:pPr>
      <w:bookmarkStart w:id="0" w:name="_GoBack"/>
      <w:bookmarkEnd w:id="0"/>
      <w:r w:rsidRPr="00C047F3">
        <w:rPr>
          <w:rFonts w:cs="Arial"/>
          <w:b/>
        </w:rPr>
        <w:t xml:space="preserve">Background and Advice </w:t>
      </w:r>
    </w:p>
    <w:p w:rsidR="00184729" w:rsidRPr="00C047F3" w:rsidRDefault="00184729" w:rsidP="00184729">
      <w:pPr>
        <w:rPr>
          <w:rFonts w:cs="Arial"/>
          <w:b/>
        </w:rPr>
      </w:pPr>
    </w:p>
    <w:p w:rsidR="00184729" w:rsidRPr="00C047F3" w:rsidRDefault="00184729" w:rsidP="00184729">
      <w:pPr>
        <w:autoSpaceDE w:val="0"/>
        <w:autoSpaceDN w:val="0"/>
        <w:adjustRightInd w:val="0"/>
        <w:jc w:val="both"/>
        <w:rPr>
          <w:rFonts w:cs="Arial"/>
          <w:szCs w:val="24"/>
        </w:rPr>
      </w:pPr>
      <w:r w:rsidRPr="00C047F3">
        <w:rPr>
          <w:rFonts w:cs="Arial"/>
          <w:szCs w:val="24"/>
        </w:rPr>
        <w:t>Treasury management is the management of the Council’s investments and cash flows, its banking, money market and capital market transactions; it also includes the effective control and management of the risks associated with these activities, ensuring that the Council gets the best performance for the least risk.</w:t>
      </w:r>
    </w:p>
    <w:p w:rsidR="00184729" w:rsidRPr="00C047F3" w:rsidRDefault="00184729" w:rsidP="00184729">
      <w:pPr>
        <w:jc w:val="both"/>
        <w:rPr>
          <w:rFonts w:cs="Arial"/>
          <w:szCs w:val="24"/>
        </w:rPr>
      </w:pPr>
    </w:p>
    <w:p w:rsidR="00184729" w:rsidRPr="00C047F3" w:rsidRDefault="00184729" w:rsidP="00184729">
      <w:pPr>
        <w:autoSpaceDE w:val="0"/>
        <w:autoSpaceDN w:val="0"/>
        <w:adjustRightInd w:val="0"/>
        <w:jc w:val="both"/>
        <w:rPr>
          <w:rFonts w:cs="Arial"/>
          <w:szCs w:val="24"/>
        </w:rPr>
      </w:pPr>
      <w:r w:rsidRPr="00C047F3">
        <w:rPr>
          <w:rFonts w:cs="Arial"/>
          <w:szCs w:val="24"/>
        </w:rPr>
        <w:t>The Treasury Management Strategy sets out the Council’s policies for ensuring the security and liquidity of its investments, whilst having regard to investment returns in order to protect the value of the funds. It also outlines the Council's strategy for financing existing borrowing and future capital borrowing requirements, with the aim of securing the required funds at the lowest possible rate.</w:t>
      </w:r>
    </w:p>
    <w:p w:rsidR="00184729" w:rsidRPr="00C047F3" w:rsidRDefault="00184729" w:rsidP="00184729">
      <w:pPr>
        <w:autoSpaceDE w:val="0"/>
        <w:autoSpaceDN w:val="0"/>
        <w:adjustRightInd w:val="0"/>
        <w:jc w:val="both"/>
        <w:rPr>
          <w:rFonts w:cs="Arial"/>
          <w:szCs w:val="24"/>
        </w:rPr>
      </w:pPr>
    </w:p>
    <w:p w:rsidR="00184729" w:rsidRPr="00C047F3" w:rsidRDefault="00184729" w:rsidP="00184729">
      <w:pPr>
        <w:autoSpaceDE w:val="0"/>
        <w:autoSpaceDN w:val="0"/>
        <w:adjustRightInd w:val="0"/>
        <w:jc w:val="both"/>
        <w:rPr>
          <w:rFonts w:cs="Arial"/>
        </w:rPr>
      </w:pPr>
      <w:r w:rsidRPr="00C047F3">
        <w:rPr>
          <w:rFonts w:cs="Arial"/>
        </w:rPr>
        <w:t xml:space="preserve">The Minimum Revenue Provision (MRP) is a prudent charge Local Authorities are required to make to the revenue account to provide for the repayment of debt and other credit liabilities (mainly finance leases or PFI contracts).  </w:t>
      </w:r>
    </w:p>
    <w:p w:rsidR="00184729" w:rsidRPr="00C047F3" w:rsidRDefault="00184729" w:rsidP="00184729">
      <w:pPr>
        <w:rPr>
          <w:rFonts w:cs="Arial"/>
          <w:b/>
        </w:rPr>
      </w:pPr>
    </w:p>
    <w:p w:rsidR="00184729" w:rsidRPr="00C047F3" w:rsidRDefault="00184729" w:rsidP="00184729">
      <w:pPr>
        <w:rPr>
          <w:rFonts w:cs="Arial"/>
          <w:b/>
        </w:rPr>
      </w:pPr>
      <w:r w:rsidRPr="00C047F3">
        <w:rPr>
          <w:rFonts w:cs="Arial"/>
          <w:b/>
        </w:rPr>
        <w:t>Consultations</w:t>
      </w:r>
    </w:p>
    <w:p w:rsidR="00184729" w:rsidRPr="00C047F3" w:rsidRDefault="00184729" w:rsidP="00184729">
      <w:pPr>
        <w:rPr>
          <w:rFonts w:cs="Arial"/>
          <w:b/>
        </w:rPr>
      </w:pPr>
    </w:p>
    <w:p w:rsidR="00184729" w:rsidRPr="00C047F3" w:rsidRDefault="00184729" w:rsidP="00184729">
      <w:pPr>
        <w:pStyle w:val="Header"/>
        <w:rPr>
          <w:rFonts w:ascii="Arial" w:hAnsi="Arial" w:cs="Arial"/>
          <w:szCs w:val="24"/>
        </w:rPr>
      </w:pPr>
      <w:r w:rsidRPr="00C047F3">
        <w:rPr>
          <w:rFonts w:ascii="Arial" w:hAnsi="Arial" w:cs="Arial"/>
          <w:szCs w:val="24"/>
        </w:rPr>
        <w:t>Arlingclose, the County Council's external Treasury Management advisers.</w:t>
      </w:r>
    </w:p>
    <w:p w:rsidR="00184729" w:rsidRPr="00C047F3" w:rsidRDefault="00184729" w:rsidP="00184729">
      <w:pPr>
        <w:pStyle w:val="Header"/>
        <w:rPr>
          <w:rFonts w:ascii="Arial" w:hAnsi="Arial" w:cs="Arial"/>
        </w:rPr>
      </w:pPr>
    </w:p>
    <w:p w:rsidR="00184729" w:rsidRPr="00C047F3" w:rsidRDefault="00184729" w:rsidP="00184729">
      <w:pPr>
        <w:rPr>
          <w:rFonts w:cs="Arial"/>
        </w:rPr>
      </w:pPr>
      <w:r w:rsidRPr="00C047F3">
        <w:rPr>
          <w:rFonts w:cs="Arial"/>
          <w:b/>
        </w:rPr>
        <w:t>Implications</w:t>
      </w:r>
      <w:r w:rsidRPr="00C047F3">
        <w:rPr>
          <w:rFonts w:cs="Arial"/>
        </w:rPr>
        <w:t xml:space="preserve">: </w:t>
      </w:r>
    </w:p>
    <w:p w:rsidR="00184729" w:rsidRPr="00C047F3" w:rsidRDefault="00184729" w:rsidP="00184729">
      <w:pPr>
        <w:rPr>
          <w:rFonts w:cs="Arial"/>
        </w:rPr>
      </w:pPr>
    </w:p>
    <w:p w:rsidR="00184729" w:rsidRPr="00C047F3" w:rsidRDefault="00184729" w:rsidP="00184729">
      <w:pPr>
        <w:rPr>
          <w:rFonts w:cs="Arial"/>
        </w:rPr>
      </w:pPr>
      <w:r w:rsidRPr="00C047F3">
        <w:rPr>
          <w:rFonts w:cs="Arial"/>
        </w:rPr>
        <w:t>This item has the following implications, as indicated:</w:t>
      </w:r>
    </w:p>
    <w:p w:rsidR="00184729" w:rsidRPr="00C047F3" w:rsidRDefault="00184729" w:rsidP="00184729">
      <w:pPr>
        <w:rPr>
          <w:rFonts w:cs="Arial"/>
        </w:rPr>
      </w:pPr>
    </w:p>
    <w:p w:rsidR="00184729" w:rsidRPr="00C047F3" w:rsidRDefault="00184729" w:rsidP="00184729">
      <w:pPr>
        <w:rPr>
          <w:rFonts w:cs="Arial"/>
          <w:b/>
        </w:rPr>
      </w:pPr>
      <w:r w:rsidRPr="00C047F3">
        <w:rPr>
          <w:rFonts w:cs="Arial"/>
          <w:b/>
        </w:rPr>
        <w:t>Risk management</w:t>
      </w:r>
    </w:p>
    <w:p w:rsidR="00184729" w:rsidRPr="00C047F3" w:rsidRDefault="00184729" w:rsidP="00184729">
      <w:pPr>
        <w:rPr>
          <w:rFonts w:cs="Arial"/>
        </w:rPr>
      </w:pPr>
    </w:p>
    <w:p w:rsidR="00184729" w:rsidRPr="00C047F3" w:rsidRDefault="00184729" w:rsidP="00184729">
      <w:pPr>
        <w:jc w:val="both"/>
        <w:rPr>
          <w:rFonts w:cs="Arial"/>
        </w:rPr>
      </w:pPr>
      <w:r w:rsidRPr="00C047F3">
        <w:rPr>
          <w:rFonts w:cs="Arial"/>
        </w:rPr>
        <w:t xml:space="preserve">The Council, having adopted the "Prudential Code", is required to prudently manage </w:t>
      </w:r>
      <w:r w:rsidR="00C047F3">
        <w:rPr>
          <w:rFonts w:cs="Arial"/>
        </w:rPr>
        <w:t xml:space="preserve">the investments of the Council. </w:t>
      </w:r>
      <w:r w:rsidRPr="00C047F3">
        <w:rPr>
          <w:rFonts w:cs="Arial"/>
        </w:rPr>
        <w:t>The current situation exposes the Council to heightened counterparty concentration risk inconsistent with its duty. As the process of managing the Council's investments is intrinsic to its continuing operations a prudent yet workable policy is necessary.</w:t>
      </w:r>
    </w:p>
    <w:p w:rsidR="00184729" w:rsidRPr="00C047F3" w:rsidRDefault="00184729" w:rsidP="00184729">
      <w:pPr>
        <w:pStyle w:val="Header"/>
        <w:rPr>
          <w:rFonts w:ascii="Arial" w:hAnsi="Arial" w:cs="Arial"/>
        </w:rPr>
      </w:pPr>
    </w:p>
    <w:p w:rsidR="00184729" w:rsidRPr="00C047F3" w:rsidRDefault="00184729" w:rsidP="00184729">
      <w:pPr>
        <w:pStyle w:val="Heading5"/>
        <w:rPr>
          <w:rFonts w:ascii="Arial" w:hAnsi="Arial" w:cs="Arial"/>
          <w:u w:val="none"/>
        </w:rPr>
      </w:pPr>
      <w:r w:rsidRPr="00C047F3">
        <w:rPr>
          <w:rFonts w:ascii="Arial" w:hAnsi="Arial" w:cs="Arial"/>
          <w:u w:val="none"/>
        </w:rPr>
        <w:t>List of Background Papers</w:t>
      </w:r>
    </w:p>
    <w:p w:rsidR="00184729" w:rsidRPr="00C047F3" w:rsidRDefault="00184729" w:rsidP="00184729">
      <w:pPr>
        <w:rPr>
          <w:rFonts w:cs="Arial"/>
        </w:rPr>
      </w:pPr>
    </w:p>
    <w:tbl>
      <w:tblPr>
        <w:tblW w:w="9180" w:type="dxa"/>
        <w:tblInd w:w="-108" w:type="dxa"/>
        <w:tblLayout w:type="fixed"/>
        <w:tblLook w:val="0000" w:firstRow="0" w:lastRow="0" w:firstColumn="0" w:lastColumn="0" w:noHBand="0" w:noVBand="0"/>
      </w:tblPr>
      <w:tblGrid>
        <w:gridCol w:w="3510"/>
        <w:gridCol w:w="2492"/>
        <w:gridCol w:w="3178"/>
      </w:tblGrid>
      <w:tr w:rsidR="00184729" w:rsidRPr="00C047F3" w:rsidTr="00C047F3">
        <w:tc>
          <w:tcPr>
            <w:tcW w:w="3510" w:type="dxa"/>
          </w:tcPr>
          <w:p w:rsidR="00184729" w:rsidRPr="00C047F3" w:rsidRDefault="00184729" w:rsidP="000D79B4">
            <w:pPr>
              <w:pStyle w:val="Heading7"/>
              <w:rPr>
                <w:rFonts w:ascii="Arial" w:hAnsi="Arial" w:cs="Arial"/>
                <w:u w:val="none"/>
              </w:rPr>
            </w:pPr>
            <w:r w:rsidRPr="00C047F3">
              <w:rPr>
                <w:rFonts w:ascii="Arial" w:hAnsi="Arial" w:cs="Arial"/>
                <w:u w:val="none"/>
              </w:rPr>
              <w:t>Paper</w:t>
            </w:r>
          </w:p>
        </w:tc>
        <w:tc>
          <w:tcPr>
            <w:tcW w:w="2492" w:type="dxa"/>
          </w:tcPr>
          <w:p w:rsidR="00184729" w:rsidRPr="00C047F3" w:rsidRDefault="00184729" w:rsidP="000D79B4">
            <w:pPr>
              <w:pStyle w:val="Heading7"/>
              <w:rPr>
                <w:rFonts w:ascii="Arial" w:hAnsi="Arial" w:cs="Arial"/>
                <w:u w:val="none"/>
              </w:rPr>
            </w:pPr>
            <w:r w:rsidRPr="00C047F3">
              <w:rPr>
                <w:rFonts w:ascii="Arial" w:hAnsi="Arial" w:cs="Arial"/>
                <w:u w:val="none"/>
              </w:rPr>
              <w:t xml:space="preserve">          Date</w:t>
            </w:r>
          </w:p>
        </w:tc>
        <w:tc>
          <w:tcPr>
            <w:tcW w:w="3178" w:type="dxa"/>
          </w:tcPr>
          <w:p w:rsidR="00184729" w:rsidRPr="00C047F3" w:rsidRDefault="00184729" w:rsidP="006E0760">
            <w:pPr>
              <w:pStyle w:val="Heading7"/>
              <w:rPr>
                <w:rFonts w:ascii="Arial" w:hAnsi="Arial" w:cs="Arial"/>
                <w:u w:val="none"/>
              </w:rPr>
            </w:pPr>
            <w:r w:rsidRPr="00C047F3">
              <w:rPr>
                <w:rFonts w:ascii="Arial" w:hAnsi="Arial" w:cs="Arial"/>
                <w:u w:val="none"/>
              </w:rPr>
              <w:t>Contact/Tel</w:t>
            </w:r>
          </w:p>
        </w:tc>
      </w:tr>
      <w:tr w:rsidR="00184729" w:rsidRPr="00C047F3" w:rsidTr="00C047F3">
        <w:tc>
          <w:tcPr>
            <w:tcW w:w="3510" w:type="dxa"/>
          </w:tcPr>
          <w:p w:rsidR="00184729" w:rsidRPr="00C047F3" w:rsidRDefault="00184729" w:rsidP="000D79B4">
            <w:pPr>
              <w:rPr>
                <w:rFonts w:cs="Arial"/>
              </w:rPr>
            </w:pPr>
          </w:p>
          <w:p w:rsidR="00184729" w:rsidRPr="00C047F3" w:rsidRDefault="00184729" w:rsidP="000D79B4">
            <w:pPr>
              <w:rPr>
                <w:rFonts w:cs="Arial"/>
              </w:rPr>
            </w:pPr>
            <w:r w:rsidRPr="00C047F3">
              <w:rPr>
                <w:rFonts w:cs="Arial"/>
              </w:rPr>
              <w:t>Arlingclose Ltd. Credit Risk Report</w:t>
            </w:r>
          </w:p>
          <w:p w:rsidR="00184729" w:rsidRPr="00C047F3" w:rsidRDefault="00184729" w:rsidP="000D79B4">
            <w:pPr>
              <w:rPr>
                <w:rFonts w:cs="Arial"/>
              </w:rPr>
            </w:pPr>
          </w:p>
          <w:p w:rsidR="00184729" w:rsidRPr="00C047F3" w:rsidRDefault="00184729" w:rsidP="000D79B4">
            <w:pPr>
              <w:rPr>
                <w:rFonts w:cs="Arial"/>
              </w:rPr>
            </w:pPr>
          </w:p>
          <w:p w:rsidR="00184729" w:rsidRPr="00C047F3" w:rsidRDefault="00184729" w:rsidP="000D79B4">
            <w:pPr>
              <w:rPr>
                <w:rFonts w:cs="Arial"/>
              </w:rPr>
            </w:pPr>
            <w:r w:rsidRPr="00C047F3">
              <w:rPr>
                <w:rFonts w:cs="Arial"/>
              </w:rPr>
              <w:t>CIPFA Treasury Management Code of Practice</w:t>
            </w:r>
          </w:p>
        </w:tc>
        <w:tc>
          <w:tcPr>
            <w:tcW w:w="2492" w:type="dxa"/>
          </w:tcPr>
          <w:p w:rsidR="00184729" w:rsidRPr="00C047F3" w:rsidRDefault="00184729" w:rsidP="000D79B4">
            <w:pPr>
              <w:pStyle w:val="Heading7"/>
              <w:rPr>
                <w:rFonts w:ascii="Arial" w:hAnsi="Arial" w:cs="Arial"/>
                <w:u w:val="none"/>
              </w:rPr>
            </w:pPr>
          </w:p>
          <w:p w:rsidR="00184729" w:rsidRPr="00C047F3" w:rsidRDefault="00184729" w:rsidP="000D79B4">
            <w:pPr>
              <w:rPr>
                <w:rFonts w:cs="Arial"/>
              </w:rPr>
            </w:pPr>
            <w:r w:rsidRPr="00C047F3">
              <w:rPr>
                <w:rFonts w:cs="Arial"/>
              </w:rPr>
              <w:t xml:space="preserve">          December              </w:t>
            </w:r>
          </w:p>
          <w:p w:rsidR="00184729" w:rsidRPr="00C047F3" w:rsidRDefault="00184729" w:rsidP="000D79B4">
            <w:pPr>
              <w:rPr>
                <w:rFonts w:cs="Arial"/>
              </w:rPr>
            </w:pPr>
            <w:r w:rsidRPr="00C047F3">
              <w:rPr>
                <w:rFonts w:cs="Arial"/>
              </w:rPr>
              <w:t xml:space="preserve">          201</w:t>
            </w:r>
            <w:r w:rsidR="00DB7E1A" w:rsidRPr="00C047F3">
              <w:rPr>
                <w:rFonts w:cs="Arial"/>
              </w:rPr>
              <w:t>6</w:t>
            </w:r>
          </w:p>
          <w:p w:rsidR="00184729" w:rsidRPr="00C047F3" w:rsidRDefault="00184729" w:rsidP="000D79B4">
            <w:pPr>
              <w:rPr>
                <w:rFonts w:cs="Arial"/>
              </w:rPr>
            </w:pPr>
          </w:p>
          <w:p w:rsidR="00184729" w:rsidRPr="00C047F3" w:rsidRDefault="00184729" w:rsidP="000D79B4">
            <w:pPr>
              <w:rPr>
                <w:rFonts w:cs="Arial"/>
              </w:rPr>
            </w:pPr>
            <w:r w:rsidRPr="00C047F3">
              <w:rPr>
                <w:rFonts w:cs="Arial"/>
              </w:rPr>
              <w:t xml:space="preserve">         </w:t>
            </w:r>
          </w:p>
          <w:p w:rsidR="00184729" w:rsidRPr="00C047F3" w:rsidRDefault="00184729" w:rsidP="000D79B4">
            <w:pPr>
              <w:rPr>
                <w:rFonts w:cs="Arial"/>
              </w:rPr>
            </w:pPr>
            <w:r w:rsidRPr="00C047F3">
              <w:rPr>
                <w:rFonts w:cs="Arial"/>
              </w:rPr>
              <w:t xml:space="preserve">          2011</w:t>
            </w:r>
          </w:p>
        </w:tc>
        <w:tc>
          <w:tcPr>
            <w:tcW w:w="3178" w:type="dxa"/>
          </w:tcPr>
          <w:p w:rsidR="00184729" w:rsidRPr="00C047F3" w:rsidRDefault="00184729" w:rsidP="000D79B4">
            <w:pPr>
              <w:rPr>
                <w:rFonts w:cs="Arial"/>
              </w:rPr>
            </w:pPr>
          </w:p>
          <w:p w:rsidR="00184729" w:rsidRPr="00C047F3" w:rsidRDefault="00DB7E1A" w:rsidP="000D79B4">
            <w:pPr>
              <w:rPr>
                <w:rFonts w:cs="Arial"/>
              </w:rPr>
            </w:pPr>
            <w:r w:rsidRPr="00C047F3">
              <w:rPr>
                <w:rFonts w:cs="Arial"/>
              </w:rPr>
              <w:t>Paul Dobson</w:t>
            </w:r>
            <w:r w:rsidR="006E0760">
              <w:rPr>
                <w:rFonts w:cs="Arial"/>
              </w:rPr>
              <w:t>,</w:t>
            </w:r>
            <w:r w:rsidR="00184729" w:rsidRPr="00C047F3">
              <w:rPr>
                <w:rFonts w:cs="Arial"/>
              </w:rPr>
              <w:t xml:space="preserve"> (01772) 534740</w:t>
            </w:r>
          </w:p>
          <w:p w:rsidR="00184729" w:rsidRPr="00C047F3" w:rsidRDefault="00184729" w:rsidP="000D79B4">
            <w:pPr>
              <w:rPr>
                <w:rFonts w:cs="Arial"/>
              </w:rPr>
            </w:pPr>
          </w:p>
          <w:p w:rsidR="006E0760" w:rsidRDefault="006E0760" w:rsidP="000D79B4">
            <w:pPr>
              <w:rPr>
                <w:rFonts w:cs="Arial"/>
              </w:rPr>
            </w:pPr>
          </w:p>
          <w:p w:rsidR="00184729" w:rsidRPr="00C047F3" w:rsidRDefault="00DB7E1A" w:rsidP="000D79B4">
            <w:pPr>
              <w:rPr>
                <w:rFonts w:cs="Arial"/>
              </w:rPr>
            </w:pPr>
            <w:r w:rsidRPr="00C047F3">
              <w:rPr>
                <w:rFonts w:cs="Arial"/>
              </w:rPr>
              <w:t>Paul Dobson</w:t>
            </w:r>
            <w:r w:rsidR="00184729" w:rsidRPr="00C047F3">
              <w:rPr>
                <w:rFonts w:cs="Arial"/>
              </w:rPr>
              <w:t>, (01772) 534740</w:t>
            </w:r>
          </w:p>
        </w:tc>
      </w:tr>
      <w:tr w:rsidR="00184729" w:rsidRPr="00C047F3" w:rsidTr="00C047F3">
        <w:trPr>
          <w:cantSplit/>
        </w:trPr>
        <w:tc>
          <w:tcPr>
            <w:tcW w:w="9180" w:type="dxa"/>
            <w:gridSpan w:val="3"/>
          </w:tcPr>
          <w:p w:rsidR="006E0760" w:rsidRDefault="006E0760" w:rsidP="000D79B4">
            <w:pPr>
              <w:rPr>
                <w:rFonts w:cs="Arial"/>
              </w:rPr>
            </w:pPr>
          </w:p>
          <w:p w:rsidR="006E0760" w:rsidRDefault="00184729" w:rsidP="000D79B4">
            <w:pPr>
              <w:rPr>
                <w:rFonts w:cs="Arial"/>
              </w:rPr>
            </w:pPr>
            <w:r w:rsidRPr="00C047F3">
              <w:rPr>
                <w:rFonts w:cs="Arial"/>
              </w:rPr>
              <w:t>Reason for inclusion in Part II, if appropriate</w:t>
            </w:r>
            <w:r w:rsidR="006E0760">
              <w:rPr>
                <w:rFonts w:cs="Arial"/>
              </w:rPr>
              <w:t xml:space="preserve"> </w:t>
            </w:r>
          </w:p>
          <w:p w:rsidR="006E0760" w:rsidRDefault="006E0760" w:rsidP="000D79B4">
            <w:pPr>
              <w:rPr>
                <w:rFonts w:cs="Arial"/>
              </w:rPr>
            </w:pPr>
          </w:p>
          <w:p w:rsidR="00184729" w:rsidRPr="00C047F3" w:rsidRDefault="00184729" w:rsidP="000D79B4">
            <w:pPr>
              <w:rPr>
                <w:rFonts w:cs="Arial"/>
              </w:rPr>
            </w:pPr>
            <w:r w:rsidRPr="00C047F3">
              <w:rPr>
                <w:rFonts w:cs="Arial"/>
              </w:rPr>
              <w:t>N/A</w:t>
            </w:r>
          </w:p>
          <w:p w:rsidR="00184729" w:rsidRPr="00C047F3" w:rsidRDefault="00184729" w:rsidP="000D79B4">
            <w:pPr>
              <w:rPr>
                <w:rFonts w:cs="Arial"/>
              </w:rPr>
            </w:pPr>
          </w:p>
        </w:tc>
      </w:tr>
    </w:tbl>
    <w:p w:rsidR="00184729" w:rsidRDefault="00184729" w:rsidP="001E4688">
      <w:pPr>
        <w:rPr>
          <w:b/>
        </w:rPr>
      </w:pPr>
    </w:p>
    <w:sectPr w:rsidR="00184729" w:rsidSect="0019724D">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C5" w:rsidRDefault="00BF18C5">
      <w:r>
        <w:separator/>
      </w:r>
    </w:p>
  </w:endnote>
  <w:endnote w:type="continuationSeparator" w:id="0">
    <w:p w:rsidR="00BF18C5" w:rsidRDefault="00B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F18C5">
      <w:tc>
        <w:tcPr>
          <w:tcW w:w="9243" w:type="dxa"/>
          <w:tcBorders>
            <w:top w:val="nil"/>
            <w:left w:val="nil"/>
            <w:bottom w:val="nil"/>
            <w:right w:val="nil"/>
          </w:tcBorders>
        </w:tcPr>
        <w:p w:rsidR="00BF18C5" w:rsidRDefault="00BF18C5">
          <w:pPr>
            <w:pStyle w:val="Footer"/>
            <w:tabs>
              <w:tab w:val="clear" w:pos="4153"/>
            </w:tabs>
            <w:ind w:right="-45"/>
            <w:jc w:val="right"/>
          </w:pPr>
        </w:p>
      </w:tc>
    </w:tr>
  </w:tbl>
  <w:p w:rsidR="00BF18C5" w:rsidRDefault="00BF18C5">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F18C5">
      <w:tc>
        <w:tcPr>
          <w:tcW w:w="9243" w:type="dxa"/>
          <w:tcBorders>
            <w:top w:val="nil"/>
            <w:left w:val="nil"/>
            <w:bottom w:val="nil"/>
            <w:right w:val="nil"/>
          </w:tcBorders>
        </w:tcPr>
        <w:p w:rsidR="00BF18C5" w:rsidRDefault="00406CE1">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sidR="00BF18C5">
            <w:t>.</w:t>
          </w:r>
        </w:p>
      </w:tc>
    </w:tr>
  </w:tbl>
  <w:p w:rsidR="00BF18C5" w:rsidRDefault="00BF18C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C5" w:rsidRDefault="00BF18C5">
      <w:r>
        <w:separator/>
      </w:r>
    </w:p>
  </w:footnote>
  <w:footnote w:type="continuationSeparator" w:id="0">
    <w:p w:rsidR="00BF18C5" w:rsidRDefault="00BF1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2488"/>
    <w:multiLevelType w:val="hybridMultilevel"/>
    <w:tmpl w:val="9A92478C"/>
    <w:lvl w:ilvl="0" w:tplc="4FFE1EB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D79B4"/>
    <w:rsid w:val="001447ED"/>
    <w:rsid w:val="00184729"/>
    <w:rsid w:val="0019724D"/>
    <w:rsid w:val="001E4688"/>
    <w:rsid w:val="00292BCD"/>
    <w:rsid w:val="00344A76"/>
    <w:rsid w:val="003E6064"/>
    <w:rsid w:val="00406CE1"/>
    <w:rsid w:val="004B40E0"/>
    <w:rsid w:val="004F5D5A"/>
    <w:rsid w:val="00500175"/>
    <w:rsid w:val="005049C5"/>
    <w:rsid w:val="00546F77"/>
    <w:rsid w:val="00576B7B"/>
    <w:rsid w:val="005A1430"/>
    <w:rsid w:val="005C5E84"/>
    <w:rsid w:val="005D4D69"/>
    <w:rsid w:val="00607266"/>
    <w:rsid w:val="00636D7C"/>
    <w:rsid w:val="0066403B"/>
    <w:rsid w:val="00664434"/>
    <w:rsid w:val="00697712"/>
    <w:rsid w:val="006E0760"/>
    <w:rsid w:val="00716E4A"/>
    <w:rsid w:val="007A11BD"/>
    <w:rsid w:val="007C2264"/>
    <w:rsid w:val="008568A2"/>
    <w:rsid w:val="00877D88"/>
    <w:rsid w:val="00895F3F"/>
    <w:rsid w:val="008C23C8"/>
    <w:rsid w:val="008E647B"/>
    <w:rsid w:val="0091739E"/>
    <w:rsid w:val="00926B72"/>
    <w:rsid w:val="00946B4D"/>
    <w:rsid w:val="009C7212"/>
    <w:rsid w:val="009D17C6"/>
    <w:rsid w:val="00A57623"/>
    <w:rsid w:val="00B231A7"/>
    <w:rsid w:val="00B371F4"/>
    <w:rsid w:val="00B52A04"/>
    <w:rsid w:val="00B57078"/>
    <w:rsid w:val="00B921E9"/>
    <w:rsid w:val="00BC0AF6"/>
    <w:rsid w:val="00BF18C5"/>
    <w:rsid w:val="00BF573B"/>
    <w:rsid w:val="00C047F3"/>
    <w:rsid w:val="00CB7CDD"/>
    <w:rsid w:val="00CD4F88"/>
    <w:rsid w:val="00D33804"/>
    <w:rsid w:val="00D80F1B"/>
    <w:rsid w:val="00D909E6"/>
    <w:rsid w:val="00D9570B"/>
    <w:rsid w:val="00DB7ADD"/>
    <w:rsid w:val="00DB7E1A"/>
    <w:rsid w:val="00EB5315"/>
    <w:rsid w:val="00EC3B17"/>
    <w:rsid w:val="00ED381B"/>
    <w:rsid w:val="00F1022F"/>
    <w:rsid w:val="00F36581"/>
    <w:rsid w:val="00F435D6"/>
    <w:rsid w:val="00F74F85"/>
    <w:rsid w:val="00F8284C"/>
    <w:rsid w:val="00FC7E3C"/>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8E90B0DD-62DB-4D33-A1F0-5C8BA149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4D"/>
    <w:rPr>
      <w:rFonts w:ascii="Arial" w:hAnsi="Arial"/>
      <w:sz w:val="24"/>
    </w:rPr>
  </w:style>
  <w:style w:type="paragraph" w:styleId="Heading1">
    <w:name w:val="heading 1"/>
    <w:basedOn w:val="Normal"/>
    <w:next w:val="Normal"/>
    <w:qFormat/>
    <w:rsid w:val="0019724D"/>
    <w:pPr>
      <w:keepNext/>
      <w:outlineLvl w:val="0"/>
    </w:pPr>
    <w:rPr>
      <w:b/>
    </w:rPr>
  </w:style>
  <w:style w:type="paragraph" w:styleId="Heading4">
    <w:name w:val="heading 4"/>
    <w:basedOn w:val="Normal"/>
    <w:next w:val="Normal"/>
    <w:qFormat/>
    <w:rsid w:val="0019724D"/>
    <w:pPr>
      <w:keepNext/>
      <w:jc w:val="right"/>
      <w:outlineLvl w:val="3"/>
    </w:pPr>
    <w:rPr>
      <w:b/>
    </w:rPr>
  </w:style>
  <w:style w:type="paragraph" w:styleId="Heading5">
    <w:name w:val="heading 5"/>
    <w:basedOn w:val="Normal"/>
    <w:next w:val="Normal"/>
    <w:link w:val="Heading5Char"/>
    <w:qFormat/>
    <w:rsid w:val="0019724D"/>
    <w:pPr>
      <w:keepNext/>
      <w:outlineLvl w:val="4"/>
    </w:pPr>
    <w:rPr>
      <w:rFonts w:ascii="Univers" w:hAnsi="Univers"/>
      <w:b/>
      <w:u w:val="single"/>
    </w:rPr>
  </w:style>
  <w:style w:type="paragraph" w:styleId="Heading6">
    <w:name w:val="heading 6"/>
    <w:basedOn w:val="Normal"/>
    <w:next w:val="Normal"/>
    <w:qFormat/>
    <w:rsid w:val="0019724D"/>
    <w:pPr>
      <w:keepNext/>
      <w:outlineLvl w:val="5"/>
    </w:pPr>
    <w:rPr>
      <w:rFonts w:ascii="Univers" w:hAnsi="Univers"/>
      <w:b/>
    </w:rPr>
  </w:style>
  <w:style w:type="paragraph" w:styleId="Heading7">
    <w:name w:val="heading 7"/>
    <w:basedOn w:val="Normal"/>
    <w:next w:val="Normal"/>
    <w:link w:val="Heading7Char"/>
    <w:qFormat/>
    <w:rsid w:val="0019724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24D"/>
    <w:rPr>
      <w:rFonts w:ascii="Universal" w:hAnsi="Universal"/>
    </w:rPr>
  </w:style>
  <w:style w:type="paragraph" w:styleId="BodyText2">
    <w:name w:val="Body Text 2"/>
    <w:basedOn w:val="Normal"/>
    <w:rsid w:val="0019724D"/>
    <w:rPr>
      <w:rFonts w:ascii="Univers" w:hAnsi="Univers"/>
      <w:b/>
      <w:u w:val="single"/>
    </w:rPr>
  </w:style>
  <w:style w:type="paragraph" w:styleId="BodyText">
    <w:name w:val="Body Text"/>
    <w:basedOn w:val="Normal"/>
    <w:rsid w:val="0019724D"/>
  </w:style>
  <w:style w:type="paragraph" w:styleId="Footer">
    <w:name w:val="footer"/>
    <w:basedOn w:val="Normal"/>
    <w:rsid w:val="0019724D"/>
    <w:pPr>
      <w:tabs>
        <w:tab w:val="center" w:pos="4153"/>
        <w:tab w:val="right" w:pos="8306"/>
      </w:tabs>
    </w:pPr>
  </w:style>
  <w:style w:type="character" w:styleId="PageNumber">
    <w:name w:val="page number"/>
    <w:basedOn w:val="DefaultParagraphFont"/>
    <w:rsid w:val="0019724D"/>
  </w:style>
  <w:style w:type="character" w:customStyle="1" w:styleId="Heading5Char">
    <w:name w:val="Heading 5 Char"/>
    <w:basedOn w:val="DefaultParagraphFont"/>
    <w:link w:val="Heading5"/>
    <w:rsid w:val="001E4688"/>
    <w:rPr>
      <w:rFonts w:ascii="Univers" w:hAnsi="Univers"/>
      <w:b/>
      <w:sz w:val="24"/>
      <w:u w:val="single"/>
    </w:rPr>
  </w:style>
  <w:style w:type="character" w:customStyle="1" w:styleId="Heading7Char">
    <w:name w:val="Heading 7 Char"/>
    <w:basedOn w:val="DefaultParagraphFont"/>
    <w:link w:val="Heading7"/>
    <w:rsid w:val="001E4688"/>
    <w:rPr>
      <w:rFonts w:ascii="Univers" w:hAnsi="Univers"/>
      <w:sz w:val="24"/>
      <w:u w:val="single"/>
    </w:rPr>
  </w:style>
  <w:style w:type="character" w:customStyle="1" w:styleId="HeaderChar">
    <w:name w:val="Header Char"/>
    <w:basedOn w:val="DefaultParagraphFont"/>
    <w:link w:val="Header"/>
    <w:uiPriority w:val="99"/>
    <w:rsid w:val="001E4688"/>
    <w:rPr>
      <w:rFonts w:ascii="Universal" w:hAnsi="Universal"/>
      <w:sz w:val="24"/>
    </w:rPr>
  </w:style>
  <w:style w:type="paragraph" w:styleId="ListParagraph">
    <w:name w:val="List Paragraph"/>
    <w:basedOn w:val="Normal"/>
    <w:uiPriority w:val="34"/>
    <w:qFormat/>
    <w:rsid w:val="00607266"/>
    <w:pPr>
      <w:ind w:left="720"/>
      <w:contextualSpacing/>
    </w:pPr>
  </w:style>
  <w:style w:type="character" w:styleId="Hyperlink">
    <w:name w:val="Hyperlink"/>
    <w:basedOn w:val="DefaultParagraphFont"/>
    <w:uiPriority w:val="99"/>
    <w:unhideWhenUsed/>
    <w:rsid w:val="000D7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l.kissock@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28.11.11</dc:description>
  <cp:lastModifiedBy>Gorman, Dave</cp:lastModifiedBy>
  <cp:revision>4</cp:revision>
  <cp:lastPrinted>2002-09-11T15:51:00Z</cp:lastPrinted>
  <dcterms:created xsi:type="dcterms:W3CDTF">2017-02-01T08:01:00Z</dcterms:created>
  <dcterms:modified xsi:type="dcterms:W3CDTF">2017-02-01T11:23:00Z</dcterms:modified>
</cp:coreProperties>
</file>