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A3E" w:rsidRDefault="00CC6A3E" w:rsidP="00CC6A3E">
      <w:pPr>
        <w:rPr>
          <w:b/>
        </w:rPr>
      </w:pPr>
      <w:r>
        <w:rPr>
          <w:b/>
        </w:rPr>
        <w:fldChar w:fldCharType="begin"/>
      </w:r>
      <w:r>
        <w:rPr>
          <w:b/>
        </w:rPr>
        <w:instrText xml:space="preserve"> DOCPROPERTY  CommitteeName  \* MERGEFORMAT </w:instrText>
      </w:r>
      <w:r>
        <w:rPr>
          <w:b/>
        </w:rPr>
        <w:fldChar w:fldCharType="separate"/>
      </w:r>
      <w:r>
        <w:rPr>
          <w:b/>
        </w:rPr>
        <w:t>Cabinet Committee on Performance Improvement</w:t>
      </w:r>
      <w:r>
        <w:rPr>
          <w:b/>
        </w:rPr>
        <w:fldChar w:fldCharType="end"/>
      </w:r>
    </w:p>
    <w:p w:rsidR="00CC6A3E" w:rsidRDefault="00CC6A3E" w:rsidP="00CC6A3E">
      <w:r>
        <w:t xml:space="preserve">Meeting to be held on </w:t>
      </w:r>
      <w:r w:rsidR="00954BFB">
        <w:t>27</w:t>
      </w:r>
      <w:r w:rsidR="00A3007B" w:rsidRPr="00A3007B">
        <w:rPr>
          <w:vertAlign w:val="superscript"/>
        </w:rPr>
        <w:t>th</w:t>
      </w:r>
      <w:r w:rsidR="00A3007B">
        <w:t xml:space="preserve"> </w:t>
      </w:r>
      <w:r w:rsidR="00954BFB">
        <w:t>February</w:t>
      </w:r>
      <w:r w:rsidR="00A3007B">
        <w:t xml:space="preserve"> 2017</w:t>
      </w:r>
    </w:p>
    <w:p w:rsidR="00A3007B" w:rsidRDefault="00A3007B" w:rsidP="00CC6A3E"/>
    <w:p w:rsidR="00CC6A3E" w:rsidRDefault="00CC6A3E" w:rsidP="00CC6A3E">
      <w:pPr>
        <w:rPr>
          <w:b/>
        </w:rPr>
      </w:pPr>
      <w:r>
        <w:rPr>
          <w:b/>
        </w:rPr>
        <w:t>Report of the Head of Legal &amp; Democratic Services</w:t>
      </w:r>
    </w:p>
    <w:p w:rsidR="00CC6A3E" w:rsidRDefault="00CC6A3E" w:rsidP="00CC6A3E"/>
    <w:p w:rsidR="00CC6A3E" w:rsidRDefault="00CC6A3E" w:rsidP="00CC6A3E"/>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CC6A3E" w:rsidTr="00E82FBE">
        <w:tc>
          <w:tcPr>
            <w:tcW w:w="3402" w:type="dxa"/>
          </w:tcPr>
          <w:p w:rsidR="00CC6A3E" w:rsidRDefault="00CC6A3E" w:rsidP="00E82FBE">
            <w:pPr>
              <w:pStyle w:val="BodyText"/>
            </w:pPr>
            <w:r>
              <w:t>Electoral Division affected:</w:t>
            </w:r>
          </w:p>
          <w:p w:rsidR="00CC6A3E" w:rsidRDefault="00A919E9" w:rsidP="00E82FBE">
            <w:pPr>
              <w:ind w:right="-250"/>
              <w:rPr>
                <w:u w:val="single"/>
              </w:rPr>
            </w:pPr>
            <w:fldSimple w:instr=" DOCPROPERTY  Wards  \* MERGEFORMAT ">
              <w:r w:rsidR="00CC6A3E">
                <w:t>(All Divisions);</w:t>
              </w:r>
            </w:fldSimple>
          </w:p>
        </w:tc>
      </w:tr>
    </w:tbl>
    <w:p w:rsidR="00CC6A3E" w:rsidRDefault="00CC6A3E" w:rsidP="00CC6A3E">
      <w:pPr>
        <w:rPr>
          <w:b/>
          <w:u w:val="single"/>
        </w:rPr>
      </w:pPr>
    </w:p>
    <w:p w:rsidR="00CC6A3E" w:rsidRDefault="00F5155B" w:rsidP="00CC6A3E">
      <w:pPr>
        <w:rPr>
          <w:b/>
        </w:rPr>
      </w:pPr>
      <w:r>
        <w:rPr>
          <w:b/>
        </w:rPr>
        <w:t xml:space="preserve">Corporate </w:t>
      </w:r>
      <w:r w:rsidR="00CC6A3E">
        <w:rPr>
          <w:b/>
        </w:rPr>
        <w:fldChar w:fldCharType="begin"/>
      </w:r>
      <w:r w:rsidR="00CC6A3E">
        <w:rPr>
          <w:b/>
        </w:rPr>
        <w:instrText xml:space="preserve"> DOCPROPERTY  IssueTitle  \* MERGEFORMAT </w:instrText>
      </w:r>
      <w:r w:rsidR="00CC6A3E">
        <w:rPr>
          <w:b/>
        </w:rPr>
        <w:fldChar w:fldCharType="separate"/>
      </w:r>
      <w:r w:rsidR="00CC6A3E">
        <w:rPr>
          <w:b/>
        </w:rPr>
        <w:t xml:space="preserve">Risk and Opportunity Register Quarter </w:t>
      </w:r>
      <w:r w:rsidR="00CC6A3E">
        <w:rPr>
          <w:b/>
        </w:rPr>
        <w:fldChar w:fldCharType="end"/>
      </w:r>
      <w:r w:rsidR="00954BFB">
        <w:rPr>
          <w:b/>
        </w:rPr>
        <w:t>4</w:t>
      </w:r>
    </w:p>
    <w:p w:rsidR="00CC6A3E" w:rsidRDefault="00453BB3" w:rsidP="00CC6A3E">
      <w:pPr>
        <w:ind w:left="709" w:hanging="709"/>
        <w:rPr>
          <w:b/>
        </w:rPr>
      </w:pPr>
      <w:r>
        <w:t>(Appendix '</w:t>
      </w:r>
      <w:r w:rsidR="00CC6A3E">
        <w:t>A</w:t>
      </w:r>
      <w:r>
        <w:t>' refers</w:t>
      </w:r>
      <w:r w:rsidR="00CC6A3E">
        <w:t>)</w:t>
      </w:r>
    </w:p>
    <w:p w:rsidR="00CC6A3E" w:rsidRDefault="00CC6A3E" w:rsidP="00CC6A3E"/>
    <w:p w:rsidR="00CC6A3E" w:rsidRDefault="00CC6A3E" w:rsidP="00CC6A3E"/>
    <w:p w:rsidR="00CC6A3E" w:rsidRDefault="00CC6A3E" w:rsidP="00CC6A3E">
      <w:r>
        <w:t>Contact for further information:</w:t>
      </w:r>
    </w:p>
    <w:p w:rsidR="00CC6A3E" w:rsidRDefault="00CC6A3E" w:rsidP="00CC6A3E">
      <w:r>
        <w:t>Paul Bond, Head of Legal and Democratic Services, 01772 534676</w:t>
      </w:r>
    </w:p>
    <w:p w:rsidR="00CC6A3E" w:rsidRDefault="0036368E" w:rsidP="00CC6A3E">
      <w:pPr>
        <w:rPr>
          <w:b/>
        </w:rPr>
      </w:pPr>
      <w:hyperlink r:id="rId5" w:history="1">
        <w:r w:rsidR="00CC6A3E" w:rsidRPr="00B117D7">
          <w:rPr>
            <w:rStyle w:val="Hyperlink"/>
          </w:rPr>
          <w:t>Paul.bond@lancashire.gov.uk</w:t>
        </w:r>
      </w:hyperlink>
    </w:p>
    <w:p w:rsidR="00CC6A3E" w:rsidRDefault="00CC6A3E" w:rsidP="00CC6A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C6A3E" w:rsidTr="00E82FBE">
        <w:tc>
          <w:tcPr>
            <w:tcW w:w="9180" w:type="dxa"/>
          </w:tcPr>
          <w:p w:rsidR="00CC6A3E" w:rsidRDefault="00CC6A3E" w:rsidP="00E82FBE">
            <w:pPr>
              <w:rPr>
                <w:b/>
                <w:u w:val="single"/>
              </w:rPr>
            </w:pPr>
          </w:p>
          <w:p w:rsidR="00CC6A3E" w:rsidRDefault="00CC6A3E" w:rsidP="00E82FBE">
            <w:pPr>
              <w:pStyle w:val="Heading6"/>
              <w:rPr>
                <w:rFonts w:ascii="Arial" w:hAnsi="Arial"/>
              </w:rPr>
            </w:pPr>
            <w:r>
              <w:rPr>
                <w:rFonts w:ascii="Arial" w:hAnsi="Arial"/>
              </w:rPr>
              <w:t>Executive Summary</w:t>
            </w:r>
          </w:p>
          <w:p w:rsidR="00CC6A3E" w:rsidRDefault="00CC6A3E" w:rsidP="00E82FBE">
            <w:pPr>
              <w:rPr>
                <w:b/>
              </w:rPr>
            </w:pPr>
          </w:p>
          <w:p w:rsidR="00CC6A3E" w:rsidRDefault="00CC6A3E" w:rsidP="00E82FBE">
            <w:r>
              <w:t xml:space="preserve">This report provides an updated (Quarter </w:t>
            </w:r>
            <w:r w:rsidR="00F5155B">
              <w:t>4</w:t>
            </w:r>
            <w:r>
              <w:t xml:space="preserve">) </w:t>
            </w:r>
            <w:r w:rsidR="00453BB3">
              <w:t xml:space="preserve">Corporate </w:t>
            </w:r>
            <w:r>
              <w:t>Risk and Opportunity Register for the Committee to consider and comment upon.</w:t>
            </w:r>
          </w:p>
          <w:p w:rsidR="00CC6A3E" w:rsidRDefault="00CC6A3E" w:rsidP="00E82FBE"/>
          <w:p w:rsidR="00CC6A3E" w:rsidRDefault="00CC6A3E" w:rsidP="00E82FBE">
            <w:pPr>
              <w:pStyle w:val="Heading5"/>
              <w:rPr>
                <w:rFonts w:ascii="Arial" w:hAnsi="Arial"/>
                <w:u w:val="none"/>
              </w:rPr>
            </w:pPr>
            <w:r>
              <w:rPr>
                <w:rFonts w:ascii="Arial" w:hAnsi="Arial"/>
                <w:u w:val="none"/>
              </w:rPr>
              <w:t>Recommendation</w:t>
            </w:r>
          </w:p>
          <w:p w:rsidR="00453BB3" w:rsidRDefault="00453BB3" w:rsidP="00453BB3"/>
          <w:p w:rsidR="00453BB3" w:rsidRPr="00453BB3" w:rsidRDefault="00453BB3" w:rsidP="00453BB3">
            <w:pPr>
              <w:rPr>
                <w:color w:val="FF0000"/>
              </w:rPr>
            </w:pPr>
            <w:r>
              <w:t>The Cabinet Committee on Performance Improvement is asked to consider the updated Corporate Risk and Opportunity Register at Appendix 'A' and make any comments it considers appropriate.</w:t>
            </w:r>
          </w:p>
          <w:p w:rsidR="00CC6A3E" w:rsidRDefault="00CC6A3E" w:rsidP="0036368E">
            <w:bookmarkStart w:id="0" w:name="_GoBack"/>
            <w:bookmarkEnd w:id="0"/>
          </w:p>
        </w:tc>
      </w:tr>
    </w:tbl>
    <w:p w:rsidR="00CC6A3E" w:rsidRDefault="00CC6A3E" w:rsidP="00CC6A3E">
      <w:pPr>
        <w:rPr>
          <w:b/>
          <w:u w:val="single"/>
        </w:rPr>
      </w:pPr>
    </w:p>
    <w:p w:rsidR="00CC6A3E" w:rsidRDefault="00CC6A3E" w:rsidP="00CC6A3E">
      <w:pPr>
        <w:rPr>
          <w:b/>
        </w:rPr>
      </w:pPr>
      <w:r>
        <w:rPr>
          <w:b/>
        </w:rPr>
        <w:t xml:space="preserve">Background and Advice </w:t>
      </w:r>
    </w:p>
    <w:p w:rsidR="00CC6A3E" w:rsidRDefault="00CC6A3E" w:rsidP="00CC6A3E">
      <w:pPr>
        <w:rPr>
          <w:b/>
        </w:rPr>
      </w:pPr>
    </w:p>
    <w:p w:rsidR="00CC6A3E" w:rsidRDefault="00CC6A3E" w:rsidP="00CC6A3E">
      <w:r>
        <w:t xml:space="preserve">Following the </w:t>
      </w:r>
      <w:r w:rsidRPr="00723446">
        <w:t>corporate approach to re</w:t>
      </w:r>
      <w:r>
        <w:t>porting on risk and opportunity</w:t>
      </w:r>
      <w:r w:rsidR="00453BB3">
        <w:t>,</w:t>
      </w:r>
      <w:r>
        <w:t xml:space="preserve"> the quarter </w:t>
      </w:r>
      <w:r w:rsidR="00352AD1">
        <w:t>4</w:t>
      </w:r>
      <w:r>
        <w:t xml:space="preserve"> </w:t>
      </w:r>
      <w:r w:rsidRPr="00723446">
        <w:t>Risk and Opportunity re</w:t>
      </w:r>
      <w:r>
        <w:t>gister</w:t>
      </w:r>
      <w:r w:rsidRPr="00723446">
        <w:t xml:space="preserve"> w</w:t>
      </w:r>
      <w:r>
        <w:t>as recently reported</w:t>
      </w:r>
      <w:r w:rsidRPr="00723446">
        <w:t xml:space="preserve"> to Management Team</w:t>
      </w:r>
      <w:r>
        <w:t>. F</w:t>
      </w:r>
      <w:r w:rsidRPr="00723446">
        <w:t xml:space="preserve">ollowing </w:t>
      </w:r>
      <w:r>
        <w:t>this</w:t>
      </w:r>
      <w:r w:rsidRPr="00723446">
        <w:t xml:space="preserve"> </w:t>
      </w:r>
      <w:r w:rsidR="00453BB3">
        <w:t>C</w:t>
      </w:r>
      <w:r>
        <w:t>ommittee</w:t>
      </w:r>
      <w:r w:rsidR="00453BB3">
        <w:t>,</w:t>
      </w:r>
      <w:r>
        <w:t xml:space="preserve"> the Register will be presented to </w:t>
      </w:r>
      <w:r w:rsidR="00352AD1">
        <w:t xml:space="preserve">the next </w:t>
      </w:r>
      <w:r>
        <w:t>Audit</w:t>
      </w:r>
      <w:r w:rsidR="007B533C">
        <w:t>, Risk</w:t>
      </w:r>
      <w:r w:rsidR="00453BB3">
        <w:t xml:space="preserve"> and</w:t>
      </w:r>
      <w:r>
        <w:t xml:space="preserve"> Governance Committee</w:t>
      </w:r>
      <w:r w:rsidR="00352AD1">
        <w:t xml:space="preserve">. </w:t>
      </w:r>
      <w:r w:rsidR="00453BB3">
        <w:t xml:space="preserve"> </w:t>
      </w:r>
      <w:r w:rsidRPr="007B533C">
        <w:t xml:space="preserve">An updated </w:t>
      </w:r>
      <w:r w:rsidR="00453BB3">
        <w:t xml:space="preserve">Corporate </w:t>
      </w:r>
      <w:r w:rsidRPr="007B533C">
        <w:t>Risk and Opportunity Reg</w:t>
      </w:r>
      <w:r w:rsidR="00822C5A">
        <w:t xml:space="preserve">ister is attached at Appendix </w:t>
      </w:r>
      <w:r w:rsidR="00453BB3">
        <w:t>'</w:t>
      </w:r>
      <w:r w:rsidR="00822C5A">
        <w:t>A</w:t>
      </w:r>
      <w:r w:rsidR="00453BB3">
        <w:t>'</w:t>
      </w:r>
      <w:r w:rsidR="00822C5A">
        <w:t>.</w:t>
      </w:r>
    </w:p>
    <w:p w:rsidR="007D3876" w:rsidRDefault="007D3876" w:rsidP="00CC6A3E"/>
    <w:p w:rsidR="00CC6A3E" w:rsidRDefault="007D3876" w:rsidP="00CC6A3E">
      <w:r>
        <w:t xml:space="preserve">It was decided at Management Team to undertake a full review of the </w:t>
      </w:r>
      <w:r w:rsidR="00A919E9">
        <w:t xml:space="preserve">Corporate </w:t>
      </w:r>
      <w:r>
        <w:t xml:space="preserve">Risk and Opportunity Register </w:t>
      </w:r>
      <w:r w:rsidR="005518C2">
        <w:t>in the next month</w:t>
      </w:r>
      <w:r w:rsidR="00A919E9">
        <w:t>,</w:t>
      </w:r>
      <w:r w:rsidR="005518C2">
        <w:t xml:space="preserve"> </w:t>
      </w:r>
      <w:r>
        <w:t xml:space="preserve">to </w:t>
      </w:r>
      <w:r>
        <w:rPr>
          <w:rFonts w:cs="Arial"/>
          <w:szCs w:val="24"/>
        </w:rPr>
        <w:t>update it for the new financial year and new budget.</w:t>
      </w:r>
    </w:p>
    <w:p w:rsidR="00CC6A3E" w:rsidRDefault="00CC6A3E" w:rsidP="00CC6A3E"/>
    <w:p w:rsidR="00CC6A3E" w:rsidRDefault="00BA4D6C" w:rsidP="00CC6A3E">
      <w:r>
        <w:t>For this quarter</w:t>
      </w:r>
      <w:r w:rsidR="00A919E9">
        <w:t>,</w:t>
      </w:r>
      <w:r>
        <w:t xml:space="preserve"> th</w:t>
      </w:r>
      <w:r w:rsidR="00CC6A3E">
        <w:t>e key highlights in the register include:</w:t>
      </w:r>
    </w:p>
    <w:p w:rsidR="00CC6A3E" w:rsidRDefault="00CC6A3E" w:rsidP="00CC6A3E"/>
    <w:p w:rsidR="00CC6A3E" w:rsidRDefault="00BA4D6C" w:rsidP="00BA4D6C">
      <w:pPr>
        <w:numPr>
          <w:ilvl w:val="0"/>
          <w:numId w:val="3"/>
        </w:numPr>
      </w:pPr>
      <w:r>
        <w:t>No new entries to the register.</w:t>
      </w:r>
    </w:p>
    <w:p w:rsidR="00352AD1" w:rsidRDefault="00352AD1" w:rsidP="00BA4D6C">
      <w:pPr>
        <w:numPr>
          <w:ilvl w:val="0"/>
          <w:numId w:val="3"/>
        </w:numPr>
      </w:pPr>
      <w:r w:rsidRPr="007B533C">
        <w:t>Several new opportunities:</w:t>
      </w:r>
    </w:p>
    <w:p w:rsidR="007B533C" w:rsidRPr="007B533C" w:rsidRDefault="007B533C" w:rsidP="007B533C"/>
    <w:tbl>
      <w:tblPr>
        <w:tblStyle w:val="TableGrid"/>
        <w:tblW w:w="0" w:type="auto"/>
        <w:tblInd w:w="360" w:type="dxa"/>
        <w:tblLook w:val="04A0" w:firstRow="1" w:lastRow="0" w:firstColumn="1" w:lastColumn="0" w:noHBand="0" w:noVBand="1"/>
      </w:tblPr>
      <w:tblGrid>
        <w:gridCol w:w="1710"/>
        <w:gridCol w:w="6946"/>
      </w:tblGrid>
      <w:tr w:rsidR="007B533C" w:rsidTr="007B533C">
        <w:tc>
          <w:tcPr>
            <w:tcW w:w="1710" w:type="dxa"/>
          </w:tcPr>
          <w:p w:rsidR="007B533C" w:rsidRPr="007B533C" w:rsidRDefault="007B533C" w:rsidP="007B533C">
            <w:pPr>
              <w:jc w:val="center"/>
              <w:rPr>
                <w:rFonts w:cs="Arial"/>
                <w:b/>
                <w:sz w:val="22"/>
                <w:szCs w:val="22"/>
              </w:rPr>
            </w:pPr>
            <w:r w:rsidRPr="007B533C">
              <w:rPr>
                <w:rFonts w:cs="Arial"/>
                <w:b/>
                <w:sz w:val="22"/>
                <w:szCs w:val="22"/>
              </w:rPr>
              <w:t>Opportunity Identification Number</w:t>
            </w:r>
          </w:p>
        </w:tc>
        <w:tc>
          <w:tcPr>
            <w:tcW w:w="6946" w:type="dxa"/>
          </w:tcPr>
          <w:p w:rsidR="007B533C" w:rsidRPr="007B533C" w:rsidRDefault="007B533C" w:rsidP="007B533C">
            <w:pPr>
              <w:jc w:val="center"/>
              <w:rPr>
                <w:rFonts w:cs="Arial"/>
                <w:b/>
                <w:sz w:val="22"/>
                <w:szCs w:val="22"/>
              </w:rPr>
            </w:pPr>
          </w:p>
          <w:p w:rsidR="007B533C" w:rsidRPr="007B533C" w:rsidRDefault="007B533C" w:rsidP="007B533C">
            <w:pPr>
              <w:jc w:val="center"/>
              <w:rPr>
                <w:rFonts w:cs="Arial"/>
                <w:b/>
                <w:sz w:val="22"/>
                <w:szCs w:val="22"/>
              </w:rPr>
            </w:pPr>
            <w:r w:rsidRPr="007B533C">
              <w:rPr>
                <w:rFonts w:cs="Arial"/>
                <w:b/>
                <w:sz w:val="22"/>
                <w:szCs w:val="22"/>
              </w:rPr>
              <w:t>Opportunity Description</w:t>
            </w:r>
          </w:p>
        </w:tc>
      </w:tr>
      <w:tr w:rsidR="007B533C" w:rsidTr="007B533C">
        <w:tc>
          <w:tcPr>
            <w:tcW w:w="1710" w:type="dxa"/>
          </w:tcPr>
          <w:p w:rsidR="007B533C" w:rsidRPr="007B533C" w:rsidRDefault="007B533C" w:rsidP="007B533C">
            <w:pPr>
              <w:rPr>
                <w:rFonts w:cs="Arial"/>
                <w:sz w:val="22"/>
                <w:szCs w:val="22"/>
              </w:rPr>
            </w:pPr>
            <w:r w:rsidRPr="007B533C">
              <w:rPr>
                <w:rFonts w:cs="Arial"/>
                <w:sz w:val="22"/>
                <w:szCs w:val="22"/>
              </w:rPr>
              <w:lastRenderedPageBreak/>
              <w:t>CO6</w:t>
            </w:r>
          </w:p>
        </w:tc>
        <w:tc>
          <w:tcPr>
            <w:tcW w:w="6946" w:type="dxa"/>
          </w:tcPr>
          <w:p w:rsidR="007B533C" w:rsidRPr="007B533C" w:rsidRDefault="007B533C" w:rsidP="007B533C">
            <w:pPr>
              <w:rPr>
                <w:rFonts w:cs="Arial"/>
                <w:sz w:val="22"/>
                <w:szCs w:val="22"/>
              </w:rPr>
            </w:pPr>
            <w:r w:rsidRPr="007B533C">
              <w:rPr>
                <w:rFonts w:cs="Arial"/>
                <w:color w:val="000000"/>
                <w:sz w:val="22"/>
                <w:szCs w:val="22"/>
              </w:rPr>
              <w:t>Income Optimisation</w:t>
            </w:r>
          </w:p>
        </w:tc>
      </w:tr>
      <w:tr w:rsidR="007B533C" w:rsidTr="007B533C">
        <w:tc>
          <w:tcPr>
            <w:tcW w:w="1710" w:type="dxa"/>
          </w:tcPr>
          <w:p w:rsidR="007B533C" w:rsidRPr="007B533C" w:rsidRDefault="007B533C" w:rsidP="007B533C">
            <w:pPr>
              <w:rPr>
                <w:rFonts w:cs="Arial"/>
                <w:sz w:val="22"/>
                <w:szCs w:val="22"/>
              </w:rPr>
            </w:pPr>
            <w:r w:rsidRPr="007B533C">
              <w:rPr>
                <w:rFonts w:cs="Arial"/>
                <w:sz w:val="22"/>
                <w:szCs w:val="22"/>
              </w:rPr>
              <w:t>CO7</w:t>
            </w:r>
          </w:p>
        </w:tc>
        <w:tc>
          <w:tcPr>
            <w:tcW w:w="6946" w:type="dxa"/>
          </w:tcPr>
          <w:p w:rsidR="007B533C" w:rsidRPr="007B533C" w:rsidRDefault="007B533C" w:rsidP="007B533C">
            <w:pPr>
              <w:rPr>
                <w:rFonts w:cs="Arial"/>
                <w:color w:val="000000"/>
                <w:sz w:val="22"/>
                <w:szCs w:val="22"/>
              </w:rPr>
            </w:pPr>
            <w:r w:rsidRPr="007B533C">
              <w:rPr>
                <w:rFonts w:cs="Arial"/>
                <w:color w:val="000000"/>
                <w:sz w:val="22"/>
                <w:szCs w:val="22"/>
              </w:rPr>
              <w:t>The completion of the County Hall Old Building refurbishment including the development of the Exchange conferencing facility is almost done.  This provides an opportunity to maximise the occupancy of the building and reduce staff travel time and costs through the provision of service focussed accommodation and facilities.</w:t>
            </w:r>
          </w:p>
        </w:tc>
      </w:tr>
      <w:tr w:rsidR="007B533C" w:rsidTr="007B533C">
        <w:tc>
          <w:tcPr>
            <w:tcW w:w="1710" w:type="dxa"/>
          </w:tcPr>
          <w:p w:rsidR="007B533C" w:rsidRPr="007B533C" w:rsidRDefault="007B533C" w:rsidP="007B533C">
            <w:pPr>
              <w:rPr>
                <w:rFonts w:cs="Arial"/>
                <w:sz w:val="22"/>
                <w:szCs w:val="22"/>
              </w:rPr>
            </w:pPr>
            <w:r w:rsidRPr="007B533C">
              <w:rPr>
                <w:rFonts w:cs="Arial"/>
                <w:sz w:val="22"/>
                <w:szCs w:val="22"/>
              </w:rPr>
              <w:t>CO8</w:t>
            </w:r>
          </w:p>
        </w:tc>
        <w:tc>
          <w:tcPr>
            <w:tcW w:w="6946" w:type="dxa"/>
          </w:tcPr>
          <w:p w:rsidR="007B533C" w:rsidRPr="007B533C" w:rsidRDefault="007B533C" w:rsidP="007B533C">
            <w:pPr>
              <w:rPr>
                <w:rFonts w:cs="Arial"/>
                <w:sz w:val="22"/>
                <w:szCs w:val="22"/>
              </w:rPr>
            </w:pPr>
            <w:r w:rsidRPr="007B533C">
              <w:rPr>
                <w:rFonts w:cs="Arial"/>
                <w:color w:val="000000"/>
                <w:sz w:val="22"/>
                <w:szCs w:val="22"/>
              </w:rPr>
              <w:t>Develop and implement improved recruitment and retention practices to address increasing challenges</w:t>
            </w:r>
          </w:p>
        </w:tc>
      </w:tr>
    </w:tbl>
    <w:p w:rsidR="007B533C" w:rsidRPr="00352AD1" w:rsidRDefault="007B533C" w:rsidP="007B533C">
      <w:pPr>
        <w:ind w:left="360"/>
        <w:rPr>
          <w:highlight w:val="yellow"/>
        </w:rPr>
      </w:pPr>
    </w:p>
    <w:p w:rsidR="00CC6A3E" w:rsidRDefault="00CC6A3E" w:rsidP="00CC6A3E"/>
    <w:p w:rsidR="00CC6A3E" w:rsidRDefault="00CC6A3E" w:rsidP="00CC6A3E">
      <w:pPr>
        <w:numPr>
          <w:ilvl w:val="0"/>
          <w:numId w:val="2"/>
        </w:numPr>
      </w:pPr>
      <w:r>
        <w:t>allowing for mitigating actions, the residual risk score for the following entries remain 12 or above so the issue remains on the register:</w:t>
      </w:r>
    </w:p>
    <w:p w:rsidR="00CC6A3E" w:rsidRDefault="00CC6A3E" w:rsidP="00CC6A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351"/>
      </w:tblGrid>
      <w:tr w:rsidR="00CC6A3E" w:rsidTr="00BA4D6C">
        <w:tc>
          <w:tcPr>
            <w:tcW w:w="1665" w:type="dxa"/>
            <w:shd w:val="clear" w:color="auto" w:fill="auto"/>
          </w:tcPr>
          <w:p w:rsidR="00CC6A3E" w:rsidRPr="00864C22" w:rsidRDefault="00CC6A3E" w:rsidP="00E82FBE">
            <w:pPr>
              <w:jc w:val="center"/>
              <w:rPr>
                <w:b/>
                <w:sz w:val="22"/>
                <w:szCs w:val="22"/>
              </w:rPr>
            </w:pPr>
            <w:r w:rsidRPr="00864C22">
              <w:rPr>
                <w:b/>
                <w:sz w:val="22"/>
                <w:szCs w:val="22"/>
              </w:rPr>
              <w:t>Risk Identification Number (RIN)</w:t>
            </w:r>
          </w:p>
        </w:tc>
        <w:tc>
          <w:tcPr>
            <w:tcW w:w="7351" w:type="dxa"/>
            <w:shd w:val="clear" w:color="auto" w:fill="auto"/>
          </w:tcPr>
          <w:p w:rsidR="00CC6A3E" w:rsidRDefault="00CC6A3E" w:rsidP="00E82FBE">
            <w:pPr>
              <w:jc w:val="center"/>
              <w:rPr>
                <w:b/>
                <w:sz w:val="22"/>
                <w:szCs w:val="22"/>
              </w:rPr>
            </w:pPr>
          </w:p>
          <w:p w:rsidR="00CC6A3E" w:rsidRPr="00864C22" w:rsidRDefault="00CC6A3E" w:rsidP="00E82FBE">
            <w:pPr>
              <w:jc w:val="center"/>
              <w:rPr>
                <w:b/>
                <w:sz w:val="22"/>
                <w:szCs w:val="22"/>
              </w:rPr>
            </w:pPr>
            <w:r w:rsidRPr="00864C22">
              <w:rPr>
                <w:b/>
                <w:sz w:val="22"/>
                <w:szCs w:val="22"/>
              </w:rPr>
              <w:t>Risk Description</w:t>
            </w:r>
          </w:p>
        </w:tc>
      </w:tr>
      <w:tr w:rsidR="00CC6A3E" w:rsidTr="00BA4D6C">
        <w:tc>
          <w:tcPr>
            <w:tcW w:w="1665" w:type="dxa"/>
            <w:shd w:val="clear" w:color="auto" w:fill="auto"/>
          </w:tcPr>
          <w:p w:rsidR="00CC6A3E" w:rsidRPr="00FC2805" w:rsidRDefault="00CC6A3E" w:rsidP="00E82FBE">
            <w:pPr>
              <w:rPr>
                <w:sz w:val="22"/>
                <w:szCs w:val="22"/>
              </w:rPr>
            </w:pPr>
            <w:r w:rsidRPr="00FC2805">
              <w:rPr>
                <w:sz w:val="22"/>
                <w:szCs w:val="22"/>
              </w:rPr>
              <w:t>CR1</w:t>
            </w:r>
          </w:p>
        </w:tc>
        <w:tc>
          <w:tcPr>
            <w:tcW w:w="7351" w:type="dxa"/>
            <w:shd w:val="clear" w:color="auto" w:fill="auto"/>
          </w:tcPr>
          <w:p w:rsidR="00CC6A3E" w:rsidRPr="00B11A64" w:rsidRDefault="00B11A64" w:rsidP="00B11A64">
            <w:pPr>
              <w:rPr>
                <w:rFonts w:ascii="Calibri" w:hAnsi="Calibri"/>
                <w:sz w:val="22"/>
                <w:szCs w:val="22"/>
              </w:rPr>
            </w:pPr>
            <w:r w:rsidRPr="00B11A64">
              <w:rPr>
                <w:sz w:val="22"/>
                <w:szCs w:val="22"/>
              </w:rPr>
              <w:t>Failure to implement fully the County Council's Medium Term Financial Strategy and deliver a longer term</w:t>
            </w:r>
            <w:r>
              <w:rPr>
                <w:sz w:val="22"/>
                <w:szCs w:val="22"/>
              </w:rPr>
              <w:t xml:space="preserve"> financially sustainable budget. </w:t>
            </w:r>
            <w:r w:rsidRPr="00FC2805">
              <w:rPr>
                <w:sz w:val="22"/>
                <w:szCs w:val="22"/>
              </w:rPr>
              <w:t>Further mitigating actions added</w:t>
            </w:r>
            <w:r>
              <w:rPr>
                <w:sz w:val="22"/>
                <w:szCs w:val="22"/>
              </w:rPr>
              <w:t>. Residual risk score increased to 20.</w:t>
            </w:r>
          </w:p>
        </w:tc>
      </w:tr>
      <w:tr w:rsidR="00CC6A3E" w:rsidTr="00BA4D6C">
        <w:tc>
          <w:tcPr>
            <w:tcW w:w="1665" w:type="dxa"/>
            <w:shd w:val="clear" w:color="auto" w:fill="auto"/>
          </w:tcPr>
          <w:p w:rsidR="00CC6A3E" w:rsidRPr="00FC2805" w:rsidRDefault="00CC6A3E" w:rsidP="00E82FBE">
            <w:pPr>
              <w:rPr>
                <w:sz w:val="22"/>
                <w:szCs w:val="22"/>
              </w:rPr>
            </w:pPr>
            <w:r>
              <w:rPr>
                <w:sz w:val="22"/>
                <w:szCs w:val="22"/>
              </w:rPr>
              <w:t>CR5</w:t>
            </w:r>
          </w:p>
        </w:tc>
        <w:tc>
          <w:tcPr>
            <w:tcW w:w="7351" w:type="dxa"/>
            <w:shd w:val="clear" w:color="auto" w:fill="auto"/>
          </w:tcPr>
          <w:p w:rsidR="00CC6A3E" w:rsidRPr="00FC2805" w:rsidRDefault="00CC6A3E" w:rsidP="00E82FBE">
            <w:pPr>
              <w:rPr>
                <w:sz w:val="22"/>
                <w:szCs w:val="22"/>
              </w:rPr>
            </w:pPr>
            <w:r>
              <w:rPr>
                <w:sz w:val="22"/>
                <w:szCs w:val="22"/>
              </w:rPr>
              <w:t>Inability</w:t>
            </w:r>
            <w:r w:rsidRPr="00FC2805">
              <w:rPr>
                <w:sz w:val="22"/>
                <w:szCs w:val="22"/>
              </w:rPr>
              <w:t xml:space="preserve"> to adequately protect and safeguard children. Further mitigating actions added</w:t>
            </w:r>
            <w:r>
              <w:rPr>
                <w:sz w:val="22"/>
                <w:szCs w:val="22"/>
              </w:rPr>
              <w:t>. Residual risk score remains unchanged.</w:t>
            </w:r>
          </w:p>
        </w:tc>
      </w:tr>
      <w:tr w:rsidR="00CC6A3E" w:rsidTr="00BA4D6C">
        <w:tc>
          <w:tcPr>
            <w:tcW w:w="1665" w:type="dxa"/>
            <w:shd w:val="clear" w:color="auto" w:fill="auto"/>
          </w:tcPr>
          <w:p w:rsidR="00CC6A3E" w:rsidRPr="00FC2805" w:rsidRDefault="00CC6A3E" w:rsidP="00E82FBE">
            <w:pPr>
              <w:rPr>
                <w:sz w:val="22"/>
                <w:szCs w:val="22"/>
              </w:rPr>
            </w:pPr>
            <w:r>
              <w:rPr>
                <w:sz w:val="22"/>
                <w:szCs w:val="22"/>
              </w:rPr>
              <w:t>CR6</w:t>
            </w:r>
          </w:p>
        </w:tc>
        <w:tc>
          <w:tcPr>
            <w:tcW w:w="7351" w:type="dxa"/>
            <w:shd w:val="clear" w:color="auto" w:fill="auto"/>
          </w:tcPr>
          <w:p w:rsidR="00CC6A3E" w:rsidRPr="00FC2805" w:rsidRDefault="00CC6A3E" w:rsidP="00E82FBE">
            <w:pPr>
              <w:rPr>
                <w:sz w:val="22"/>
                <w:szCs w:val="22"/>
              </w:rPr>
            </w:pPr>
            <w:r w:rsidRPr="00FC2805">
              <w:rPr>
                <w:sz w:val="22"/>
                <w:szCs w:val="22"/>
              </w:rPr>
              <w:t>Failure to comply with statutory requirements and duties relating to CLA, children in ne</w:t>
            </w:r>
            <w:r>
              <w:rPr>
                <w:sz w:val="22"/>
                <w:szCs w:val="22"/>
              </w:rPr>
              <w:t>ed and children leaving care. Further mitigating actions added.  Score remains unchanged.</w:t>
            </w:r>
          </w:p>
        </w:tc>
      </w:tr>
      <w:tr w:rsidR="00CC6A3E" w:rsidTr="00BA4D6C">
        <w:tc>
          <w:tcPr>
            <w:tcW w:w="1665" w:type="dxa"/>
            <w:shd w:val="clear" w:color="auto" w:fill="auto"/>
          </w:tcPr>
          <w:p w:rsidR="00CC6A3E" w:rsidRPr="00FC2805" w:rsidRDefault="00CC6A3E" w:rsidP="00E82FBE">
            <w:pPr>
              <w:rPr>
                <w:sz w:val="22"/>
                <w:szCs w:val="22"/>
              </w:rPr>
            </w:pPr>
            <w:r>
              <w:rPr>
                <w:sz w:val="22"/>
                <w:szCs w:val="22"/>
              </w:rPr>
              <w:t>CR7</w:t>
            </w:r>
          </w:p>
        </w:tc>
        <w:tc>
          <w:tcPr>
            <w:tcW w:w="7351" w:type="dxa"/>
            <w:shd w:val="clear" w:color="auto" w:fill="auto"/>
          </w:tcPr>
          <w:p w:rsidR="00CC6A3E" w:rsidRPr="00FC2805" w:rsidRDefault="00CC6A3E" w:rsidP="00E82FBE">
            <w:pPr>
              <w:rPr>
                <w:sz w:val="22"/>
                <w:szCs w:val="22"/>
              </w:rPr>
            </w:pPr>
            <w:r w:rsidRPr="00FC2805">
              <w:rPr>
                <w:sz w:val="22"/>
                <w:szCs w:val="22"/>
              </w:rPr>
              <w:t xml:space="preserve">Failure to recruit and retain experienced staff within Children's services. </w:t>
            </w:r>
            <w:r w:rsidR="00BA4D6C">
              <w:rPr>
                <w:sz w:val="22"/>
                <w:szCs w:val="22"/>
              </w:rPr>
              <w:t xml:space="preserve">Further mitigation actions added. </w:t>
            </w:r>
            <w:r>
              <w:rPr>
                <w:sz w:val="22"/>
                <w:szCs w:val="22"/>
              </w:rPr>
              <w:t>Residual risk remains unchanged</w:t>
            </w:r>
          </w:p>
        </w:tc>
      </w:tr>
      <w:tr w:rsidR="00CC6A3E" w:rsidTr="00BA4D6C">
        <w:tc>
          <w:tcPr>
            <w:tcW w:w="1665" w:type="dxa"/>
            <w:shd w:val="clear" w:color="auto" w:fill="auto"/>
          </w:tcPr>
          <w:p w:rsidR="00CC6A3E" w:rsidRPr="00FC2805" w:rsidRDefault="00CC6A3E" w:rsidP="00E82FBE">
            <w:pPr>
              <w:rPr>
                <w:sz w:val="22"/>
                <w:szCs w:val="22"/>
              </w:rPr>
            </w:pPr>
            <w:r>
              <w:rPr>
                <w:sz w:val="22"/>
                <w:szCs w:val="22"/>
              </w:rPr>
              <w:t>CR12</w:t>
            </w:r>
          </w:p>
        </w:tc>
        <w:tc>
          <w:tcPr>
            <w:tcW w:w="7351" w:type="dxa"/>
            <w:shd w:val="clear" w:color="auto" w:fill="auto"/>
          </w:tcPr>
          <w:p w:rsidR="00CC6A3E" w:rsidRPr="00FC2805" w:rsidRDefault="00CC6A3E" w:rsidP="00E82FBE">
            <w:pPr>
              <w:rPr>
                <w:sz w:val="22"/>
                <w:szCs w:val="22"/>
              </w:rPr>
            </w:pPr>
            <w:r>
              <w:rPr>
                <w:sz w:val="22"/>
                <w:szCs w:val="22"/>
              </w:rPr>
              <w:t>Inability</w:t>
            </w:r>
            <w:r w:rsidRPr="00FC2805">
              <w:rPr>
                <w:sz w:val="22"/>
                <w:szCs w:val="22"/>
              </w:rPr>
              <w:t xml:space="preserve"> to implement/maintain systems that produce effective management information. Further mitigating actions added but residual score </w:t>
            </w:r>
            <w:r>
              <w:rPr>
                <w:sz w:val="22"/>
                <w:szCs w:val="22"/>
              </w:rPr>
              <w:t>remains the same.</w:t>
            </w:r>
          </w:p>
        </w:tc>
      </w:tr>
      <w:tr w:rsidR="00CC6A3E" w:rsidTr="00BA4D6C">
        <w:tc>
          <w:tcPr>
            <w:tcW w:w="1665" w:type="dxa"/>
            <w:shd w:val="clear" w:color="auto" w:fill="auto"/>
          </w:tcPr>
          <w:p w:rsidR="00CC6A3E" w:rsidRPr="00FC2805" w:rsidRDefault="00CC6A3E" w:rsidP="00E82FBE">
            <w:pPr>
              <w:rPr>
                <w:sz w:val="22"/>
                <w:szCs w:val="22"/>
              </w:rPr>
            </w:pPr>
            <w:r>
              <w:rPr>
                <w:sz w:val="22"/>
                <w:szCs w:val="22"/>
              </w:rPr>
              <w:t>CR16</w:t>
            </w:r>
          </w:p>
        </w:tc>
        <w:tc>
          <w:tcPr>
            <w:tcW w:w="7351" w:type="dxa"/>
            <w:shd w:val="clear" w:color="auto" w:fill="auto"/>
          </w:tcPr>
          <w:p w:rsidR="00CC6A3E" w:rsidRPr="00FC2805" w:rsidRDefault="00CC6A3E" w:rsidP="00E82FBE">
            <w:pPr>
              <w:rPr>
                <w:sz w:val="22"/>
                <w:szCs w:val="22"/>
              </w:rPr>
            </w:pPr>
            <w:r w:rsidRPr="00FC2805">
              <w:rPr>
                <w:sz w:val="22"/>
                <w:szCs w:val="22"/>
              </w:rPr>
              <w:t xml:space="preserve">Management of the County Council's assets. Further mitigating actions added but residual score </w:t>
            </w:r>
            <w:r>
              <w:rPr>
                <w:sz w:val="22"/>
                <w:szCs w:val="22"/>
              </w:rPr>
              <w:t>remains the same.</w:t>
            </w:r>
          </w:p>
        </w:tc>
      </w:tr>
      <w:tr w:rsidR="00CC6A3E" w:rsidTr="00BA4D6C">
        <w:tc>
          <w:tcPr>
            <w:tcW w:w="1665" w:type="dxa"/>
            <w:shd w:val="clear" w:color="auto" w:fill="auto"/>
          </w:tcPr>
          <w:p w:rsidR="00CC6A3E" w:rsidRPr="00FC2805" w:rsidRDefault="00CC6A3E" w:rsidP="00E82FBE">
            <w:pPr>
              <w:rPr>
                <w:sz w:val="22"/>
                <w:szCs w:val="22"/>
              </w:rPr>
            </w:pPr>
            <w:r>
              <w:rPr>
                <w:sz w:val="22"/>
                <w:szCs w:val="22"/>
              </w:rPr>
              <w:t>CR20</w:t>
            </w:r>
          </w:p>
        </w:tc>
        <w:tc>
          <w:tcPr>
            <w:tcW w:w="7351" w:type="dxa"/>
            <w:shd w:val="clear" w:color="auto" w:fill="auto"/>
          </w:tcPr>
          <w:p w:rsidR="00CC6A3E" w:rsidRPr="00FC2805" w:rsidRDefault="00CC6A3E" w:rsidP="00E82FBE">
            <w:pPr>
              <w:rPr>
                <w:sz w:val="22"/>
                <w:szCs w:val="22"/>
              </w:rPr>
            </w:pPr>
            <w:r w:rsidRPr="00FC2805">
              <w:rPr>
                <w:sz w:val="22"/>
                <w:szCs w:val="22"/>
              </w:rPr>
              <w:t xml:space="preserve">Transforming care (Winterbourne). </w:t>
            </w:r>
            <w:r>
              <w:rPr>
                <w:sz w:val="22"/>
                <w:szCs w:val="22"/>
              </w:rPr>
              <w:t>R</w:t>
            </w:r>
            <w:r w:rsidRPr="00FC2805">
              <w:rPr>
                <w:sz w:val="22"/>
                <w:szCs w:val="22"/>
              </w:rPr>
              <w:t>esidual score remains at 12.</w:t>
            </w:r>
          </w:p>
        </w:tc>
      </w:tr>
      <w:tr w:rsidR="00CC6A3E" w:rsidTr="00BA4D6C">
        <w:tc>
          <w:tcPr>
            <w:tcW w:w="1665" w:type="dxa"/>
            <w:shd w:val="clear" w:color="auto" w:fill="auto"/>
          </w:tcPr>
          <w:p w:rsidR="00CC6A3E" w:rsidRPr="00FC2805" w:rsidRDefault="00CC6A3E" w:rsidP="00E82FBE">
            <w:pPr>
              <w:rPr>
                <w:sz w:val="22"/>
                <w:szCs w:val="22"/>
              </w:rPr>
            </w:pPr>
            <w:r w:rsidRPr="00FC2805">
              <w:rPr>
                <w:sz w:val="22"/>
                <w:szCs w:val="22"/>
              </w:rPr>
              <w:t>CR</w:t>
            </w:r>
            <w:r>
              <w:rPr>
                <w:sz w:val="22"/>
                <w:szCs w:val="22"/>
              </w:rPr>
              <w:t>21</w:t>
            </w:r>
          </w:p>
        </w:tc>
        <w:tc>
          <w:tcPr>
            <w:tcW w:w="7351" w:type="dxa"/>
            <w:shd w:val="clear" w:color="auto" w:fill="auto"/>
          </w:tcPr>
          <w:p w:rsidR="00CC6A3E" w:rsidRPr="00FC2805" w:rsidRDefault="00CC6A3E" w:rsidP="00E82FBE">
            <w:pPr>
              <w:rPr>
                <w:sz w:val="22"/>
                <w:szCs w:val="22"/>
              </w:rPr>
            </w:pPr>
            <w:r w:rsidRPr="00FC2805">
              <w:rPr>
                <w:sz w:val="22"/>
                <w:szCs w:val="22"/>
              </w:rPr>
              <w:t xml:space="preserve">Service user/customer risk associated with the inability to influence behaviour change in demand and expectations continue to rise. </w:t>
            </w:r>
            <w:r>
              <w:rPr>
                <w:sz w:val="22"/>
                <w:szCs w:val="22"/>
              </w:rPr>
              <w:t>Controls and mitigating actions updated but r</w:t>
            </w:r>
            <w:r w:rsidRPr="00FC2805">
              <w:rPr>
                <w:sz w:val="22"/>
                <w:szCs w:val="22"/>
              </w:rPr>
              <w:t>esidual score remains at 12.</w:t>
            </w:r>
          </w:p>
        </w:tc>
      </w:tr>
      <w:tr w:rsidR="00CC6A3E" w:rsidTr="00BA4D6C">
        <w:tc>
          <w:tcPr>
            <w:tcW w:w="1665" w:type="dxa"/>
            <w:shd w:val="clear" w:color="auto" w:fill="auto"/>
          </w:tcPr>
          <w:p w:rsidR="00CC6A3E" w:rsidRPr="00FC2805" w:rsidRDefault="00CC6A3E" w:rsidP="00E82FBE">
            <w:pPr>
              <w:rPr>
                <w:sz w:val="22"/>
                <w:szCs w:val="22"/>
              </w:rPr>
            </w:pPr>
            <w:r>
              <w:rPr>
                <w:sz w:val="22"/>
                <w:szCs w:val="22"/>
              </w:rPr>
              <w:t>CR25</w:t>
            </w:r>
          </w:p>
        </w:tc>
        <w:tc>
          <w:tcPr>
            <w:tcW w:w="7351" w:type="dxa"/>
            <w:shd w:val="clear" w:color="auto" w:fill="auto"/>
          </w:tcPr>
          <w:p w:rsidR="00CC6A3E" w:rsidRPr="00352AD1" w:rsidRDefault="00CC6A3E" w:rsidP="007D3876">
            <w:pPr>
              <w:rPr>
                <w:sz w:val="22"/>
                <w:szCs w:val="22"/>
                <w:highlight w:val="yellow"/>
              </w:rPr>
            </w:pPr>
            <w:r w:rsidRPr="007D3876">
              <w:rPr>
                <w:sz w:val="22"/>
                <w:szCs w:val="22"/>
              </w:rPr>
              <w:t>Failure to implement and meet the statutory requirement to children and young people with special educational needs and/or disabilities</w:t>
            </w:r>
            <w:r w:rsidR="007D3876">
              <w:rPr>
                <w:sz w:val="22"/>
                <w:szCs w:val="22"/>
              </w:rPr>
              <w:t>. Further mitigation actions added</w:t>
            </w:r>
            <w:r w:rsidRPr="007D3876">
              <w:rPr>
                <w:sz w:val="22"/>
                <w:szCs w:val="22"/>
              </w:rPr>
              <w:t>.</w:t>
            </w:r>
            <w:r w:rsidR="007D3876" w:rsidRPr="007D3876">
              <w:rPr>
                <w:sz w:val="22"/>
                <w:szCs w:val="22"/>
              </w:rPr>
              <w:t xml:space="preserve"> Residual score increased to 16 to reflect inspection outcome.</w:t>
            </w:r>
            <w:r w:rsidR="00352AD1" w:rsidRPr="007D3876">
              <w:rPr>
                <w:sz w:val="22"/>
                <w:szCs w:val="22"/>
              </w:rPr>
              <w:t xml:space="preserve"> </w:t>
            </w:r>
          </w:p>
        </w:tc>
      </w:tr>
      <w:tr w:rsidR="00CC6A3E" w:rsidTr="00BA4D6C">
        <w:tc>
          <w:tcPr>
            <w:tcW w:w="1665" w:type="dxa"/>
            <w:shd w:val="clear" w:color="auto" w:fill="auto"/>
          </w:tcPr>
          <w:p w:rsidR="00CC6A3E" w:rsidRPr="00FC2805" w:rsidRDefault="00CC6A3E" w:rsidP="00E82FBE">
            <w:pPr>
              <w:rPr>
                <w:sz w:val="22"/>
                <w:szCs w:val="22"/>
              </w:rPr>
            </w:pPr>
            <w:r>
              <w:rPr>
                <w:sz w:val="22"/>
                <w:szCs w:val="22"/>
              </w:rPr>
              <w:t>CR26</w:t>
            </w:r>
          </w:p>
        </w:tc>
        <w:tc>
          <w:tcPr>
            <w:tcW w:w="7351" w:type="dxa"/>
            <w:shd w:val="clear" w:color="auto" w:fill="auto"/>
          </w:tcPr>
          <w:p w:rsidR="00CC6A3E" w:rsidRPr="00FC2805" w:rsidRDefault="00CC6A3E" w:rsidP="00E82FBE">
            <w:pPr>
              <w:rPr>
                <w:sz w:val="22"/>
                <w:szCs w:val="22"/>
              </w:rPr>
            </w:pPr>
            <w:r>
              <w:rPr>
                <w:sz w:val="22"/>
                <w:szCs w:val="22"/>
              </w:rPr>
              <w:t xml:space="preserve">Proposed museums closures. </w:t>
            </w:r>
            <w:r w:rsidRPr="00FC2805">
              <w:rPr>
                <w:sz w:val="22"/>
                <w:szCs w:val="22"/>
              </w:rPr>
              <w:t xml:space="preserve">Further mitigating actions added but residual score </w:t>
            </w:r>
            <w:r>
              <w:rPr>
                <w:sz w:val="22"/>
                <w:szCs w:val="22"/>
              </w:rPr>
              <w:t>remains the same.</w:t>
            </w:r>
          </w:p>
        </w:tc>
      </w:tr>
      <w:tr w:rsidR="00CC6A3E" w:rsidTr="00BA4D6C">
        <w:tc>
          <w:tcPr>
            <w:tcW w:w="1665" w:type="dxa"/>
            <w:shd w:val="clear" w:color="auto" w:fill="auto"/>
          </w:tcPr>
          <w:p w:rsidR="00CC6A3E" w:rsidRDefault="00CC6A3E" w:rsidP="00E82FBE">
            <w:pPr>
              <w:rPr>
                <w:sz w:val="22"/>
                <w:szCs w:val="22"/>
              </w:rPr>
            </w:pPr>
            <w:r>
              <w:rPr>
                <w:sz w:val="22"/>
                <w:szCs w:val="22"/>
              </w:rPr>
              <w:t>CR27</w:t>
            </w:r>
          </w:p>
        </w:tc>
        <w:tc>
          <w:tcPr>
            <w:tcW w:w="7351" w:type="dxa"/>
            <w:shd w:val="clear" w:color="auto" w:fill="auto"/>
          </w:tcPr>
          <w:p w:rsidR="00CC6A3E" w:rsidRPr="00F55D3B" w:rsidRDefault="00CC6A3E" w:rsidP="00E82FBE">
            <w:pPr>
              <w:rPr>
                <w:sz w:val="22"/>
                <w:szCs w:val="22"/>
              </w:rPr>
            </w:pPr>
            <w:r w:rsidRPr="00F55D3B">
              <w:rPr>
                <w:rFonts w:cs="Arial"/>
                <w:sz w:val="22"/>
                <w:szCs w:val="22"/>
              </w:rPr>
              <w:t>The mobilisation of the home care framework and subsequent service transfer process</w:t>
            </w:r>
            <w:r>
              <w:rPr>
                <w:rFonts w:cs="Arial"/>
                <w:sz w:val="22"/>
                <w:szCs w:val="22"/>
              </w:rPr>
              <w:t>. Mitigating actions are being put in place but the residual score remains the same.</w:t>
            </w:r>
          </w:p>
        </w:tc>
      </w:tr>
      <w:tr w:rsidR="00CC6A3E" w:rsidTr="00BA4D6C">
        <w:tc>
          <w:tcPr>
            <w:tcW w:w="1665" w:type="dxa"/>
            <w:shd w:val="clear" w:color="auto" w:fill="auto"/>
          </w:tcPr>
          <w:p w:rsidR="00CC6A3E" w:rsidRDefault="00CC6A3E" w:rsidP="00E82FBE">
            <w:pPr>
              <w:rPr>
                <w:sz w:val="22"/>
                <w:szCs w:val="22"/>
              </w:rPr>
            </w:pPr>
            <w:r>
              <w:rPr>
                <w:sz w:val="22"/>
                <w:szCs w:val="22"/>
              </w:rPr>
              <w:t>CR29</w:t>
            </w:r>
          </w:p>
        </w:tc>
        <w:tc>
          <w:tcPr>
            <w:tcW w:w="7351" w:type="dxa"/>
            <w:shd w:val="clear" w:color="auto" w:fill="auto"/>
          </w:tcPr>
          <w:p w:rsidR="00CC6A3E" w:rsidRDefault="00CC6A3E" w:rsidP="00766BA1">
            <w:pPr>
              <w:rPr>
                <w:rFonts w:cs="Arial"/>
                <w:sz w:val="22"/>
                <w:szCs w:val="22"/>
              </w:rPr>
            </w:pPr>
            <w:r>
              <w:rPr>
                <w:rFonts w:cs="Arial"/>
                <w:sz w:val="22"/>
                <w:szCs w:val="22"/>
              </w:rPr>
              <w:t>Delayed Transfer of Care. Controls and mitigating actions have been agreed but the</w:t>
            </w:r>
            <w:r w:rsidR="007D3876">
              <w:rPr>
                <w:rFonts w:cs="Arial"/>
                <w:sz w:val="22"/>
                <w:szCs w:val="22"/>
              </w:rPr>
              <w:t xml:space="preserve"> residual score remains at 20</w:t>
            </w:r>
            <w:r w:rsidR="00766BA1">
              <w:rPr>
                <w:rFonts w:cs="Arial"/>
                <w:sz w:val="22"/>
                <w:szCs w:val="22"/>
              </w:rPr>
              <w:t>.</w:t>
            </w:r>
            <w:r>
              <w:rPr>
                <w:rFonts w:cs="Arial"/>
                <w:sz w:val="22"/>
                <w:szCs w:val="22"/>
              </w:rPr>
              <w:t xml:space="preserve"> </w:t>
            </w:r>
          </w:p>
        </w:tc>
      </w:tr>
      <w:tr w:rsidR="00CC6A3E" w:rsidTr="00BA4D6C">
        <w:tc>
          <w:tcPr>
            <w:tcW w:w="1665" w:type="dxa"/>
            <w:shd w:val="clear" w:color="auto" w:fill="auto"/>
          </w:tcPr>
          <w:p w:rsidR="00CC6A3E" w:rsidRDefault="00CC6A3E" w:rsidP="00E82FBE">
            <w:pPr>
              <w:rPr>
                <w:sz w:val="22"/>
                <w:szCs w:val="22"/>
              </w:rPr>
            </w:pPr>
            <w:r>
              <w:rPr>
                <w:sz w:val="22"/>
                <w:szCs w:val="22"/>
              </w:rPr>
              <w:t>CR30</w:t>
            </w:r>
          </w:p>
        </w:tc>
        <w:tc>
          <w:tcPr>
            <w:tcW w:w="7351" w:type="dxa"/>
            <w:shd w:val="clear" w:color="auto" w:fill="auto"/>
          </w:tcPr>
          <w:p w:rsidR="00CC6A3E" w:rsidRDefault="00CC6A3E" w:rsidP="007D3876">
            <w:pPr>
              <w:rPr>
                <w:rFonts w:cs="Arial"/>
                <w:sz w:val="22"/>
                <w:szCs w:val="22"/>
              </w:rPr>
            </w:pPr>
            <w:r>
              <w:rPr>
                <w:rFonts w:cs="Arial"/>
                <w:sz w:val="22"/>
                <w:szCs w:val="22"/>
              </w:rPr>
              <w:t xml:space="preserve">Prevent people being drawn into terrorist activity. Controls and mitigating actions have been agreed to fulfil our duty but the residual score remains </w:t>
            </w:r>
            <w:r w:rsidR="007D3876">
              <w:rPr>
                <w:rFonts w:cs="Arial"/>
                <w:sz w:val="22"/>
                <w:szCs w:val="22"/>
              </w:rPr>
              <w:t>at 20.</w:t>
            </w:r>
          </w:p>
        </w:tc>
      </w:tr>
      <w:tr w:rsidR="00352AD1" w:rsidTr="00BA4D6C">
        <w:tc>
          <w:tcPr>
            <w:tcW w:w="1665" w:type="dxa"/>
            <w:shd w:val="clear" w:color="auto" w:fill="auto"/>
          </w:tcPr>
          <w:p w:rsidR="00352AD1" w:rsidRPr="00FC2805" w:rsidRDefault="00352AD1" w:rsidP="00E82FBE">
            <w:pPr>
              <w:rPr>
                <w:sz w:val="22"/>
                <w:szCs w:val="22"/>
              </w:rPr>
            </w:pPr>
            <w:r>
              <w:rPr>
                <w:sz w:val="22"/>
                <w:szCs w:val="22"/>
              </w:rPr>
              <w:t>CO1</w:t>
            </w:r>
          </w:p>
        </w:tc>
        <w:tc>
          <w:tcPr>
            <w:tcW w:w="7351" w:type="dxa"/>
            <w:shd w:val="clear" w:color="auto" w:fill="auto"/>
          </w:tcPr>
          <w:p w:rsidR="00352AD1" w:rsidRPr="00FC2805" w:rsidRDefault="007876A1" w:rsidP="00E82FBE">
            <w:pPr>
              <w:rPr>
                <w:sz w:val="22"/>
                <w:szCs w:val="22"/>
              </w:rPr>
            </w:pPr>
            <w:r w:rsidRPr="009A42D8">
              <w:t>Develop new pan-Lancashire approaches to public service delivery</w:t>
            </w:r>
            <w:r>
              <w:t>.</w:t>
            </w:r>
          </w:p>
        </w:tc>
      </w:tr>
      <w:tr w:rsidR="00CC6A3E" w:rsidTr="00BA4D6C">
        <w:tc>
          <w:tcPr>
            <w:tcW w:w="1665" w:type="dxa"/>
            <w:shd w:val="clear" w:color="auto" w:fill="auto"/>
          </w:tcPr>
          <w:p w:rsidR="00CC6A3E" w:rsidRPr="00FC2805" w:rsidRDefault="00CC6A3E" w:rsidP="00E82FBE">
            <w:pPr>
              <w:rPr>
                <w:sz w:val="22"/>
                <w:szCs w:val="22"/>
              </w:rPr>
            </w:pPr>
            <w:r w:rsidRPr="00FC2805">
              <w:rPr>
                <w:sz w:val="22"/>
                <w:szCs w:val="22"/>
              </w:rPr>
              <w:t>CO2</w:t>
            </w:r>
          </w:p>
        </w:tc>
        <w:tc>
          <w:tcPr>
            <w:tcW w:w="7351" w:type="dxa"/>
            <w:shd w:val="clear" w:color="auto" w:fill="auto"/>
          </w:tcPr>
          <w:p w:rsidR="00CC6A3E" w:rsidRPr="00FC2805" w:rsidRDefault="00CC6A3E" w:rsidP="00E82FBE">
            <w:pPr>
              <w:rPr>
                <w:sz w:val="22"/>
                <w:szCs w:val="22"/>
              </w:rPr>
            </w:pPr>
            <w:r w:rsidRPr="00FC2805">
              <w:rPr>
                <w:sz w:val="22"/>
                <w:szCs w:val="22"/>
              </w:rPr>
              <w:t>Delivering economi</w:t>
            </w:r>
            <w:r>
              <w:rPr>
                <w:sz w:val="22"/>
                <w:szCs w:val="22"/>
              </w:rPr>
              <w:t xml:space="preserve">c growth. </w:t>
            </w:r>
            <w:r w:rsidRPr="00FC2805">
              <w:rPr>
                <w:sz w:val="22"/>
                <w:szCs w:val="22"/>
              </w:rPr>
              <w:t>Further maximising acti</w:t>
            </w:r>
            <w:r>
              <w:rPr>
                <w:sz w:val="22"/>
                <w:szCs w:val="22"/>
              </w:rPr>
              <w:t xml:space="preserve">ons added. </w:t>
            </w:r>
            <w:r w:rsidRPr="00FC2805">
              <w:rPr>
                <w:sz w:val="22"/>
                <w:szCs w:val="22"/>
              </w:rPr>
              <w:t xml:space="preserve"> </w:t>
            </w:r>
          </w:p>
        </w:tc>
      </w:tr>
      <w:tr w:rsidR="00CC6A3E" w:rsidTr="00BA4D6C">
        <w:tc>
          <w:tcPr>
            <w:tcW w:w="1665" w:type="dxa"/>
            <w:shd w:val="clear" w:color="auto" w:fill="auto"/>
          </w:tcPr>
          <w:p w:rsidR="00CC6A3E" w:rsidRPr="00FC2805" w:rsidRDefault="00CC6A3E" w:rsidP="00E82FBE">
            <w:pPr>
              <w:rPr>
                <w:sz w:val="22"/>
                <w:szCs w:val="22"/>
              </w:rPr>
            </w:pPr>
            <w:r w:rsidRPr="00FC2805">
              <w:rPr>
                <w:sz w:val="22"/>
                <w:szCs w:val="22"/>
              </w:rPr>
              <w:lastRenderedPageBreak/>
              <w:t>CO4</w:t>
            </w:r>
          </w:p>
        </w:tc>
        <w:tc>
          <w:tcPr>
            <w:tcW w:w="7351" w:type="dxa"/>
            <w:shd w:val="clear" w:color="auto" w:fill="auto"/>
          </w:tcPr>
          <w:p w:rsidR="00CC6A3E" w:rsidRPr="00FC2805" w:rsidRDefault="00CC6A3E" w:rsidP="00E06E6E">
            <w:pPr>
              <w:rPr>
                <w:sz w:val="22"/>
                <w:szCs w:val="22"/>
              </w:rPr>
            </w:pPr>
            <w:r w:rsidRPr="00FC2805">
              <w:rPr>
                <w:sz w:val="22"/>
                <w:szCs w:val="22"/>
              </w:rPr>
              <w:t xml:space="preserve">Health &amp; Social Care Integration. </w:t>
            </w:r>
            <w:r>
              <w:rPr>
                <w:sz w:val="22"/>
                <w:szCs w:val="22"/>
              </w:rPr>
              <w:t xml:space="preserve">Narrative </w:t>
            </w:r>
            <w:r w:rsidR="00E06E6E">
              <w:rPr>
                <w:sz w:val="22"/>
                <w:szCs w:val="22"/>
              </w:rPr>
              <w:t>unchanged.</w:t>
            </w:r>
            <w:r>
              <w:rPr>
                <w:sz w:val="22"/>
                <w:szCs w:val="22"/>
              </w:rPr>
              <w:t xml:space="preserve"> </w:t>
            </w:r>
          </w:p>
        </w:tc>
      </w:tr>
      <w:tr w:rsidR="00CC6A3E" w:rsidTr="00BA4D6C">
        <w:tc>
          <w:tcPr>
            <w:tcW w:w="1665" w:type="dxa"/>
            <w:shd w:val="clear" w:color="auto" w:fill="auto"/>
          </w:tcPr>
          <w:p w:rsidR="00CC6A3E" w:rsidRPr="00FC2805" w:rsidRDefault="00CC6A3E" w:rsidP="00E82FBE">
            <w:pPr>
              <w:rPr>
                <w:sz w:val="22"/>
                <w:szCs w:val="22"/>
              </w:rPr>
            </w:pPr>
            <w:r>
              <w:rPr>
                <w:sz w:val="22"/>
                <w:szCs w:val="22"/>
              </w:rPr>
              <w:t>CO5</w:t>
            </w:r>
          </w:p>
        </w:tc>
        <w:tc>
          <w:tcPr>
            <w:tcW w:w="7351" w:type="dxa"/>
            <w:shd w:val="clear" w:color="auto" w:fill="auto"/>
          </w:tcPr>
          <w:p w:rsidR="00CC6A3E" w:rsidRPr="00FC2805" w:rsidRDefault="00CC6A3E" w:rsidP="00D11C89">
            <w:pPr>
              <w:rPr>
                <w:sz w:val="22"/>
                <w:szCs w:val="22"/>
              </w:rPr>
            </w:pPr>
            <w:r>
              <w:rPr>
                <w:sz w:val="22"/>
                <w:szCs w:val="22"/>
              </w:rPr>
              <w:t xml:space="preserve">Apprenticeship levy and apprentice % in public sector. </w:t>
            </w:r>
            <w:r w:rsidR="00D11C89">
              <w:rPr>
                <w:sz w:val="22"/>
                <w:szCs w:val="22"/>
              </w:rPr>
              <w:t>Narrative updated</w:t>
            </w:r>
            <w:r>
              <w:rPr>
                <w:sz w:val="22"/>
                <w:szCs w:val="22"/>
              </w:rPr>
              <w:t>.</w:t>
            </w:r>
          </w:p>
        </w:tc>
      </w:tr>
      <w:tr w:rsidR="00E06E6E" w:rsidTr="00BA4D6C">
        <w:tc>
          <w:tcPr>
            <w:tcW w:w="1665" w:type="dxa"/>
            <w:shd w:val="clear" w:color="auto" w:fill="auto"/>
          </w:tcPr>
          <w:p w:rsidR="00E06E6E" w:rsidRDefault="00E06E6E" w:rsidP="00E82FBE">
            <w:pPr>
              <w:rPr>
                <w:sz w:val="22"/>
                <w:szCs w:val="22"/>
              </w:rPr>
            </w:pPr>
            <w:r>
              <w:rPr>
                <w:sz w:val="22"/>
                <w:szCs w:val="22"/>
              </w:rPr>
              <w:t>CO6</w:t>
            </w:r>
          </w:p>
        </w:tc>
        <w:tc>
          <w:tcPr>
            <w:tcW w:w="7351" w:type="dxa"/>
            <w:shd w:val="clear" w:color="auto" w:fill="auto"/>
          </w:tcPr>
          <w:p w:rsidR="00E06E6E" w:rsidRPr="007D3876" w:rsidRDefault="007876A1" w:rsidP="00E82FBE">
            <w:pPr>
              <w:rPr>
                <w:sz w:val="22"/>
                <w:szCs w:val="22"/>
              </w:rPr>
            </w:pPr>
            <w:r>
              <w:rPr>
                <w:sz w:val="22"/>
                <w:szCs w:val="22"/>
              </w:rPr>
              <w:t>Income Optimisation: N</w:t>
            </w:r>
            <w:r w:rsidR="00D11C89" w:rsidRPr="007D3876">
              <w:rPr>
                <w:sz w:val="22"/>
                <w:szCs w:val="22"/>
              </w:rPr>
              <w:t>ew opportunity added.</w:t>
            </w:r>
          </w:p>
        </w:tc>
      </w:tr>
      <w:tr w:rsidR="00E06E6E" w:rsidTr="00BA4D6C">
        <w:tc>
          <w:tcPr>
            <w:tcW w:w="1665" w:type="dxa"/>
            <w:shd w:val="clear" w:color="auto" w:fill="auto"/>
          </w:tcPr>
          <w:p w:rsidR="00E06E6E" w:rsidRDefault="00D11C89" w:rsidP="00E82FBE">
            <w:pPr>
              <w:rPr>
                <w:sz w:val="22"/>
                <w:szCs w:val="22"/>
              </w:rPr>
            </w:pPr>
            <w:r>
              <w:rPr>
                <w:sz w:val="22"/>
                <w:szCs w:val="22"/>
              </w:rPr>
              <w:t>CO7</w:t>
            </w:r>
          </w:p>
        </w:tc>
        <w:tc>
          <w:tcPr>
            <w:tcW w:w="7351" w:type="dxa"/>
            <w:shd w:val="clear" w:color="auto" w:fill="auto"/>
          </w:tcPr>
          <w:p w:rsidR="00E06E6E" w:rsidRPr="007D3876" w:rsidRDefault="00D11C89" w:rsidP="00E82FBE">
            <w:pPr>
              <w:rPr>
                <w:sz w:val="22"/>
                <w:szCs w:val="22"/>
              </w:rPr>
            </w:pPr>
            <w:r w:rsidRPr="007D3876">
              <w:rPr>
                <w:sz w:val="22"/>
                <w:szCs w:val="22"/>
              </w:rPr>
              <w:t>Exchange Conferencing facility: New opportunity added</w:t>
            </w:r>
          </w:p>
        </w:tc>
      </w:tr>
      <w:tr w:rsidR="00E06E6E" w:rsidTr="00BA4D6C">
        <w:tc>
          <w:tcPr>
            <w:tcW w:w="1665" w:type="dxa"/>
            <w:shd w:val="clear" w:color="auto" w:fill="auto"/>
          </w:tcPr>
          <w:p w:rsidR="00E06E6E" w:rsidRDefault="00D11C89" w:rsidP="00E82FBE">
            <w:pPr>
              <w:rPr>
                <w:sz w:val="22"/>
                <w:szCs w:val="22"/>
              </w:rPr>
            </w:pPr>
            <w:r>
              <w:rPr>
                <w:sz w:val="22"/>
                <w:szCs w:val="22"/>
              </w:rPr>
              <w:t>CO8</w:t>
            </w:r>
          </w:p>
        </w:tc>
        <w:tc>
          <w:tcPr>
            <w:tcW w:w="7351" w:type="dxa"/>
            <w:shd w:val="clear" w:color="auto" w:fill="auto"/>
          </w:tcPr>
          <w:p w:rsidR="00E06E6E" w:rsidRPr="007D3876" w:rsidRDefault="00D11C89" w:rsidP="00E82FBE">
            <w:pPr>
              <w:rPr>
                <w:sz w:val="22"/>
                <w:szCs w:val="22"/>
              </w:rPr>
            </w:pPr>
            <w:r w:rsidRPr="007D3876">
              <w:rPr>
                <w:sz w:val="22"/>
                <w:szCs w:val="22"/>
              </w:rPr>
              <w:t>Improved recruitment and retention policy: New opportunity added</w:t>
            </w:r>
          </w:p>
        </w:tc>
      </w:tr>
    </w:tbl>
    <w:p w:rsidR="00CC6A3E" w:rsidRDefault="00CC6A3E" w:rsidP="00CC6A3E">
      <w:pPr>
        <w:rPr>
          <w:b/>
        </w:rPr>
      </w:pPr>
    </w:p>
    <w:p w:rsidR="00CC6A3E" w:rsidRDefault="00CC6A3E" w:rsidP="00CC6A3E">
      <w:pPr>
        <w:rPr>
          <w:b/>
        </w:rPr>
      </w:pPr>
    </w:p>
    <w:p w:rsidR="00CC6A3E" w:rsidRDefault="00CC6A3E" w:rsidP="00CC6A3E">
      <w:pPr>
        <w:rPr>
          <w:b/>
        </w:rPr>
      </w:pPr>
      <w:r>
        <w:rPr>
          <w:b/>
        </w:rPr>
        <w:t>Consultations</w:t>
      </w:r>
    </w:p>
    <w:p w:rsidR="00CC6A3E" w:rsidRDefault="00CC6A3E" w:rsidP="00CC6A3E">
      <w:pPr>
        <w:rPr>
          <w:b/>
        </w:rPr>
      </w:pPr>
    </w:p>
    <w:p w:rsidR="00CC6A3E" w:rsidRDefault="00CC6A3E" w:rsidP="00CC6A3E">
      <w:pPr>
        <w:pStyle w:val="Header"/>
        <w:rPr>
          <w:rFonts w:ascii="Arial" w:hAnsi="Arial"/>
        </w:rPr>
      </w:pPr>
      <w:r>
        <w:rPr>
          <w:rFonts w:ascii="Arial" w:hAnsi="Arial"/>
        </w:rPr>
        <w:t>N/A</w:t>
      </w:r>
    </w:p>
    <w:p w:rsidR="00CC6A3E" w:rsidRDefault="00CC6A3E" w:rsidP="00CC6A3E">
      <w:pPr>
        <w:pStyle w:val="Header"/>
        <w:rPr>
          <w:rFonts w:ascii="Arial" w:hAnsi="Arial"/>
        </w:rPr>
      </w:pPr>
    </w:p>
    <w:p w:rsidR="00CC6A3E" w:rsidRDefault="00CC6A3E" w:rsidP="00CC6A3E">
      <w:r>
        <w:rPr>
          <w:b/>
        </w:rPr>
        <w:t>Implications</w:t>
      </w:r>
      <w:r>
        <w:t xml:space="preserve">: </w:t>
      </w:r>
    </w:p>
    <w:p w:rsidR="00CC6A3E" w:rsidRDefault="00CC6A3E" w:rsidP="00CC6A3E"/>
    <w:p w:rsidR="00CC6A3E" w:rsidRDefault="00CC6A3E" w:rsidP="00CC6A3E">
      <w:r>
        <w:t>This item has the following implications, as indicated:</w:t>
      </w:r>
    </w:p>
    <w:p w:rsidR="00CC6A3E" w:rsidRDefault="00CC6A3E" w:rsidP="00CC6A3E"/>
    <w:p w:rsidR="00CC6A3E" w:rsidRPr="00092B2F" w:rsidRDefault="00CC6A3E" w:rsidP="00CC6A3E">
      <w:pPr>
        <w:rPr>
          <w:b/>
        </w:rPr>
      </w:pPr>
      <w:r w:rsidRPr="00092B2F">
        <w:rPr>
          <w:b/>
        </w:rPr>
        <w:t>Risk management</w:t>
      </w:r>
    </w:p>
    <w:p w:rsidR="00CC6A3E" w:rsidRDefault="00CC6A3E" w:rsidP="00CC6A3E"/>
    <w:p w:rsidR="00CC6A3E" w:rsidRDefault="00CC6A3E" w:rsidP="00CC6A3E">
      <w:r w:rsidRPr="00F41A72">
        <w:rPr>
          <w:rFonts w:cs="Arial"/>
          <w:szCs w:val="24"/>
        </w:rPr>
        <w:t>Good governance enables an authority to pursue its vision effectively</w:t>
      </w:r>
      <w:r w:rsidR="00A919E9">
        <w:rPr>
          <w:rFonts w:cs="Arial"/>
          <w:szCs w:val="24"/>
        </w:rPr>
        <w:t>,</w:t>
      </w:r>
      <w:r w:rsidRPr="00F41A72">
        <w:rPr>
          <w:rFonts w:cs="Arial"/>
          <w:szCs w:val="24"/>
        </w:rPr>
        <w:t xml:space="preserve"> as well as underpinning that vision with sound arrangements for control and management of risk. </w:t>
      </w:r>
      <w:r w:rsidR="00A919E9">
        <w:rPr>
          <w:rFonts w:cs="Arial"/>
          <w:szCs w:val="24"/>
        </w:rPr>
        <w:t xml:space="preserve"> </w:t>
      </w:r>
      <w:r>
        <w:rPr>
          <w:rFonts w:cs="Arial"/>
          <w:szCs w:val="24"/>
        </w:rPr>
        <w:t xml:space="preserve">An Authority must ensure that it has a sound system of internal control which includes effective arrangements for the management of risk.  </w:t>
      </w:r>
      <w:r w:rsidRPr="00F41A72">
        <w:rPr>
          <w:rFonts w:cs="Arial"/>
          <w:szCs w:val="24"/>
        </w:rPr>
        <w:t xml:space="preserve">Failure to develop and maintain a </w:t>
      </w:r>
      <w:r>
        <w:rPr>
          <w:rFonts w:cs="Arial"/>
          <w:szCs w:val="24"/>
        </w:rPr>
        <w:t>Corporate Risk &amp; Opportunity Register</w:t>
      </w:r>
      <w:r w:rsidRPr="00F41A72">
        <w:rPr>
          <w:rFonts w:cs="Arial"/>
          <w:szCs w:val="24"/>
        </w:rPr>
        <w:t xml:space="preserve"> means the Council would be negligent in its responsibilities for ensuring accountability and the proper conduct of public business</w:t>
      </w:r>
      <w:r>
        <w:rPr>
          <w:rFonts w:cs="Arial"/>
          <w:szCs w:val="24"/>
        </w:rPr>
        <w:t>.</w:t>
      </w:r>
    </w:p>
    <w:p w:rsidR="00CC6A3E" w:rsidRDefault="00CC6A3E" w:rsidP="00CC6A3E"/>
    <w:p w:rsidR="00CC6A3E" w:rsidRDefault="00CC6A3E" w:rsidP="00CC6A3E">
      <w:pPr>
        <w:pStyle w:val="Heading5"/>
        <w:rPr>
          <w:rFonts w:ascii="Arial" w:hAnsi="Arial"/>
          <w:u w:val="none"/>
        </w:rPr>
      </w:pPr>
      <w:r>
        <w:rPr>
          <w:rFonts w:ascii="Arial" w:hAnsi="Arial"/>
          <w:u w:val="none"/>
        </w:rPr>
        <w:t>List of Background Papers</w:t>
      </w:r>
    </w:p>
    <w:p w:rsidR="00CC6A3E" w:rsidRDefault="00CC6A3E" w:rsidP="00CC6A3E"/>
    <w:tbl>
      <w:tblPr>
        <w:tblW w:w="0" w:type="auto"/>
        <w:tblLayout w:type="fixed"/>
        <w:tblLook w:val="0000" w:firstRow="0" w:lastRow="0" w:firstColumn="0" w:lastColumn="0" w:noHBand="0" w:noVBand="0"/>
      </w:tblPr>
      <w:tblGrid>
        <w:gridCol w:w="3227"/>
        <w:gridCol w:w="2775"/>
        <w:gridCol w:w="3178"/>
      </w:tblGrid>
      <w:tr w:rsidR="00CC6A3E" w:rsidTr="00E82FBE">
        <w:trPr>
          <w:trHeight w:val="113"/>
        </w:trPr>
        <w:tc>
          <w:tcPr>
            <w:tcW w:w="3227" w:type="dxa"/>
          </w:tcPr>
          <w:p w:rsidR="00CC6A3E" w:rsidRDefault="00CC6A3E" w:rsidP="00E82FBE">
            <w:pPr>
              <w:pStyle w:val="Heading7"/>
              <w:rPr>
                <w:rFonts w:ascii="Arial" w:hAnsi="Arial"/>
                <w:u w:val="none"/>
              </w:rPr>
            </w:pPr>
            <w:r>
              <w:rPr>
                <w:rFonts w:ascii="Arial" w:hAnsi="Arial"/>
                <w:u w:val="none"/>
              </w:rPr>
              <w:t>Paper</w:t>
            </w:r>
          </w:p>
        </w:tc>
        <w:tc>
          <w:tcPr>
            <w:tcW w:w="2775" w:type="dxa"/>
          </w:tcPr>
          <w:p w:rsidR="00CC6A3E" w:rsidRDefault="00CC6A3E" w:rsidP="00E82FBE">
            <w:pPr>
              <w:pStyle w:val="Heading7"/>
              <w:rPr>
                <w:rFonts w:ascii="Arial" w:hAnsi="Arial"/>
                <w:u w:val="none"/>
              </w:rPr>
            </w:pPr>
            <w:r>
              <w:rPr>
                <w:rFonts w:ascii="Arial" w:hAnsi="Arial"/>
                <w:u w:val="none"/>
              </w:rPr>
              <w:t>Date</w:t>
            </w:r>
          </w:p>
        </w:tc>
        <w:tc>
          <w:tcPr>
            <w:tcW w:w="3178" w:type="dxa"/>
          </w:tcPr>
          <w:p w:rsidR="00CC6A3E" w:rsidRDefault="00CC6A3E" w:rsidP="00E82FBE">
            <w:pPr>
              <w:pStyle w:val="Heading7"/>
              <w:rPr>
                <w:rFonts w:ascii="Arial" w:hAnsi="Arial"/>
                <w:u w:val="none"/>
              </w:rPr>
            </w:pPr>
            <w:r>
              <w:rPr>
                <w:rFonts w:ascii="Arial" w:hAnsi="Arial"/>
                <w:u w:val="none"/>
              </w:rPr>
              <w:t>Contact/Tel</w:t>
            </w:r>
          </w:p>
        </w:tc>
      </w:tr>
      <w:tr w:rsidR="00CC6A3E" w:rsidTr="00E82FBE">
        <w:tc>
          <w:tcPr>
            <w:tcW w:w="3227" w:type="dxa"/>
          </w:tcPr>
          <w:p w:rsidR="00CC6A3E" w:rsidRDefault="00CC6A3E" w:rsidP="00E82FBE">
            <w:pPr>
              <w:pStyle w:val="Heading7"/>
              <w:rPr>
                <w:rFonts w:ascii="Arial" w:hAnsi="Arial"/>
              </w:rPr>
            </w:pPr>
          </w:p>
          <w:p w:rsidR="00CC6A3E" w:rsidRDefault="00A919E9" w:rsidP="00E82FBE">
            <w:r>
              <w:t>None</w:t>
            </w:r>
          </w:p>
        </w:tc>
        <w:tc>
          <w:tcPr>
            <w:tcW w:w="2775" w:type="dxa"/>
          </w:tcPr>
          <w:p w:rsidR="00CC6A3E" w:rsidRDefault="00CC6A3E" w:rsidP="00E82FBE">
            <w:pPr>
              <w:pStyle w:val="Heading7"/>
              <w:rPr>
                <w:rFonts w:ascii="Arial" w:hAnsi="Arial"/>
              </w:rPr>
            </w:pPr>
          </w:p>
          <w:p w:rsidR="00CC6A3E" w:rsidRDefault="00CC6A3E" w:rsidP="00E82FBE"/>
        </w:tc>
        <w:tc>
          <w:tcPr>
            <w:tcW w:w="3178" w:type="dxa"/>
          </w:tcPr>
          <w:p w:rsidR="00CC6A3E" w:rsidRDefault="00CC6A3E" w:rsidP="00E82FBE">
            <w:pPr>
              <w:rPr>
                <w:u w:val="single"/>
              </w:rPr>
            </w:pPr>
          </w:p>
          <w:p w:rsidR="00CC6A3E" w:rsidRDefault="00CC6A3E" w:rsidP="00A919E9">
            <w:r>
              <w:t xml:space="preserve"> </w:t>
            </w:r>
          </w:p>
        </w:tc>
      </w:tr>
      <w:tr w:rsidR="00CC6A3E" w:rsidTr="00E82FBE">
        <w:tc>
          <w:tcPr>
            <w:tcW w:w="9180" w:type="dxa"/>
            <w:gridSpan w:val="3"/>
          </w:tcPr>
          <w:p w:rsidR="00CC6A3E" w:rsidRDefault="00CC6A3E" w:rsidP="00E82FBE">
            <w:pPr>
              <w:pStyle w:val="Heading7"/>
              <w:rPr>
                <w:rFonts w:ascii="Arial" w:hAnsi="Arial"/>
                <w:u w:val="none"/>
              </w:rPr>
            </w:pPr>
          </w:p>
          <w:p w:rsidR="00CC6A3E" w:rsidRDefault="00CC6A3E" w:rsidP="00E82FBE">
            <w:pPr>
              <w:pStyle w:val="Heading7"/>
              <w:rPr>
                <w:rFonts w:ascii="Arial" w:hAnsi="Arial"/>
                <w:u w:val="none"/>
              </w:rPr>
            </w:pPr>
            <w:r>
              <w:rPr>
                <w:rFonts w:ascii="Arial" w:hAnsi="Arial"/>
                <w:u w:val="none"/>
              </w:rPr>
              <w:t>Reason for inclusion in Part II, if appropriate</w:t>
            </w:r>
          </w:p>
          <w:p w:rsidR="00CC6A3E" w:rsidRDefault="00CC6A3E" w:rsidP="00E82FBE"/>
          <w:p w:rsidR="00CC6A3E" w:rsidRDefault="00CC6A3E" w:rsidP="00E82FBE">
            <w:r>
              <w:t>N/A</w:t>
            </w:r>
          </w:p>
        </w:tc>
      </w:tr>
    </w:tbl>
    <w:p w:rsidR="002416E8" w:rsidRDefault="002416E8"/>
    <w:sectPr w:rsidR="00241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7121A"/>
    <w:multiLevelType w:val="hybridMultilevel"/>
    <w:tmpl w:val="3F3C7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841DE"/>
    <w:multiLevelType w:val="hybridMultilevel"/>
    <w:tmpl w:val="54A2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57D53"/>
    <w:multiLevelType w:val="hybridMultilevel"/>
    <w:tmpl w:val="41409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3E"/>
    <w:rsid w:val="00145919"/>
    <w:rsid w:val="00235D11"/>
    <w:rsid w:val="002416E8"/>
    <w:rsid w:val="00352AD1"/>
    <w:rsid w:val="0036368E"/>
    <w:rsid w:val="00453BB3"/>
    <w:rsid w:val="005472EA"/>
    <w:rsid w:val="005518C2"/>
    <w:rsid w:val="00766BA1"/>
    <w:rsid w:val="007876A1"/>
    <w:rsid w:val="007B533C"/>
    <w:rsid w:val="007D3876"/>
    <w:rsid w:val="00822C5A"/>
    <w:rsid w:val="008B12F5"/>
    <w:rsid w:val="00954BFB"/>
    <w:rsid w:val="00A3007B"/>
    <w:rsid w:val="00A919E9"/>
    <w:rsid w:val="00B11A64"/>
    <w:rsid w:val="00BA4D6C"/>
    <w:rsid w:val="00CC6A3E"/>
    <w:rsid w:val="00D11C89"/>
    <w:rsid w:val="00E06E6E"/>
    <w:rsid w:val="00F5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306F2-EAEB-4DF7-92A9-D5D58F6A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A3E"/>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CC6A3E"/>
    <w:pPr>
      <w:keepNext/>
      <w:outlineLvl w:val="4"/>
    </w:pPr>
    <w:rPr>
      <w:rFonts w:ascii="Univers" w:hAnsi="Univers"/>
      <w:b/>
      <w:u w:val="single"/>
    </w:rPr>
  </w:style>
  <w:style w:type="paragraph" w:styleId="Heading6">
    <w:name w:val="heading 6"/>
    <w:basedOn w:val="Normal"/>
    <w:next w:val="Normal"/>
    <w:link w:val="Heading6Char"/>
    <w:qFormat/>
    <w:rsid w:val="00CC6A3E"/>
    <w:pPr>
      <w:keepNext/>
      <w:outlineLvl w:val="5"/>
    </w:pPr>
    <w:rPr>
      <w:rFonts w:ascii="Univers" w:hAnsi="Univers"/>
      <w:b/>
    </w:rPr>
  </w:style>
  <w:style w:type="paragraph" w:styleId="Heading7">
    <w:name w:val="heading 7"/>
    <w:basedOn w:val="Normal"/>
    <w:next w:val="Normal"/>
    <w:link w:val="Heading7Char"/>
    <w:qFormat/>
    <w:rsid w:val="00CC6A3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C6A3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CC6A3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CC6A3E"/>
    <w:rPr>
      <w:rFonts w:ascii="Univers" w:eastAsia="Times New Roman" w:hAnsi="Univers" w:cs="Times New Roman"/>
      <w:sz w:val="24"/>
      <w:szCs w:val="20"/>
      <w:u w:val="single"/>
      <w:lang w:eastAsia="en-GB"/>
    </w:rPr>
  </w:style>
  <w:style w:type="paragraph" w:styleId="Header">
    <w:name w:val="header"/>
    <w:basedOn w:val="Normal"/>
    <w:link w:val="HeaderChar"/>
    <w:rsid w:val="00CC6A3E"/>
    <w:rPr>
      <w:rFonts w:ascii="Universal" w:hAnsi="Universal"/>
    </w:rPr>
  </w:style>
  <w:style w:type="character" w:customStyle="1" w:styleId="HeaderChar">
    <w:name w:val="Header Char"/>
    <w:basedOn w:val="DefaultParagraphFont"/>
    <w:link w:val="Header"/>
    <w:rsid w:val="00CC6A3E"/>
    <w:rPr>
      <w:rFonts w:ascii="Universal" w:eastAsia="Times New Roman" w:hAnsi="Universal" w:cs="Times New Roman"/>
      <w:sz w:val="24"/>
      <w:szCs w:val="20"/>
      <w:lang w:eastAsia="en-GB"/>
    </w:rPr>
  </w:style>
  <w:style w:type="paragraph" w:styleId="BodyText">
    <w:name w:val="Body Text"/>
    <w:basedOn w:val="Normal"/>
    <w:link w:val="BodyTextChar"/>
    <w:rsid w:val="00CC6A3E"/>
  </w:style>
  <w:style w:type="character" w:customStyle="1" w:styleId="BodyTextChar">
    <w:name w:val="Body Text Char"/>
    <w:basedOn w:val="DefaultParagraphFont"/>
    <w:link w:val="BodyText"/>
    <w:rsid w:val="00CC6A3E"/>
    <w:rPr>
      <w:rFonts w:ascii="Arial" w:eastAsia="Times New Roman" w:hAnsi="Arial" w:cs="Times New Roman"/>
      <w:sz w:val="24"/>
      <w:szCs w:val="20"/>
      <w:lang w:eastAsia="en-GB"/>
    </w:rPr>
  </w:style>
  <w:style w:type="character" w:styleId="Hyperlink">
    <w:name w:val="Hyperlink"/>
    <w:uiPriority w:val="99"/>
    <w:unhideWhenUsed/>
    <w:rsid w:val="00CC6A3E"/>
    <w:rPr>
      <w:color w:val="0563C1"/>
      <w:u w:val="single"/>
    </w:rPr>
  </w:style>
  <w:style w:type="table" w:styleId="TableGrid">
    <w:name w:val="Table Grid"/>
    <w:basedOn w:val="TableNormal"/>
    <w:uiPriority w:val="39"/>
    <w:rsid w:val="007B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bond@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Paul</dc:creator>
  <cp:keywords/>
  <dc:description/>
  <cp:lastModifiedBy>Mansfield, Joanne</cp:lastModifiedBy>
  <cp:revision>4</cp:revision>
  <dcterms:created xsi:type="dcterms:W3CDTF">2018-02-16T16:49:00Z</dcterms:created>
  <dcterms:modified xsi:type="dcterms:W3CDTF">2018-02-19T12:49:00Z</dcterms:modified>
</cp:coreProperties>
</file>