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C390" w14:textId="77777777" w:rsidR="008E28DF" w:rsidRPr="006D01A3" w:rsidRDefault="00F863F2" w:rsidP="00F863F2">
      <w:pPr>
        <w:rPr>
          <w:b/>
        </w:rPr>
      </w:pPr>
      <w:r w:rsidRPr="006D01A3">
        <w:rPr>
          <w:b/>
        </w:rPr>
        <w:t>Cabinet Committee on Perfo</w:t>
      </w:r>
      <w:r w:rsidR="008E28DF" w:rsidRPr="006D01A3">
        <w:rPr>
          <w:b/>
        </w:rPr>
        <w:t>rmance Improvement</w:t>
      </w:r>
    </w:p>
    <w:p w14:paraId="37604C6C" w14:textId="2BA0A63E" w:rsidR="00F863F2" w:rsidRPr="006D01A3" w:rsidRDefault="00222DF4" w:rsidP="00F863F2">
      <w:r w:rsidRPr="006D01A3">
        <w:t xml:space="preserve">Meeting to be held on </w:t>
      </w:r>
      <w:r w:rsidR="00294B23" w:rsidRPr="006D01A3">
        <w:t>Wedne</w:t>
      </w:r>
      <w:r w:rsidRPr="006D01A3">
        <w:t>s</w:t>
      </w:r>
      <w:r w:rsidR="008E28DF" w:rsidRPr="006D01A3">
        <w:t xml:space="preserve">day, </w:t>
      </w:r>
      <w:r w:rsidR="00BB0135">
        <w:t xml:space="preserve">27 February </w:t>
      </w:r>
      <w:r w:rsidR="000D0D79" w:rsidRPr="006D01A3">
        <w:t>201</w:t>
      </w:r>
      <w:r w:rsidR="00BB0135">
        <w:t>8</w:t>
      </w:r>
    </w:p>
    <w:p w14:paraId="04608E4D" w14:textId="77777777" w:rsidR="00F863F2" w:rsidRDefault="00F863F2" w:rsidP="00F863F2"/>
    <w:p w14:paraId="073FC2E5" w14:textId="77777777" w:rsidR="00F863F2" w:rsidRDefault="00826154" w:rsidP="00F863F2">
      <w:pPr>
        <w:rPr>
          <w:b/>
        </w:rPr>
      </w:pPr>
      <w:r>
        <w:rPr>
          <w:b/>
        </w:rPr>
        <w:t>Report of the Chief Executive</w:t>
      </w:r>
    </w:p>
    <w:p w14:paraId="34247108" w14:textId="77777777" w:rsidR="003E6A45" w:rsidRDefault="003E6A45">
      <w:pPr>
        <w:pStyle w:val="arial11"/>
      </w:pPr>
    </w:p>
    <w:p w14:paraId="7089481C"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7FB6CAC6" w14:textId="77777777">
        <w:tc>
          <w:tcPr>
            <w:tcW w:w="3260" w:type="dxa"/>
          </w:tcPr>
          <w:p w14:paraId="5DA04804" w14:textId="77777777" w:rsidR="003E6A45" w:rsidRDefault="003E6A45">
            <w:pPr>
              <w:pStyle w:val="BodyText"/>
            </w:pPr>
            <w:r>
              <w:t>Electoral Division affected:</w:t>
            </w:r>
          </w:p>
          <w:p w14:paraId="68F7A661" w14:textId="77777777" w:rsidR="003E6A45" w:rsidRPr="00F863F2" w:rsidRDefault="00F863F2">
            <w:r w:rsidRPr="00F863F2">
              <w:t>All</w:t>
            </w:r>
          </w:p>
        </w:tc>
      </w:tr>
    </w:tbl>
    <w:p w14:paraId="228E1195" w14:textId="77777777" w:rsidR="003E6A45" w:rsidRDefault="003E6A45">
      <w:pPr>
        <w:rPr>
          <w:u w:val="single"/>
        </w:rPr>
      </w:pPr>
    </w:p>
    <w:p w14:paraId="3F453A26" w14:textId="77777777" w:rsidR="00F863F2" w:rsidRDefault="001818BC" w:rsidP="00F863F2">
      <w:pPr>
        <w:rPr>
          <w:b/>
        </w:rPr>
      </w:pPr>
      <w:r>
        <w:rPr>
          <w:b/>
        </w:rPr>
        <w:t xml:space="preserve">Quarterly </w:t>
      </w:r>
      <w:r w:rsidR="00AA7963">
        <w:rPr>
          <w:b/>
        </w:rPr>
        <w:t xml:space="preserve">Corporate </w:t>
      </w:r>
      <w:r w:rsidR="00D567C6">
        <w:rPr>
          <w:b/>
        </w:rPr>
        <w:t>Perfor</w:t>
      </w:r>
      <w:r w:rsidR="002340F4">
        <w:rPr>
          <w:b/>
        </w:rPr>
        <w:t>mance Monitoring Report</w:t>
      </w:r>
      <w:r w:rsidR="00D567C6">
        <w:rPr>
          <w:b/>
        </w:rPr>
        <w:t xml:space="preserve"> </w:t>
      </w:r>
      <w:r w:rsidR="006247C6">
        <w:rPr>
          <w:b/>
        </w:rPr>
        <w:t xml:space="preserve">– </w:t>
      </w:r>
      <w:r w:rsidR="008560B4">
        <w:rPr>
          <w:b/>
        </w:rPr>
        <w:t xml:space="preserve">Quarter </w:t>
      </w:r>
      <w:r w:rsidR="00BB0135">
        <w:rPr>
          <w:b/>
        </w:rPr>
        <w:t>3</w:t>
      </w:r>
      <w:r w:rsidR="00222DF4">
        <w:rPr>
          <w:b/>
        </w:rPr>
        <w:t xml:space="preserve"> </w:t>
      </w:r>
      <w:r w:rsidR="00EB771F">
        <w:rPr>
          <w:b/>
        </w:rPr>
        <w:t>201</w:t>
      </w:r>
      <w:r w:rsidR="00C346F8">
        <w:rPr>
          <w:b/>
        </w:rPr>
        <w:t>7</w:t>
      </w:r>
      <w:r w:rsidR="00EB771F">
        <w:rPr>
          <w:b/>
        </w:rPr>
        <w:t>/1</w:t>
      </w:r>
      <w:r w:rsidR="00C346F8">
        <w:rPr>
          <w:b/>
        </w:rPr>
        <w:t>8</w:t>
      </w:r>
    </w:p>
    <w:p w14:paraId="5DD4A669" w14:textId="6C8DE0BD" w:rsidR="00F863F2" w:rsidRPr="005577F8" w:rsidRDefault="00F863F2" w:rsidP="00F863F2">
      <w:r w:rsidRPr="005577F8">
        <w:t>(Appendix 'A</w:t>
      </w:r>
      <w:r w:rsidR="008D2556">
        <w:t>'</w:t>
      </w:r>
      <w:r w:rsidR="00400DCC">
        <w:t xml:space="preserve"> </w:t>
      </w:r>
      <w:r w:rsidR="008908DF">
        <w:t>refer</w:t>
      </w:r>
      <w:r w:rsidR="008A3A4C">
        <w:t>s</w:t>
      </w:r>
      <w:r w:rsidRPr="005577F8">
        <w:t>)</w:t>
      </w:r>
    </w:p>
    <w:p w14:paraId="4200E57B" w14:textId="77777777" w:rsidR="003E6A45" w:rsidRPr="005819C8" w:rsidRDefault="003E6A45"/>
    <w:p w14:paraId="377089A2" w14:textId="77777777" w:rsidR="003E6A45" w:rsidRDefault="003E6A45">
      <w:r>
        <w:t>Contact for further information:</w:t>
      </w:r>
    </w:p>
    <w:p w14:paraId="735CDF8B" w14:textId="77777777" w:rsidR="00F863F2" w:rsidRDefault="00F863F2" w:rsidP="00F863F2">
      <w:pPr>
        <w:ind w:right="-873"/>
      </w:pPr>
      <w:r>
        <w:t>Michael W</w:t>
      </w:r>
      <w:r w:rsidR="00826154">
        <w:t xml:space="preserve">alder, 01772 533637, </w:t>
      </w:r>
      <w:r w:rsidR="00420A4F">
        <w:t>Business Intelligence</w:t>
      </w:r>
      <w:r>
        <w:t xml:space="preserve">, </w:t>
      </w:r>
    </w:p>
    <w:p w14:paraId="4CF8D394" w14:textId="77777777" w:rsidR="00F863F2" w:rsidRDefault="006B18FD" w:rsidP="00F863F2">
      <w:pPr>
        <w:ind w:right="-873"/>
      </w:pPr>
      <w:hyperlink r:id="rId8" w:history="1">
        <w:r w:rsidR="00F863F2" w:rsidRPr="005819C8">
          <w:rPr>
            <w:rStyle w:val="Hyperlink"/>
          </w:rPr>
          <w:t>Michael.Walder@lancashire.gov.uk</w:t>
        </w:r>
      </w:hyperlink>
      <w:r w:rsidR="00F863F2">
        <w:t xml:space="preserve">  </w:t>
      </w:r>
    </w:p>
    <w:p w14:paraId="00D9A6D1" w14:textId="77777777" w:rsidR="009A5EF9" w:rsidRDefault="009A5EF9" w:rsidP="009A5EF9">
      <w:pPr>
        <w:pStyle w:val="NoSpacing"/>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14:paraId="7DB03FFB" w14:textId="77777777" w:rsidTr="00F046B1">
        <w:tc>
          <w:tcPr>
            <w:tcW w:w="9180" w:type="dxa"/>
          </w:tcPr>
          <w:p w14:paraId="38E14F6E" w14:textId="77777777" w:rsidR="00F046B1" w:rsidRDefault="00F046B1" w:rsidP="003665B3">
            <w:pPr>
              <w:pStyle w:val="Heading6"/>
              <w:rPr>
                <w:rFonts w:ascii="Arial" w:hAnsi="Arial"/>
              </w:rPr>
            </w:pPr>
            <w:r>
              <w:rPr>
                <w:rFonts w:ascii="Arial" w:hAnsi="Arial"/>
              </w:rPr>
              <w:t>Executive Summary</w:t>
            </w:r>
          </w:p>
          <w:p w14:paraId="19F395F1" w14:textId="77777777" w:rsidR="008A3A4C" w:rsidRPr="008A3A4C" w:rsidRDefault="008A3A4C" w:rsidP="008A3A4C"/>
          <w:p w14:paraId="36B10EF2" w14:textId="77777777" w:rsidR="00DF79EA" w:rsidRPr="00E46CCF" w:rsidRDefault="00347754" w:rsidP="00E46CCF">
            <w:pPr>
              <w:rPr>
                <w:bCs/>
                <w:sz w:val="22"/>
                <w:szCs w:val="22"/>
              </w:rPr>
            </w:pPr>
            <w:r w:rsidRPr="00E46CCF">
              <w:rPr>
                <w:bCs/>
                <w:sz w:val="22"/>
                <w:szCs w:val="22"/>
              </w:rPr>
              <w:t>This Corporate Performance Monitoring Report</w:t>
            </w:r>
            <w:r w:rsidR="00BB0135" w:rsidRPr="00E46CCF">
              <w:rPr>
                <w:bCs/>
                <w:sz w:val="22"/>
                <w:szCs w:val="22"/>
              </w:rPr>
              <w:t xml:space="preserve"> </w:t>
            </w:r>
            <w:r w:rsidRPr="00E46CCF">
              <w:rPr>
                <w:bCs/>
                <w:sz w:val="22"/>
                <w:szCs w:val="22"/>
              </w:rPr>
              <w:t>provides an overview of performance activity across the Council</w:t>
            </w:r>
            <w:r w:rsidR="00A30793" w:rsidRPr="00E46CCF">
              <w:rPr>
                <w:bCs/>
                <w:sz w:val="22"/>
                <w:szCs w:val="22"/>
              </w:rPr>
              <w:t xml:space="preserve"> covering September to December 2017 (Q3)</w:t>
            </w:r>
            <w:r w:rsidR="00BB0135" w:rsidRPr="00E46CCF">
              <w:rPr>
                <w:bCs/>
                <w:sz w:val="22"/>
                <w:szCs w:val="22"/>
              </w:rPr>
              <w:t>.</w:t>
            </w:r>
          </w:p>
          <w:p w14:paraId="41973301" w14:textId="77777777" w:rsidR="00BB0135" w:rsidRPr="00E46CCF" w:rsidRDefault="00BB0135" w:rsidP="00E46CCF">
            <w:pPr>
              <w:rPr>
                <w:bCs/>
                <w:sz w:val="22"/>
                <w:szCs w:val="22"/>
              </w:rPr>
            </w:pPr>
          </w:p>
          <w:p w14:paraId="608C8614" w14:textId="77777777" w:rsidR="00BB0135" w:rsidRPr="00E46CCF" w:rsidRDefault="00A30793" w:rsidP="00E46CCF">
            <w:pPr>
              <w:rPr>
                <w:bCs/>
                <w:sz w:val="22"/>
                <w:szCs w:val="22"/>
              </w:rPr>
            </w:pPr>
            <w:r w:rsidRPr="00E46CCF">
              <w:rPr>
                <w:bCs/>
                <w:sz w:val="22"/>
                <w:szCs w:val="22"/>
              </w:rPr>
              <w:t>Key points to note</w:t>
            </w:r>
            <w:r w:rsidR="00BB0135" w:rsidRPr="00E46CCF">
              <w:rPr>
                <w:bCs/>
                <w:sz w:val="22"/>
                <w:szCs w:val="22"/>
              </w:rPr>
              <w:t>:</w:t>
            </w:r>
          </w:p>
          <w:p w14:paraId="0A008982" w14:textId="77777777" w:rsidR="002775D4" w:rsidRPr="00E46CCF" w:rsidRDefault="002775D4" w:rsidP="00E46CCF">
            <w:pPr>
              <w:pStyle w:val="ListParagraph"/>
              <w:numPr>
                <w:ilvl w:val="0"/>
                <w:numId w:val="29"/>
              </w:numPr>
              <w:jc w:val="both"/>
              <w:rPr>
                <w:bCs/>
                <w:sz w:val="22"/>
                <w:szCs w:val="22"/>
              </w:rPr>
            </w:pPr>
            <w:r w:rsidRPr="00E46CCF">
              <w:rPr>
                <w:bCs/>
                <w:sz w:val="22"/>
                <w:szCs w:val="22"/>
              </w:rPr>
              <w:t xml:space="preserve">Improved </w:t>
            </w:r>
            <w:r w:rsidR="00742613" w:rsidRPr="00E46CCF">
              <w:rPr>
                <w:bCs/>
                <w:sz w:val="22"/>
                <w:szCs w:val="22"/>
              </w:rPr>
              <w:t>performance for</w:t>
            </w:r>
            <w:r w:rsidRPr="00E46CCF">
              <w:rPr>
                <w:bCs/>
                <w:sz w:val="22"/>
                <w:szCs w:val="22"/>
              </w:rPr>
              <w:t xml:space="preserve"> Children's Social Care (CSC) referral and re-referral rates</w:t>
            </w:r>
            <w:r w:rsidR="00742613" w:rsidRPr="00E46CCF">
              <w:rPr>
                <w:bCs/>
                <w:sz w:val="22"/>
                <w:szCs w:val="22"/>
              </w:rPr>
              <w:t>.</w:t>
            </w:r>
          </w:p>
          <w:p w14:paraId="51A7E457" w14:textId="77777777" w:rsidR="002775D4" w:rsidRPr="00E46CCF" w:rsidRDefault="002775D4" w:rsidP="00E46CCF">
            <w:pPr>
              <w:pStyle w:val="ListParagraph"/>
              <w:numPr>
                <w:ilvl w:val="0"/>
                <w:numId w:val="29"/>
              </w:numPr>
              <w:jc w:val="both"/>
              <w:rPr>
                <w:bCs/>
                <w:sz w:val="22"/>
                <w:szCs w:val="22"/>
              </w:rPr>
            </w:pPr>
            <w:r w:rsidRPr="00E46CCF">
              <w:rPr>
                <w:bCs/>
                <w:sz w:val="22"/>
                <w:szCs w:val="22"/>
              </w:rPr>
              <w:t>The timeliness of CSC assessments</w:t>
            </w:r>
            <w:r w:rsidR="00A30793" w:rsidRPr="00E46CCF">
              <w:rPr>
                <w:bCs/>
                <w:sz w:val="22"/>
                <w:szCs w:val="22"/>
              </w:rPr>
              <w:t>,</w:t>
            </w:r>
            <w:r w:rsidR="002D4AF8" w:rsidRPr="00E46CCF">
              <w:rPr>
                <w:bCs/>
                <w:sz w:val="22"/>
                <w:szCs w:val="22"/>
              </w:rPr>
              <w:t xml:space="preserve"> although better this quarter</w:t>
            </w:r>
            <w:r w:rsidR="00A30793" w:rsidRPr="00E46CCF">
              <w:rPr>
                <w:bCs/>
                <w:sz w:val="22"/>
                <w:szCs w:val="22"/>
              </w:rPr>
              <w:t>,</w:t>
            </w:r>
            <w:r w:rsidRPr="00E46CCF">
              <w:rPr>
                <w:bCs/>
                <w:sz w:val="22"/>
                <w:szCs w:val="22"/>
              </w:rPr>
              <w:t xml:space="preserve"> requires further improvement</w:t>
            </w:r>
            <w:r w:rsidR="002D4AF8" w:rsidRPr="00E46CCF">
              <w:rPr>
                <w:bCs/>
                <w:sz w:val="22"/>
                <w:szCs w:val="22"/>
              </w:rPr>
              <w:t>.</w:t>
            </w:r>
          </w:p>
          <w:p w14:paraId="30EFCC93" w14:textId="77777777" w:rsidR="002775D4" w:rsidRPr="00E46CCF" w:rsidRDefault="002775D4" w:rsidP="00E46CCF">
            <w:pPr>
              <w:pStyle w:val="ListParagraph"/>
              <w:numPr>
                <w:ilvl w:val="0"/>
                <w:numId w:val="29"/>
              </w:numPr>
              <w:jc w:val="both"/>
              <w:rPr>
                <w:bCs/>
                <w:sz w:val="22"/>
                <w:szCs w:val="22"/>
              </w:rPr>
            </w:pPr>
            <w:r w:rsidRPr="00E46CCF">
              <w:rPr>
                <w:bCs/>
                <w:sz w:val="22"/>
                <w:szCs w:val="22"/>
              </w:rPr>
              <w:t xml:space="preserve">The Children Looked </w:t>
            </w:r>
            <w:proofErr w:type="gramStart"/>
            <w:r w:rsidRPr="00E46CCF">
              <w:rPr>
                <w:bCs/>
                <w:sz w:val="22"/>
                <w:szCs w:val="22"/>
              </w:rPr>
              <w:t>After</w:t>
            </w:r>
            <w:proofErr w:type="gramEnd"/>
            <w:r w:rsidRPr="00E46CCF">
              <w:rPr>
                <w:bCs/>
                <w:sz w:val="22"/>
                <w:szCs w:val="22"/>
              </w:rPr>
              <w:t xml:space="preserve"> (CLA) rate has increased further and the number of CLA was at its highest ever.</w:t>
            </w:r>
          </w:p>
          <w:p w14:paraId="4E19648C" w14:textId="0457BED3" w:rsidR="002775D4" w:rsidRPr="0007214B" w:rsidRDefault="002775D4" w:rsidP="0007214B">
            <w:pPr>
              <w:pStyle w:val="ListParagraph"/>
              <w:numPr>
                <w:ilvl w:val="0"/>
                <w:numId w:val="29"/>
              </w:numPr>
              <w:jc w:val="both"/>
              <w:rPr>
                <w:bCs/>
                <w:sz w:val="22"/>
                <w:szCs w:val="22"/>
              </w:rPr>
            </w:pPr>
            <w:r w:rsidRPr="00E46CCF">
              <w:rPr>
                <w:bCs/>
                <w:sz w:val="22"/>
                <w:szCs w:val="22"/>
              </w:rPr>
              <w:t>Average CSC social worker caseloads are lower than most other authorities</w:t>
            </w:r>
            <w:r w:rsidR="00A30793" w:rsidRPr="00E46CCF">
              <w:rPr>
                <w:bCs/>
                <w:sz w:val="22"/>
                <w:szCs w:val="22"/>
              </w:rPr>
              <w:t>.</w:t>
            </w:r>
            <w:r w:rsidRPr="00E46CCF">
              <w:rPr>
                <w:bCs/>
                <w:sz w:val="22"/>
                <w:szCs w:val="22"/>
              </w:rPr>
              <w:t xml:space="preserve"> </w:t>
            </w:r>
          </w:p>
          <w:p w14:paraId="3F333A15" w14:textId="77777777" w:rsidR="00742613" w:rsidRPr="00E46CCF" w:rsidRDefault="00742613" w:rsidP="00E46CCF">
            <w:pPr>
              <w:pStyle w:val="ListParagraph"/>
              <w:numPr>
                <w:ilvl w:val="0"/>
                <w:numId w:val="29"/>
              </w:numPr>
              <w:jc w:val="both"/>
              <w:rPr>
                <w:bCs/>
                <w:sz w:val="22"/>
                <w:szCs w:val="22"/>
              </w:rPr>
            </w:pPr>
            <w:r w:rsidRPr="00E46CCF">
              <w:rPr>
                <w:bCs/>
                <w:sz w:val="22"/>
                <w:szCs w:val="22"/>
              </w:rPr>
              <w:t>The number of all killed or seriously injured and slight casualties on Lancashire roads is down for the first 3 quarters of 2017 compared to the previous 3 years.</w:t>
            </w:r>
          </w:p>
          <w:p w14:paraId="2B480EB2" w14:textId="45259F9F" w:rsidR="00587F14" w:rsidRPr="00E46CCF" w:rsidRDefault="00587F14" w:rsidP="00E46CCF">
            <w:pPr>
              <w:pStyle w:val="ListParagraph"/>
              <w:numPr>
                <w:ilvl w:val="0"/>
                <w:numId w:val="29"/>
              </w:numPr>
              <w:spacing w:before="120" w:after="120"/>
              <w:contextualSpacing/>
              <w:jc w:val="both"/>
              <w:rPr>
                <w:rFonts w:asciiTheme="minorHAnsi" w:eastAsiaTheme="minorEastAsia" w:hAnsiTheme="minorHAnsi" w:cstheme="minorBidi"/>
                <w:sz w:val="22"/>
                <w:szCs w:val="22"/>
              </w:rPr>
            </w:pPr>
            <w:r w:rsidRPr="00E46CCF">
              <w:rPr>
                <w:rFonts w:eastAsiaTheme="majorEastAsia" w:cs="Arial"/>
                <w:sz w:val="22"/>
                <w:szCs w:val="22"/>
              </w:rPr>
              <w:t xml:space="preserve">Adult Social Care waiting times for social work assessment have generally improved. A big increase in occupational therapy assessments completed suggests that </w:t>
            </w:r>
            <w:r w:rsidRPr="00E46CCF">
              <w:rPr>
                <w:rFonts w:eastAsiaTheme="majorEastAsia" w:cs="Arial"/>
                <w:sz w:val="22"/>
                <w:szCs w:val="22"/>
              </w:rPr>
              <w:lastRenderedPageBreak/>
              <w:t>waiting times for O</w:t>
            </w:r>
            <w:r w:rsidR="008732F8">
              <w:rPr>
                <w:rFonts w:eastAsiaTheme="majorEastAsia" w:cs="Arial"/>
                <w:sz w:val="22"/>
                <w:szCs w:val="22"/>
              </w:rPr>
              <w:t xml:space="preserve">ccupational </w:t>
            </w:r>
            <w:r w:rsidRPr="00E46CCF">
              <w:rPr>
                <w:rFonts w:eastAsiaTheme="majorEastAsia" w:cs="Arial"/>
                <w:sz w:val="22"/>
                <w:szCs w:val="22"/>
              </w:rPr>
              <w:t>T</w:t>
            </w:r>
            <w:r w:rsidR="008732F8">
              <w:rPr>
                <w:rFonts w:eastAsiaTheme="majorEastAsia" w:cs="Arial"/>
                <w:sz w:val="22"/>
                <w:szCs w:val="22"/>
              </w:rPr>
              <w:t>herapists (OT)</w:t>
            </w:r>
            <w:r w:rsidRPr="00E46CCF">
              <w:rPr>
                <w:rFonts w:eastAsiaTheme="majorEastAsia" w:cs="Arial"/>
                <w:sz w:val="22"/>
                <w:szCs w:val="22"/>
              </w:rPr>
              <w:t xml:space="preserve"> assessments are improving</w:t>
            </w:r>
            <w:r w:rsidR="00A30793" w:rsidRPr="00E46CCF">
              <w:rPr>
                <w:rFonts w:eastAsiaTheme="majorEastAsia" w:cs="Arial"/>
                <w:sz w:val="22"/>
                <w:szCs w:val="22"/>
              </w:rPr>
              <w:t xml:space="preserve"> although</w:t>
            </w:r>
            <w:r w:rsidRPr="00E46CCF">
              <w:rPr>
                <w:rFonts w:eastAsiaTheme="majorEastAsia" w:cs="Arial"/>
                <w:sz w:val="22"/>
                <w:szCs w:val="22"/>
              </w:rPr>
              <w:t xml:space="preserve"> OT </w:t>
            </w:r>
            <w:r w:rsidR="00A30793" w:rsidRPr="00E46CCF">
              <w:rPr>
                <w:rFonts w:eastAsiaTheme="majorEastAsia" w:cs="Arial"/>
                <w:sz w:val="22"/>
                <w:szCs w:val="22"/>
              </w:rPr>
              <w:t>waits are still often excessive</w:t>
            </w:r>
            <w:r w:rsidRPr="00E46CCF">
              <w:rPr>
                <w:rFonts w:eastAsiaTheme="majorEastAsia" w:cs="Arial"/>
                <w:sz w:val="22"/>
                <w:szCs w:val="22"/>
              </w:rPr>
              <w:t xml:space="preserve">. </w:t>
            </w:r>
          </w:p>
          <w:p w14:paraId="06689F0E" w14:textId="77777777" w:rsidR="00DA2D26" w:rsidRPr="00E46CCF" w:rsidRDefault="00A30793" w:rsidP="00E46CCF">
            <w:pPr>
              <w:pStyle w:val="ListParagraph"/>
              <w:numPr>
                <w:ilvl w:val="0"/>
                <w:numId w:val="29"/>
              </w:numPr>
              <w:rPr>
                <w:rFonts w:cs="Arial"/>
                <w:sz w:val="22"/>
                <w:szCs w:val="22"/>
              </w:rPr>
            </w:pPr>
            <w:r w:rsidRPr="00E46CCF">
              <w:rPr>
                <w:rFonts w:cs="Arial"/>
                <w:sz w:val="22"/>
                <w:szCs w:val="22"/>
              </w:rPr>
              <w:t>There is a slight improvement in the numbers of adults and older people being admitted to residential care compared to Q2, although the admission rates are still high compared to other local authorities.</w:t>
            </w:r>
          </w:p>
          <w:p w14:paraId="76AA8E23" w14:textId="77777777" w:rsidR="00DA2D26" w:rsidRPr="00E46CCF" w:rsidRDefault="00DA2D26" w:rsidP="00E46CCF">
            <w:pPr>
              <w:pStyle w:val="ListParagraph"/>
              <w:numPr>
                <w:ilvl w:val="0"/>
                <w:numId w:val="29"/>
              </w:numPr>
              <w:spacing w:before="120" w:after="120"/>
              <w:contextualSpacing/>
              <w:rPr>
                <w:rFonts w:eastAsiaTheme="majorEastAsia" w:cs="Arial"/>
                <w:sz w:val="22"/>
                <w:szCs w:val="22"/>
              </w:rPr>
            </w:pPr>
            <w:proofErr w:type="spellStart"/>
            <w:r w:rsidRPr="00E46CCF">
              <w:rPr>
                <w:rFonts w:eastAsiaTheme="majorEastAsia" w:cs="Arial"/>
                <w:sz w:val="22"/>
                <w:szCs w:val="22"/>
              </w:rPr>
              <w:t>Reablement</w:t>
            </w:r>
            <w:proofErr w:type="spellEnd"/>
            <w:r w:rsidRPr="00E46CCF">
              <w:rPr>
                <w:rFonts w:eastAsiaTheme="majorEastAsia" w:cs="Arial"/>
                <w:sz w:val="22"/>
                <w:szCs w:val="22"/>
              </w:rPr>
              <w:t xml:space="preserve"> performance continues to improve, driven by the Passport to Independence Programme. Greater numbers receiving </w:t>
            </w:r>
            <w:proofErr w:type="spellStart"/>
            <w:r w:rsidRPr="00E46CCF">
              <w:rPr>
                <w:rFonts w:eastAsiaTheme="majorEastAsia" w:cs="Arial"/>
                <w:sz w:val="22"/>
                <w:szCs w:val="22"/>
              </w:rPr>
              <w:t>reablement</w:t>
            </w:r>
            <w:proofErr w:type="spellEnd"/>
            <w:r w:rsidRPr="00E46CCF">
              <w:rPr>
                <w:rFonts w:eastAsiaTheme="majorEastAsia" w:cs="Arial"/>
                <w:sz w:val="22"/>
                <w:szCs w:val="22"/>
              </w:rPr>
              <w:t xml:space="preserve"> is matched by improved outcomes.</w:t>
            </w:r>
          </w:p>
          <w:p w14:paraId="081BBB72" w14:textId="77777777" w:rsidR="00587F14" w:rsidRPr="008A3A4C" w:rsidRDefault="00BC2C8E" w:rsidP="00E46CCF">
            <w:pPr>
              <w:pStyle w:val="ListParagraph"/>
              <w:numPr>
                <w:ilvl w:val="0"/>
                <w:numId w:val="29"/>
              </w:numPr>
              <w:rPr>
                <w:bCs/>
                <w:sz w:val="22"/>
                <w:szCs w:val="22"/>
              </w:rPr>
            </w:pPr>
            <w:r w:rsidRPr="00E46CCF">
              <w:rPr>
                <w:rFonts w:eastAsiaTheme="majorEastAsia" w:cs="Arial"/>
                <w:sz w:val="22"/>
                <w:szCs w:val="22"/>
              </w:rPr>
              <w:t>Delayed Transfers of Care</w:t>
            </w:r>
            <w:r w:rsidRPr="00E46CCF">
              <w:rPr>
                <w:rFonts w:eastAsiaTheme="majorEastAsia" w:cs="Arial"/>
                <w:b/>
                <w:sz w:val="22"/>
                <w:szCs w:val="22"/>
              </w:rPr>
              <w:t xml:space="preserve"> </w:t>
            </w:r>
            <w:r w:rsidR="00A30793" w:rsidRPr="00E46CCF">
              <w:rPr>
                <w:rFonts w:eastAsiaTheme="majorEastAsia" w:cs="Arial"/>
                <w:sz w:val="22"/>
                <w:szCs w:val="22"/>
              </w:rPr>
              <w:t>are still a</w:t>
            </w:r>
            <w:r w:rsidRPr="00E46CCF">
              <w:rPr>
                <w:rFonts w:eastAsiaTheme="majorEastAsia" w:cs="Arial"/>
                <w:sz w:val="22"/>
                <w:szCs w:val="22"/>
              </w:rPr>
              <w:t xml:space="preserve"> concern. Performance attributable to social car</w:t>
            </w:r>
            <w:r w:rsidR="00A30793" w:rsidRPr="00E46CCF">
              <w:rPr>
                <w:rFonts w:eastAsiaTheme="majorEastAsia" w:cs="Arial"/>
                <w:sz w:val="22"/>
                <w:szCs w:val="22"/>
              </w:rPr>
              <w:t>e is now improving, though</w:t>
            </w:r>
            <w:r w:rsidRPr="00E46CCF">
              <w:rPr>
                <w:rFonts w:eastAsiaTheme="majorEastAsia" w:cs="Arial"/>
                <w:sz w:val="22"/>
                <w:szCs w:val="22"/>
              </w:rPr>
              <w:t xml:space="preserve"> ranks low nationally</w:t>
            </w:r>
            <w:r w:rsidR="00A30793" w:rsidRPr="00E46CCF">
              <w:rPr>
                <w:rFonts w:eastAsiaTheme="majorEastAsia" w:cs="Arial"/>
                <w:sz w:val="22"/>
                <w:szCs w:val="22"/>
              </w:rPr>
              <w:t>.</w:t>
            </w:r>
          </w:p>
          <w:p w14:paraId="30CC0BF4" w14:textId="77777777" w:rsidR="008A3A4C" w:rsidRPr="00E46CCF" w:rsidRDefault="008A3A4C" w:rsidP="00E46CCF">
            <w:pPr>
              <w:pStyle w:val="ListParagraph"/>
              <w:numPr>
                <w:ilvl w:val="0"/>
                <w:numId w:val="29"/>
              </w:numPr>
              <w:rPr>
                <w:bCs/>
                <w:sz w:val="22"/>
                <w:szCs w:val="22"/>
              </w:rPr>
            </w:pPr>
          </w:p>
          <w:p w14:paraId="2AF2B917" w14:textId="77777777" w:rsidR="00070646" w:rsidRPr="00E46CCF" w:rsidRDefault="00A30793" w:rsidP="00E46CCF">
            <w:pPr>
              <w:rPr>
                <w:rFonts w:cs="Arial"/>
                <w:sz w:val="22"/>
                <w:szCs w:val="22"/>
              </w:rPr>
            </w:pPr>
            <w:r w:rsidRPr="00E46CCF">
              <w:rPr>
                <w:rFonts w:cs="Arial"/>
                <w:sz w:val="22"/>
                <w:szCs w:val="22"/>
              </w:rPr>
              <w:t>T</w:t>
            </w:r>
            <w:r w:rsidR="00D940A9" w:rsidRPr="00E46CCF">
              <w:rPr>
                <w:rFonts w:cs="Arial"/>
                <w:sz w:val="22"/>
                <w:szCs w:val="22"/>
              </w:rPr>
              <w:t>he</w:t>
            </w:r>
            <w:r w:rsidR="00070646" w:rsidRPr="00E46CCF">
              <w:rPr>
                <w:rFonts w:cs="Arial"/>
                <w:sz w:val="22"/>
                <w:szCs w:val="22"/>
              </w:rPr>
              <w:t xml:space="preserve"> latest post </w:t>
            </w:r>
            <w:r w:rsidR="003A01D6" w:rsidRPr="00E46CCF">
              <w:rPr>
                <w:rFonts w:cs="Arial"/>
                <w:sz w:val="22"/>
                <w:szCs w:val="22"/>
              </w:rPr>
              <w:t xml:space="preserve">(safeguarding) </w:t>
            </w:r>
            <w:r w:rsidR="001172CF" w:rsidRPr="00E46CCF">
              <w:rPr>
                <w:rFonts w:cs="Arial"/>
                <w:sz w:val="22"/>
                <w:szCs w:val="22"/>
              </w:rPr>
              <w:t xml:space="preserve">Children's Service </w:t>
            </w:r>
            <w:r w:rsidR="00070646" w:rsidRPr="00E46CCF">
              <w:rPr>
                <w:rFonts w:cs="Arial"/>
                <w:sz w:val="22"/>
                <w:szCs w:val="22"/>
              </w:rPr>
              <w:t>Ofsted inspection update has b</w:t>
            </w:r>
            <w:r w:rsidR="00400DCC" w:rsidRPr="00E46CCF">
              <w:rPr>
                <w:rFonts w:cs="Arial"/>
                <w:sz w:val="22"/>
                <w:szCs w:val="22"/>
              </w:rPr>
              <w:t>een attached at Appendix 'A</w:t>
            </w:r>
            <w:r w:rsidR="00DF79EA" w:rsidRPr="00E46CCF">
              <w:rPr>
                <w:rFonts w:cs="Arial"/>
                <w:sz w:val="22"/>
                <w:szCs w:val="22"/>
              </w:rPr>
              <w:t>'</w:t>
            </w:r>
            <w:r w:rsidR="00605039" w:rsidRPr="00E46CCF">
              <w:rPr>
                <w:rFonts w:cs="Arial"/>
                <w:sz w:val="22"/>
                <w:szCs w:val="22"/>
              </w:rPr>
              <w:t>.</w:t>
            </w:r>
            <w:r w:rsidR="00070646" w:rsidRPr="00E46CCF">
              <w:rPr>
                <w:rFonts w:cs="Arial"/>
                <w:sz w:val="22"/>
                <w:szCs w:val="22"/>
              </w:rPr>
              <w:t xml:space="preserve"> </w:t>
            </w:r>
          </w:p>
          <w:p w14:paraId="3CB3756E" w14:textId="77777777" w:rsidR="00070646" w:rsidRPr="00E46CCF" w:rsidRDefault="00070646" w:rsidP="00E46CCF">
            <w:pPr>
              <w:rPr>
                <w:rFonts w:cs="Arial"/>
                <w:b/>
                <w:color w:val="000000" w:themeColor="text1"/>
                <w:sz w:val="22"/>
                <w:szCs w:val="22"/>
              </w:rPr>
            </w:pPr>
          </w:p>
          <w:p w14:paraId="4BACE124" w14:textId="77777777" w:rsidR="00F046B1" w:rsidRDefault="00F046B1" w:rsidP="00E46CCF">
            <w:pPr>
              <w:pStyle w:val="Heading5"/>
              <w:rPr>
                <w:rFonts w:ascii="Arial" w:hAnsi="Arial"/>
                <w:sz w:val="22"/>
                <w:szCs w:val="22"/>
                <w:u w:val="none"/>
              </w:rPr>
            </w:pPr>
            <w:r w:rsidRPr="00E46CCF">
              <w:rPr>
                <w:rFonts w:ascii="Arial" w:hAnsi="Arial"/>
                <w:sz w:val="22"/>
                <w:szCs w:val="22"/>
                <w:u w:val="none"/>
              </w:rPr>
              <w:t>Recommendation</w:t>
            </w:r>
          </w:p>
          <w:p w14:paraId="1EF35B78" w14:textId="77777777" w:rsidR="008A3A4C" w:rsidRPr="008A3A4C" w:rsidRDefault="008A3A4C" w:rsidP="008A3A4C"/>
          <w:p w14:paraId="1106A1BF" w14:textId="66A388DA" w:rsidR="001F3962" w:rsidRDefault="008A3A4C" w:rsidP="00070646">
            <w:r>
              <w:rPr>
                <w:sz w:val="22"/>
                <w:szCs w:val="22"/>
              </w:rPr>
              <w:t>The Cabinet Committee on Performance Improvement</w:t>
            </w:r>
            <w:r w:rsidR="00346E87" w:rsidRPr="00E46CCF">
              <w:rPr>
                <w:sz w:val="22"/>
                <w:szCs w:val="22"/>
              </w:rPr>
              <w:t xml:space="preserve"> </w:t>
            </w:r>
            <w:r w:rsidR="00347754" w:rsidRPr="00E46CCF">
              <w:rPr>
                <w:sz w:val="22"/>
                <w:szCs w:val="22"/>
              </w:rPr>
              <w:t xml:space="preserve">is </w:t>
            </w:r>
            <w:r w:rsidR="00346E87" w:rsidRPr="00E46CCF">
              <w:rPr>
                <w:sz w:val="22"/>
                <w:szCs w:val="22"/>
              </w:rPr>
              <w:t xml:space="preserve">asked to </w:t>
            </w:r>
            <w:r w:rsidR="00F046B1" w:rsidRPr="00E46CCF">
              <w:rPr>
                <w:sz w:val="22"/>
                <w:szCs w:val="22"/>
              </w:rPr>
              <w:t>comment</w:t>
            </w:r>
            <w:r w:rsidR="00F046B1" w:rsidRPr="00E46CCF">
              <w:rPr>
                <w:i/>
                <w:sz w:val="22"/>
                <w:szCs w:val="22"/>
              </w:rPr>
              <w:t xml:space="preserve"> </w:t>
            </w:r>
            <w:r w:rsidR="00F046B1" w:rsidRPr="00E46CCF">
              <w:rPr>
                <w:sz w:val="22"/>
                <w:szCs w:val="22"/>
              </w:rPr>
              <w:t>on</w:t>
            </w:r>
            <w:r w:rsidR="00EC4108" w:rsidRPr="00E46CCF">
              <w:rPr>
                <w:sz w:val="22"/>
                <w:szCs w:val="22"/>
              </w:rPr>
              <w:t xml:space="preserve"> the reported </w:t>
            </w:r>
            <w:r w:rsidR="00F046B1" w:rsidRPr="00E46CCF">
              <w:rPr>
                <w:sz w:val="22"/>
                <w:szCs w:val="22"/>
              </w:rPr>
              <w:t>performance</w:t>
            </w:r>
            <w:r w:rsidR="00F22A08" w:rsidRPr="00E46CCF">
              <w:rPr>
                <w:sz w:val="22"/>
                <w:szCs w:val="22"/>
              </w:rPr>
              <w:t xml:space="preserve"> </w:t>
            </w:r>
            <w:r w:rsidR="00263341" w:rsidRPr="00E46CCF">
              <w:rPr>
                <w:sz w:val="22"/>
                <w:szCs w:val="22"/>
              </w:rPr>
              <w:t>fo</w:t>
            </w:r>
            <w:r w:rsidR="008D2556" w:rsidRPr="00E46CCF">
              <w:rPr>
                <w:sz w:val="22"/>
                <w:szCs w:val="22"/>
              </w:rPr>
              <w:t xml:space="preserve">r quarter </w:t>
            </w:r>
            <w:r w:rsidR="00BB0135" w:rsidRPr="00E46CCF">
              <w:rPr>
                <w:sz w:val="22"/>
                <w:szCs w:val="22"/>
              </w:rPr>
              <w:t>3</w:t>
            </w:r>
            <w:r w:rsidR="00070646" w:rsidRPr="00E46CCF">
              <w:rPr>
                <w:sz w:val="22"/>
                <w:szCs w:val="22"/>
              </w:rPr>
              <w:t xml:space="preserve"> and the Ofsted post inspection update</w:t>
            </w:r>
            <w:r w:rsidR="00F67754" w:rsidRPr="00E46CCF">
              <w:rPr>
                <w:sz w:val="22"/>
                <w:szCs w:val="22"/>
              </w:rPr>
              <w:t xml:space="preserve"> </w:t>
            </w:r>
            <w:r w:rsidR="00D7513F" w:rsidRPr="00E46CCF">
              <w:rPr>
                <w:sz w:val="22"/>
                <w:szCs w:val="22"/>
              </w:rPr>
              <w:t>information provided</w:t>
            </w:r>
            <w:r w:rsidR="00EC4108" w:rsidRPr="00E46CCF">
              <w:rPr>
                <w:sz w:val="22"/>
                <w:szCs w:val="22"/>
              </w:rPr>
              <w:t>.</w:t>
            </w:r>
          </w:p>
          <w:p w14:paraId="4677D196" w14:textId="77777777" w:rsidR="00CD71F5" w:rsidRDefault="00CD71F5" w:rsidP="00070646"/>
        </w:tc>
      </w:tr>
    </w:tbl>
    <w:p w14:paraId="6D936DE0" w14:textId="77777777" w:rsidR="00BB0135" w:rsidRDefault="00BB0135" w:rsidP="00772BBA">
      <w:pPr>
        <w:rPr>
          <w:b/>
        </w:rPr>
      </w:pPr>
    </w:p>
    <w:p w14:paraId="35405E6C" w14:textId="77777777" w:rsidR="0007214B" w:rsidRDefault="0007214B" w:rsidP="00772BBA">
      <w:pPr>
        <w:rPr>
          <w:b/>
        </w:rPr>
      </w:pPr>
    </w:p>
    <w:p w14:paraId="4BEB2794" w14:textId="77777777" w:rsidR="00772BBA" w:rsidRDefault="00772BBA" w:rsidP="00772BBA">
      <w:pPr>
        <w:rPr>
          <w:b/>
        </w:rPr>
      </w:pPr>
      <w:r>
        <w:rPr>
          <w:b/>
        </w:rPr>
        <w:t xml:space="preserve">Background and Advice </w:t>
      </w:r>
    </w:p>
    <w:p w14:paraId="01F6C9C6" w14:textId="77777777" w:rsidR="008A3A4C" w:rsidRDefault="008A3A4C" w:rsidP="00772BBA">
      <w:pPr>
        <w:rPr>
          <w:b/>
        </w:rPr>
      </w:pPr>
    </w:p>
    <w:p w14:paraId="175A46B0" w14:textId="77777777" w:rsidR="00D32953" w:rsidRPr="00E46CCF" w:rsidRDefault="00BB0135" w:rsidP="00E46CCF">
      <w:pPr>
        <w:jc w:val="both"/>
        <w:rPr>
          <w:sz w:val="22"/>
          <w:szCs w:val="22"/>
        </w:rPr>
      </w:pPr>
      <w:r w:rsidRPr="00E46CCF">
        <w:rPr>
          <w:sz w:val="22"/>
          <w:szCs w:val="22"/>
        </w:rPr>
        <w:t xml:space="preserve">Corporate performance monitoring arrangements </w:t>
      </w:r>
      <w:r w:rsidR="005102E6" w:rsidRPr="00E46CCF">
        <w:rPr>
          <w:sz w:val="22"/>
          <w:szCs w:val="22"/>
        </w:rPr>
        <w:t>across the authority as a whole</w:t>
      </w:r>
      <w:r w:rsidRPr="00E46CCF">
        <w:rPr>
          <w:sz w:val="22"/>
          <w:szCs w:val="22"/>
        </w:rPr>
        <w:t xml:space="preserve"> are currently being revised </w:t>
      </w:r>
      <w:r w:rsidR="00DC2E94" w:rsidRPr="00E46CCF">
        <w:rPr>
          <w:sz w:val="22"/>
          <w:szCs w:val="22"/>
        </w:rPr>
        <w:t xml:space="preserve">and improved </w:t>
      </w:r>
      <w:r w:rsidRPr="00E46CCF">
        <w:rPr>
          <w:sz w:val="22"/>
          <w:szCs w:val="22"/>
        </w:rPr>
        <w:t>to reflect the new management structure</w:t>
      </w:r>
      <w:r w:rsidR="00DC2E94" w:rsidRPr="00E46CCF">
        <w:rPr>
          <w:sz w:val="22"/>
          <w:szCs w:val="22"/>
        </w:rPr>
        <w:t xml:space="preserve"> and provide managers with more timely and comprehensive performance information</w:t>
      </w:r>
      <w:r w:rsidRPr="00E46CCF">
        <w:rPr>
          <w:sz w:val="22"/>
          <w:szCs w:val="22"/>
        </w:rPr>
        <w:t xml:space="preserve">.  </w:t>
      </w:r>
      <w:r w:rsidR="00954A84" w:rsidRPr="00E46CCF">
        <w:rPr>
          <w:sz w:val="22"/>
          <w:szCs w:val="22"/>
        </w:rPr>
        <w:t>F</w:t>
      </w:r>
      <w:r w:rsidR="00DC2E94" w:rsidRPr="00E46CCF">
        <w:rPr>
          <w:sz w:val="22"/>
          <w:szCs w:val="22"/>
        </w:rPr>
        <w:t xml:space="preserve">uture performance </w:t>
      </w:r>
      <w:r w:rsidR="00954A84" w:rsidRPr="00E46CCF">
        <w:rPr>
          <w:sz w:val="22"/>
          <w:szCs w:val="22"/>
        </w:rPr>
        <w:t>will be monitored and reported</w:t>
      </w:r>
      <w:r w:rsidR="00DC2E94" w:rsidRPr="00E46CCF">
        <w:rPr>
          <w:sz w:val="22"/>
          <w:szCs w:val="22"/>
        </w:rPr>
        <w:t xml:space="preserve"> against the executi</w:t>
      </w:r>
      <w:r w:rsidR="00742613" w:rsidRPr="00E46CCF">
        <w:rPr>
          <w:sz w:val="22"/>
          <w:szCs w:val="22"/>
        </w:rPr>
        <w:t>ve management structure that</w:t>
      </w:r>
      <w:r w:rsidR="00DC2E94" w:rsidRPr="00E46CCF">
        <w:rPr>
          <w:sz w:val="22"/>
          <w:szCs w:val="22"/>
        </w:rPr>
        <w:t xml:space="preserve"> </w:t>
      </w:r>
      <w:r w:rsidR="001D5F44" w:rsidRPr="00E46CCF">
        <w:rPr>
          <w:sz w:val="22"/>
          <w:szCs w:val="22"/>
        </w:rPr>
        <w:t>ha</w:t>
      </w:r>
      <w:r w:rsidR="00742613" w:rsidRPr="00E46CCF">
        <w:rPr>
          <w:sz w:val="22"/>
          <w:szCs w:val="22"/>
        </w:rPr>
        <w:t>s</w:t>
      </w:r>
      <w:r w:rsidR="00C346F8" w:rsidRPr="00E46CCF">
        <w:rPr>
          <w:sz w:val="22"/>
          <w:szCs w:val="22"/>
        </w:rPr>
        <w:t xml:space="preserve"> been</w:t>
      </w:r>
      <w:r w:rsidR="00DC2E94" w:rsidRPr="00E46CCF">
        <w:rPr>
          <w:sz w:val="22"/>
          <w:szCs w:val="22"/>
        </w:rPr>
        <w:t xml:space="preserve"> in place since January 2018.</w:t>
      </w:r>
    </w:p>
    <w:p w14:paraId="7D569351" w14:textId="77777777" w:rsidR="00793F16" w:rsidRDefault="00793F16" w:rsidP="009F6FF7"/>
    <w:p w14:paraId="7D5E9244" w14:textId="77777777" w:rsidR="00BC2C8E" w:rsidRPr="00C61E4B" w:rsidRDefault="00BC2C8E" w:rsidP="008300AD">
      <w:pPr>
        <w:rPr>
          <w:rFonts w:cs="Arial"/>
          <w:b/>
          <w:color w:val="000000"/>
          <w:szCs w:val="24"/>
        </w:rPr>
      </w:pPr>
      <w:r w:rsidRPr="002E0332">
        <w:rPr>
          <w:rFonts w:cs="Arial"/>
          <w:b/>
          <w:color w:val="000000"/>
          <w:szCs w:val="24"/>
        </w:rPr>
        <w:t>Perf</w:t>
      </w:r>
      <w:r>
        <w:rPr>
          <w:rFonts w:cs="Arial"/>
          <w:b/>
          <w:color w:val="000000"/>
          <w:szCs w:val="24"/>
        </w:rPr>
        <w:t>ormance S</w:t>
      </w:r>
      <w:r w:rsidRPr="002E0332">
        <w:rPr>
          <w:rFonts w:cs="Arial"/>
          <w:b/>
          <w:color w:val="000000"/>
          <w:szCs w:val="24"/>
        </w:rPr>
        <w:t>ummary</w:t>
      </w:r>
    </w:p>
    <w:p w14:paraId="301E470C" w14:textId="77777777" w:rsidR="00BC2C8E" w:rsidRPr="00BC2C8E" w:rsidRDefault="00BC2C8E" w:rsidP="00BC2C8E">
      <w:pPr>
        <w:rPr>
          <w:rFonts w:cs="Arial"/>
          <w:b/>
          <w:szCs w:val="24"/>
        </w:rPr>
      </w:pPr>
      <w:r w:rsidRPr="000E7A40">
        <w:rPr>
          <w:rFonts w:cs="Arial"/>
          <w:b/>
          <w:szCs w:val="24"/>
        </w:rPr>
        <w:t>Start Well</w:t>
      </w:r>
    </w:p>
    <w:p w14:paraId="14985315" w14:textId="77777777" w:rsidR="00954A84" w:rsidRDefault="00954A84" w:rsidP="00B305CD">
      <w:pPr>
        <w:pStyle w:val="NoSpacing"/>
        <w:rPr>
          <w:rFonts w:eastAsiaTheme="minorHAnsi"/>
          <w:i/>
          <w:lang w:eastAsia="en-US"/>
        </w:rPr>
      </w:pPr>
    </w:p>
    <w:p w14:paraId="32B7F730" w14:textId="77777777" w:rsidR="003D57BA" w:rsidRPr="003D57BA" w:rsidRDefault="00D3788B" w:rsidP="00B305CD">
      <w:pPr>
        <w:pStyle w:val="NoSpacing"/>
        <w:rPr>
          <w:rFonts w:eastAsiaTheme="minorHAnsi"/>
          <w:i/>
          <w:lang w:eastAsia="en-US"/>
        </w:rPr>
      </w:pPr>
      <w:r>
        <w:rPr>
          <w:rFonts w:eastAsiaTheme="minorHAnsi"/>
          <w:i/>
          <w:lang w:eastAsia="en-US"/>
        </w:rPr>
        <w:t>K</w:t>
      </w:r>
      <w:r w:rsidR="00C123B0" w:rsidRPr="00C123B0">
        <w:rPr>
          <w:rFonts w:eastAsiaTheme="minorHAnsi"/>
          <w:i/>
          <w:lang w:eastAsia="en-US"/>
        </w:rPr>
        <w:t>ey</w:t>
      </w:r>
      <w:r>
        <w:rPr>
          <w:rFonts w:eastAsiaTheme="minorHAnsi"/>
          <w:i/>
          <w:lang w:eastAsia="en-US"/>
        </w:rPr>
        <w:t xml:space="preserve"> for performance</w:t>
      </w:r>
      <w:r w:rsidR="00C123B0" w:rsidRPr="00C123B0">
        <w:rPr>
          <w:rFonts w:eastAsiaTheme="minorHAnsi"/>
          <w:i/>
          <w:lang w:eastAsia="en-US"/>
        </w:rPr>
        <w:t xml:space="preserve">: </w:t>
      </w:r>
    </w:p>
    <w:tbl>
      <w:tblPr>
        <w:tblW w:w="5967" w:type="dxa"/>
        <w:tblInd w:w="-5" w:type="dxa"/>
        <w:tblLook w:val="04A0" w:firstRow="1" w:lastRow="0" w:firstColumn="1" w:lastColumn="0" w:noHBand="0" w:noVBand="1"/>
      </w:tblPr>
      <w:tblGrid>
        <w:gridCol w:w="1447"/>
        <w:gridCol w:w="2440"/>
        <w:gridCol w:w="2080"/>
      </w:tblGrid>
      <w:tr w:rsidR="003D57BA" w:rsidRPr="003D57BA" w14:paraId="14B324D5" w14:textId="77777777" w:rsidTr="00D3788B">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692CCDF" w14:textId="77777777" w:rsidR="003D57BA" w:rsidRPr="003D57BA" w:rsidRDefault="003D57BA" w:rsidP="003D57BA">
            <w:pPr>
              <w:rPr>
                <w:rFonts w:cs="Arial"/>
                <w:i/>
                <w:iCs/>
                <w:color w:val="000000"/>
                <w:sz w:val="18"/>
                <w:szCs w:val="18"/>
              </w:rPr>
            </w:pPr>
            <w:r w:rsidRPr="003D57BA">
              <w:rPr>
                <w:rFonts w:cs="Arial"/>
                <w:i/>
                <w:iCs/>
                <w:color w:val="000000"/>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14:paraId="58CA5815" w14:textId="77777777" w:rsidR="003D57BA" w:rsidRPr="003D57BA" w:rsidRDefault="003D57BA" w:rsidP="003D57BA">
            <w:pPr>
              <w:rPr>
                <w:rFonts w:cs="Arial"/>
                <w:i/>
                <w:iCs/>
                <w:color w:val="000000"/>
                <w:sz w:val="18"/>
                <w:szCs w:val="18"/>
              </w:rPr>
            </w:pPr>
            <w:r w:rsidRPr="003D57BA">
              <w:rPr>
                <w:rFonts w:cs="Arial"/>
                <w:i/>
                <w:iCs/>
                <w:color w:val="000000"/>
                <w:sz w:val="18"/>
                <w:szCs w:val="18"/>
              </w:rPr>
              <w:t>Slightly below desired level</w:t>
            </w:r>
          </w:p>
        </w:tc>
        <w:tc>
          <w:tcPr>
            <w:tcW w:w="2080" w:type="dxa"/>
            <w:tcBorders>
              <w:top w:val="single" w:sz="4" w:space="0" w:color="auto"/>
              <w:left w:val="nil"/>
              <w:bottom w:val="single" w:sz="4" w:space="0" w:color="auto"/>
              <w:right w:val="single" w:sz="4" w:space="0" w:color="auto"/>
            </w:tcBorders>
            <w:shd w:val="clear" w:color="000000" w:fill="FFCCCC"/>
            <w:noWrap/>
            <w:vAlign w:val="center"/>
            <w:hideMark/>
          </w:tcPr>
          <w:p w14:paraId="65A20BFF" w14:textId="77777777" w:rsidR="003D57BA" w:rsidRPr="003D57BA" w:rsidRDefault="003D57BA" w:rsidP="003D57BA">
            <w:pPr>
              <w:rPr>
                <w:rFonts w:cs="Arial"/>
                <w:i/>
                <w:iCs/>
                <w:sz w:val="18"/>
                <w:szCs w:val="18"/>
              </w:rPr>
            </w:pPr>
            <w:r w:rsidRPr="003D57BA">
              <w:rPr>
                <w:rFonts w:eastAsiaTheme="minorHAnsi" w:cs="Arial"/>
                <w:i/>
                <w:iCs/>
                <w:sz w:val="18"/>
                <w:szCs w:val="18"/>
                <w:lang w:eastAsia="en-US"/>
              </w:rPr>
              <w:t>Requires improvement</w:t>
            </w:r>
          </w:p>
        </w:tc>
      </w:tr>
    </w:tbl>
    <w:p w14:paraId="3798C823" w14:textId="77777777" w:rsidR="00C61E4B" w:rsidRPr="001C03E1" w:rsidRDefault="00C61E4B" w:rsidP="008B08E3">
      <w:pPr>
        <w:rPr>
          <w:rFonts w:eastAsiaTheme="minorHAnsi" w:cs="Arial"/>
          <w:b/>
          <w:i/>
          <w:szCs w:val="24"/>
          <w:lang w:eastAsia="en-US"/>
        </w:rPr>
      </w:pPr>
    </w:p>
    <w:tbl>
      <w:tblPr>
        <w:tblpPr w:leftFromText="181" w:rightFromText="181" w:vertAnchor="text" w:horzAnchor="margin" w:tblpY="1"/>
        <w:tblOverlap w:val="never"/>
        <w:tblW w:w="9913" w:type="dxa"/>
        <w:tblLook w:val="04A0" w:firstRow="1" w:lastRow="0" w:firstColumn="1" w:lastColumn="0" w:noHBand="0" w:noVBand="1"/>
      </w:tblPr>
      <w:tblGrid>
        <w:gridCol w:w="2825"/>
        <w:gridCol w:w="851"/>
        <w:gridCol w:w="1134"/>
        <w:gridCol w:w="1276"/>
        <w:gridCol w:w="1275"/>
        <w:gridCol w:w="1418"/>
        <w:gridCol w:w="1134"/>
      </w:tblGrid>
      <w:tr w:rsidR="00605039" w:rsidRPr="008B08E3" w14:paraId="3E9439A5" w14:textId="77777777" w:rsidTr="008300AD">
        <w:trPr>
          <w:trHeight w:val="160"/>
        </w:trPr>
        <w:tc>
          <w:tcPr>
            <w:tcW w:w="2825"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B42A880" w14:textId="77777777" w:rsidR="00605039" w:rsidRPr="00357AA1" w:rsidRDefault="00605039" w:rsidP="008300AD">
            <w:pPr>
              <w:jc w:val="center"/>
              <w:rPr>
                <w:rFonts w:cs="Arial"/>
                <w:b/>
                <w:color w:val="000000"/>
                <w:sz w:val="18"/>
                <w:szCs w:val="18"/>
              </w:rPr>
            </w:pPr>
            <w:r w:rsidRPr="00357AA1">
              <w:rPr>
                <w:rFonts w:cs="Arial"/>
                <w:b/>
                <w:color w:val="000000"/>
                <w:sz w:val="18"/>
                <w:szCs w:val="18"/>
              </w:rPr>
              <w:lastRenderedPageBreak/>
              <w:t>Performance Measure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4722C5" w14:textId="77777777" w:rsidR="00605039" w:rsidRPr="00357AA1" w:rsidRDefault="00605039" w:rsidP="008300AD">
            <w:pPr>
              <w:jc w:val="center"/>
              <w:rPr>
                <w:rFonts w:cs="Arial"/>
                <w:b/>
                <w:color w:val="000000"/>
                <w:sz w:val="18"/>
                <w:szCs w:val="18"/>
              </w:rPr>
            </w:pPr>
            <w:r w:rsidRPr="00357AA1">
              <w:rPr>
                <w:rFonts w:cs="Arial"/>
                <w:b/>
                <w:color w:val="000000"/>
                <w:sz w:val="18"/>
                <w:szCs w:val="18"/>
              </w:rPr>
              <w:t>Good is High or Low</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0DCB8B" w14:textId="77777777" w:rsidR="00605039" w:rsidRPr="00357AA1" w:rsidRDefault="00605039" w:rsidP="008300AD">
            <w:pPr>
              <w:jc w:val="center"/>
              <w:rPr>
                <w:rFonts w:cs="Arial"/>
                <w:b/>
                <w:color w:val="000000"/>
                <w:sz w:val="18"/>
                <w:szCs w:val="18"/>
              </w:rPr>
            </w:pPr>
            <w:r w:rsidRPr="00357AA1">
              <w:rPr>
                <w:rFonts w:cs="Arial"/>
                <w:b/>
                <w:color w:val="000000"/>
                <w:sz w:val="18"/>
                <w:szCs w:val="18"/>
              </w:rPr>
              <w:t>Dec 2016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463D29" w14:textId="77777777" w:rsidR="00605039" w:rsidRPr="00357AA1" w:rsidRDefault="00605039" w:rsidP="008300AD">
            <w:pPr>
              <w:jc w:val="center"/>
              <w:rPr>
                <w:rFonts w:cs="Arial"/>
                <w:b/>
                <w:sz w:val="18"/>
                <w:szCs w:val="18"/>
              </w:rPr>
            </w:pPr>
            <w:r w:rsidRPr="00357AA1">
              <w:rPr>
                <w:rFonts w:cs="Arial"/>
                <w:b/>
                <w:sz w:val="18"/>
                <w:szCs w:val="18"/>
              </w:rPr>
              <w:t>Q1 2017/18</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A50112" w14:textId="77777777" w:rsidR="00605039" w:rsidRPr="00357AA1" w:rsidRDefault="00605039" w:rsidP="008300AD">
            <w:pPr>
              <w:jc w:val="center"/>
              <w:rPr>
                <w:rFonts w:cs="Arial"/>
                <w:b/>
                <w:sz w:val="18"/>
                <w:szCs w:val="18"/>
              </w:rPr>
            </w:pPr>
            <w:r w:rsidRPr="00357AA1">
              <w:rPr>
                <w:rFonts w:cs="Arial"/>
                <w:b/>
                <w:sz w:val="18"/>
                <w:szCs w:val="18"/>
              </w:rPr>
              <w:t>Q2 2017/18</w:t>
            </w:r>
          </w:p>
        </w:tc>
        <w:tc>
          <w:tcPr>
            <w:tcW w:w="1418" w:type="dxa"/>
            <w:tcBorders>
              <w:top w:val="single" w:sz="4" w:space="0" w:color="auto"/>
              <w:left w:val="nil"/>
              <w:bottom w:val="single" w:sz="4" w:space="0" w:color="auto"/>
              <w:right w:val="nil"/>
            </w:tcBorders>
            <w:shd w:val="clear" w:color="auto" w:fill="D9D9D9" w:themeFill="background1" w:themeFillShade="D9"/>
            <w:noWrap/>
            <w:vAlign w:val="center"/>
          </w:tcPr>
          <w:p w14:paraId="2926EBB4" w14:textId="77777777" w:rsidR="00605039" w:rsidRPr="00357AA1" w:rsidRDefault="00605039" w:rsidP="008300AD">
            <w:pPr>
              <w:jc w:val="center"/>
              <w:rPr>
                <w:rFonts w:cs="Arial"/>
                <w:b/>
                <w:sz w:val="18"/>
                <w:szCs w:val="18"/>
              </w:rPr>
            </w:pPr>
            <w:r w:rsidRPr="00357AA1">
              <w:rPr>
                <w:rFonts w:cs="Arial"/>
                <w:b/>
                <w:sz w:val="18"/>
                <w:szCs w:val="18"/>
              </w:rPr>
              <w:t>Q3 2017/18 (Dec 17)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2D1BE6" w14:textId="77777777" w:rsidR="00605039" w:rsidRPr="00357AA1" w:rsidRDefault="00605039" w:rsidP="008300AD">
            <w:pPr>
              <w:jc w:val="center"/>
              <w:rPr>
                <w:rFonts w:cs="Arial"/>
                <w:b/>
                <w:color w:val="000000"/>
                <w:sz w:val="18"/>
                <w:szCs w:val="18"/>
              </w:rPr>
            </w:pPr>
            <w:r w:rsidRPr="00357AA1">
              <w:rPr>
                <w:rFonts w:cs="Arial"/>
                <w:b/>
                <w:color w:val="000000"/>
                <w:sz w:val="18"/>
                <w:szCs w:val="18"/>
              </w:rPr>
              <w:t>Last 6 month average</w:t>
            </w:r>
          </w:p>
        </w:tc>
      </w:tr>
      <w:tr w:rsidR="00357AA1" w:rsidRPr="008B08E3" w14:paraId="2318F255" w14:textId="77777777" w:rsidTr="008300AD">
        <w:trPr>
          <w:trHeight w:val="160"/>
        </w:trPr>
        <w:tc>
          <w:tcPr>
            <w:tcW w:w="9913" w:type="dxa"/>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77448C8" w14:textId="77777777" w:rsidR="00357AA1" w:rsidRPr="00357AA1" w:rsidRDefault="00357AA1" w:rsidP="008300AD">
            <w:pPr>
              <w:jc w:val="center"/>
              <w:rPr>
                <w:rFonts w:cs="Arial"/>
                <w:b/>
                <w:color w:val="000000"/>
                <w:sz w:val="18"/>
                <w:szCs w:val="18"/>
              </w:rPr>
            </w:pPr>
            <w:r w:rsidRPr="00357AA1">
              <w:rPr>
                <w:rFonts w:cs="Arial"/>
                <w:b/>
                <w:color w:val="000000"/>
                <w:sz w:val="18"/>
                <w:szCs w:val="18"/>
              </w:rPr>
              <w:t>Contacts and Referrals</w:t>
            </w:r>
            <w:r w:rsidR="001C03E1">
              <w:rPr>
                <w:rFonts w:cs="Arial"/>
                <w:b/>
                <w:color w:val="000000"/>
                <w:sz w:val="18"/>
                <w:szCs w:val="18"/>
              </w:rPr>
              <w:t xml:space="preserve"> to Children's Social Care</w:t>
            </w:r>
          </w:p>
        </w:tc>
      </w:tr>
      <w:tr w:rsidR="00605039" w:rsidRPr="008B08E3" w14:paraId="19FB083A" w14:textId="77777777" w:rsidTr="008300AD">
        <w:trPr>
          <w:trHeight w:val="294"/>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0F1559E9" w14:textId="77777777" w:rsidR="00605039" w:rsidRPr="00357AA1" w:rsidRDefault="00605039" w:rsidP="008300AD">
            <w:pPr>
              <w:rPr>
                <w:rFonts w:cs="Arial"/>
                <w:color w:val="000000"/>
                <w:sz w:val="18"/>
                <w:szCs w:val="18"/>
              </w:rPr>
            </w:pPr>
            <w:r w:rsidRPr="00357AA1">
              <w:rPr>
                <w:rFonts w:cs="Arial"/>
                <w:color w:val="000000"/>
                <w:sz w:val="18"/>
                <w:szCs w:val="18"/>
              </w:rPr>
              <w:t>Number of contacts</w:t>
            </w:r>
          </w:p>
        </w:tc>
        <w:tc>
          <w:tcPr>
            <w:tcW w:w="851" w:type="dxa"/>
            <w:tcBorders>
              <w:top w:val="nil"/>
              <w:left w:val="nil"/>
              <w:bottom w:val="single" w:sz="4" w:space="0" w:color="auto"/>
              <w:right w:val="single" w:sz="4" w:space="0" w:color="auto"/>
            </w:tcBorders>
            <w:vAlign w:val="center"/>
          </w:tcPr>
          <w:p w14:paraId="4126E782" w14:textId="77777777" w:rsidR="00605039" w:rsidRPr="00357AA1" w:rsidRDefault="00605039" w:rsidP="008300AD">
            <w:pPr>
              <w:jc w:val="center"/>
              <w:rPr>
                <w:rFonts w:cs="Arial"/>
                <w:color w:val="000000"/>
                <w:sz w:val="18"/>
                <w:szCs w:val="18"/>
              </w:rPr>
            </w:pPr>
            <w:r w:rsidRPr="00357AA1">
              <w:rPr>
                <w:rFonts w:cs="Arial"/>
                <w:color w:val="000000"/>
                <w:sz w:val="18"/>
                <w:szCs w:val="18"/>
              </w:rPr>
              <w:t>-</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C8C31FC" w14:textId="77777777" w:rsidR="00605039" w:rsidRPr="00357AA1" w:rsidRDefault="00605039" w:rsidP="008300AD">
            <w:pPr>
              <w:jc w:val="center"/>
              <w:rPr>
                <w:rFonts w:cs="Arial"/>
                <w:color w:val="000000"/>
                <w:sz w:val="18"/>
                <w:szCs w:val="18"/>
              </w:rPr>
            </w:pPr>
            <w:r w:rsidRPr="00357AA1">
              <w:rPr>
                <w:rFonts w:cs="Arial"/>
                <w:color w:val="000000"/>
                <w:sz w:val="18"/>
                <w:szCs w:val="18"/>
              </w:rPr>
              <w:t>2,491</w:t>
            </w:r>
          </w:p>
        </w:tc>
        <w:tc>
          <w:tcPr>
            <w:tcW w:w="1276" w:type="dxa"/>
            <w:tcBorders>
              <w:top w:val="nil"/>
              <w:left w:val="nil"/>
              <w:bottom w:val="single" w:sz="4" w:space="0" w:color="auto"/>
              <w:right w:val="single" w:sz="4" w:space="0" w:color="auto"/>
            </w:tcBorders>
            <w:shd w:val="clear" w:color="000000" w:fill="FFFFFF"/>
            <w:noWrap/>
            <w:vAlign w:val="center"/>
            <w:hideMark/>
          </w:tcPr>
          <w:p w14:paraId="79663628" w14:textId="77777777" w:rsidR="00605039" w:rsidRPr="00357AA1" w:rsidRDefault="00605039" w:rsidP="008300AD">
            <w:pPr>
              <w:jc w:val="center"/>
              <w:rPr>
                <w:rFonts w:cs="Arial"/>
                <w:sz w:val="18"/>
                <w:szCs w:val="18"/>
              </w:rPr>
            </w:pPr>
            <w:r w:rsidRPr="00357AA1">
              <w:rPr>
                <w:rFonts w:cs="Arial"/>
                <w:sz w:val="18"/>
                <w:szCs w:val="18"/>
              </w:rPr>
              <w:t>8,521</w:t>
            </w:r>
          </w:p>
        </w:tc>
        <w:tc>
          <w:tcPr>
            <w:tcW w:w="1275" w:type="dxa"/>
            <w:tcBorders>
              <w:top w:val="nil"/>
              <w:left w:val="nil"/>
              <w:bottom w:val="single" w:sz="4" w:space="0" w:color="auto"/>
              <w:right w:val="single" w:sz="4" w:space="0" w:color="auto"/>
            </w:tcBorders>
            <w:shd w:val="clear" w:color="000000" w:fill="FFFFFF"/>
            <w:noWrap/>
            <w:vAlign w:val="center"/>
            <w:hideMark/>
          </w:tcPr>
          <w:p w14:paraId="6138A3C6" w14:textId="77777777" w:rsidR="00605039" w:rsidRPr="00357AA1" w:rsidRDefault="00605039" w:rsidP="008300AD">
            <w:pPr>
              <w:jc w:val="center"/>
              <w:rPr>
                <w:rFonts w:cs="Arial"/>
                <w:sz w:val="18"/>
                <w:szCs w:val="18"/>
              </w:rPr>
            </w:pPr>
            <w:r w:rsidRPr="00357AA1">
              <w:rPr>
                <w:rFonts w:cs="Arial"/>
                <w:sz w:val="18"/>
                <w:szCs w:val="18"/>
              </w:rPr>
              <w:t>7,887</w:t>
            </w:r>
          </w:p>
        </w:tc>
        <w:tc>
          <w:tcPr>
            <w:tcW w:w="1418" w:type="dxa"/>
            <w:tcBorders>
              <w:top w:val="nil"/>
              <w:left w:val="nil"/>
              <w:bottom w:val="single" w:sz="4" w:space="0" w:color="auto"/>
              <w:right w:val="nil"/>
            </w:tcBorders>
            <w:shd w:val="clear" w:color="000000" w:fill="FFFFFF"/>
            <w:noWrap/>
            <w:vAlign w:val="center"/>
            <w:hideMark/>
          </w:tcPr>
          <w:p w14:paraId="54EFDDE3" w14:textId="77777777" w:rsidR="00605039" w:rsidRPr="00357AA1" w:rsidRDefault="00605039" w:rsidP="008300AD">
            <w:pPr>
              <w:jc w:val="center"/>
              <w:rPr>
                <w:rFonts w:cs="Arial"/>
                <w:sz w:val="18"/>
                <w:szCs w:val="18"/>
              </w:rPr>
            </w:pPr>
            <w:r w:rsidRPr="00357AA1">
              <w:rPr>
                <w:rFonts w:cs="Arial"/>
                <w:sz w:val="18"/>
                <w:szCs w:val="18"/>
              </w:rPr>
              <w:t>8,632 (2,467)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202A14" w14:textId="77777777" w:rsidR="00605039" w:rsidRPr="00357AA1" w:rsidRDefault="00605039" w:rsidP="008300AD">
            <w:pPr>
              <w:jc w:val="center"/>
              <w:rPr>
                <w:rFonts w:cs="Arial"/>
                <w:color w:val="000000"/>
                <w:sz w:val="18"/>
                <w:szCs w:val="18"/>
              </w:rPr>
            </w:pPr>
            <w:r w:rsidRPr="00357AA1">
              <w:rPr>
                <w:rFonts w:cs="Arial"/>
                <w:color w:val="000000"/>
                <w:sz w:val="18"/>
                <w:szCs w:val="18"/>
              </w:rPr>
              <w:t>2,753</w:t>
            </w:r>
          </w:p>
        </w:tc>
      </w:tr>
      <w:tr w:rsidR="00605039" w:rsidRPr="008B08E3" w14:paraId="59C6635A" w14:textId="77777777" w:rsidTr="008300AD">
        <w:trPr>
          <w:trHeight w:val="267"/>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4E774D12" w14:textId="77777777" w:rsidR="00605039" w:rsidRPr="00357AA1" w:rsidRDefault="00357AA1" w:rsidP="008300AD">
            <w:pPr>
              <w:rPr>
                <w:rFonts w:cs="Arial"/>
                <w:color w:val="000000"/>
                <w:sz w:val="18"/>
                <w:szCs w:val="18"/>
              </w:rPr>
            </w:pPr>
            <w:r>
              <w:rPr>
                <w:rFonts w:cs="Arial"/>
                <w:color w:val="000000"/>
                <w:sz w:val="18"/>
                <w:szCs w:val="18"/>
              </w:rPr>
              <w:t xml:space="preserve">Percentage of contacts that </w:t>
            </w:r>
            <w:r w:rsidR="008300AD">
              <w:rPr>
                <w:rFonts w:cs="Arial"/>
                <w:color w:val="000000"/>
                <w:sz w:val="18"/>
                <w:szCs w:val="18"/>
              </w:rPr>
              <w:t>lead to a</w:t>
            </w:r>
            <w:r>
              <w:rPr>
                <w:rFonts w:cs="Arial"/>
                <w:color w:val="000000"/>
                <w:sz w:val="18"/>
                <w:szCs w:val="18"/>
              </w:rPr>
              <w:t xml:space="preserve"> referrals </w:t>
            </w:r>
          </w:p>
        </w:tc>
        <w:tc>
          <w:tcPr>
            <w:tcW w:w="851" w:type="dxa"/>
            <w:tcBorders>
              <w:top w:val="nil"/>
              <w:left w:val="nil"/>
              <w:bottom w:val="single" w:sz="4" w:space="0" w:color="auto"/>
              <w:right w:val="single" w:sz="4" w:space="0" w:color="auto"/>
            </w:tcBorders>
            <w:vAlign w:val="center"/>
          </w:tcPr>
          <w:p w14:paraId="51D487A0" w14:textId="77777777" w:rsidR="00605039" w:rsidRPr="00357AA1" w:rsidRDefault="00605039" w:rsidP="008300AD">
            <w:pPr>
              <w:jc w:val="center"/>
              <w:rPr>
                <w:rFonts w:cs="Arial"/>
                <w:color w:val="000000"/>
                <w:sz w:val="18"/>
                <w:szCs w:val="18"/>
              </w:rPr>
            </w:pPr>
            <w:r w:rsidRPr="00357AA1">
              <w:rPr>
                <w:rFonts w:cs="Arial"/>
                <w:color w:val="000000"/>
                <w:sz w:val="18"/>
                <w:szCs w:val="18"/>
              </w:rPr>
              <w:t>H</w:t>
            </w:r>
          </w:p>
        </w:tc>
        <w:tc>
          <w:tcPr>
            <w:tcW w:w="1134" w:type="dxa"/>
            <w:tcBorders>
              <w:top w:val="nil"/>
              <w:left w:val="single" w:sz="4" w:space="0" w:color="auto"/>
              <w:bottom w:val="single" w:sz="4" w:space="0" w:color="auto"/>
              <w:right w:val="nil"/>
            </w:tcBorders>
            <w:shd w:val="clear" w:color="000000" w:fill="FFFFFF"/>
            <w:noWrap/>
            <w:vAlign w:val="center"/>
            <w:hideMark/>
          </w:tcPr>
          <w:p w14:paraId="6163E807" w14:textId="77777777" w:rsidR="00605039" w:rsidRPr="00357AA1" w:rsidRDefault="00605039" w:rsidP="008300AD">
            <w:pPr>
              <w:jc w:val="center"/>
              <w:rPr>
                <w:rFonts w:cs="Arial"/>
                <w:color w:val="000000"/>
                <w:sz w:val="18"/>
                <w:szCs w:val="18"/>
              </w:rPr>
            </w:pPr>
            <w:r w:rsidRPr="00357AA1">
              <w:rPr>
                <w:rFonts w:cs="Arial"/>
                <w:color w:val="000000"/>
                <w:sz w:val="18"/>
                <w:szCs w:val="18"/>
              </w:rPr>
              <w:t>34.1%</w:t>
            </w:r>
          </w:p>
        </w:tc>
        <w:tc>
          <w:tcPr>
            <w:tcW w:w="1276" w:type="dxa"/>
            <w:tcBorders>
              <w:top w:val="nil"/>
              <w:left w:val="single" w:sz="4" w:space="0" w:color="auto"/>
              <w:bottom w:val="single" w:sz="4" w:space="0" w:color="auto"/>
              <w:right w:val="nil"/>
            </w:tcBorders>
            <w:shd w:val="clear" w:color="000000" w:fill="FFFFFF"/>
            <w:noWrap/>
            <w:vAlign w:val="center"/>
            <w:hideMark/>
          </w:tcPr>
          <w:p w14:paraId="50C94BC1" w14:textId="77777777" w:rsidR="00605039" w:rsidRPr="00357AA1" w:rsidRDefault="00605039" w:rsidP="008300AD">
            <w:pPr>
              <w:jc w:val="center"/>
              <w:rPr>
                <w:rFonts w:cs="Arial"/>
                <w:sz w:val="18"/>
                <w:szCs w:val="18"/>
              </w:rPr>
            </w:pPr>
            <w:r w:rsidRPr="00357AA1">
              <w:rPr>
                <w:rFonts w:cs="Arial"/>
                <w:sz w:val="18"/>
                <w:szCs w:val="18"/>
              </w:rPr>
              <w:t>29.1%</w:t>
            </w:r>
          </w:p>
        </w:tc>
        <w:tc>
          <w:tcPr>
            <w:tcW w:w="1275" w:type="dxa"/>
            <w:tcBorders>
              <w:top w:val="nil"/>
              <w:left w:val="single" w:sz="4" w:space="0" w:color="auto"/>
              <w:bottom w:val="single" w:sz="4" w:space="0" w:color="auto"/>
              <w:right w:val="nil"/>
            </w:tcBorders>
            <w:shd w:val="clear" w:color="000000" w:fill="FFFFFF"/>
            <w:noWrap/>
            <w:vAlign w:val="center"/>
            <w:hideMark/>
          </w:tcPr>
          <w:p w14:paraId="556C0494" w14:textId="77777777" w:rsidR="00605039" w:rsidRPr="00357AA1" w:rsidRDefault="00605039" w:rsidP="008300AD">
            <w:pPr>
              <w:jc w:val="center"/>
              <w:rPr>
                <w:rFonts w:cs="Arial"/>
                <w:sz w:val="18"/>
                <w:szCs w:val="18"/>
              </w:rPr>
            </w:pPr>
            <w:r w:rsidRPr="00357AA1">
              <w:rPr>
                <w:rFonts w:cs="Arial"/>
                <w:sz w:val="18"/>
                <w:szCs w:val="18"/>
              </w:rPr>
              <w:t>29.6%</w:t>
            </w:r>
          </w:p>
        </w:tc>
        <w:tc>
          <w:tcPr>
            <w:tcW w:w="1418" w:type="dxa"/>
            <w:tcBorders>
              <w:top w:val="nil"/>
              <w:left w:val="single" w:sz="4" w:space="0" w:color="auto"/>
              <w:bottom w:val="single" w:sz="4" w:space="0" w:color="auto"/>
              <w:right w:val="nil"/>
            </w:tcBorders>
            <w:shd w:val="clear" w:color="000000" w:fill="FFFFFF"/>
            <w:noWrap/>
            <w:vAlign w:val="center"/>
            <w:hideMark/>
          </w:tcPr>
          <w:p w14:paraId="2BF876F6" w14:textId="77777777" w:rsidR="00605039" w:rsidRPr="00357AA1" w:rsidRDefault="00605039" w:rsidP="008300AD">
            <w:pPr>
              <w:jc w:val="center"/>
              <w:rPr>
                <w:rFonts w:cs="Arial"/>
                <w:sz w:val="18"/>
                <w:szCs w:val="18"/>
              </w:rPr>
            </w:pPr>
            <w:r w:rsidRPr="00357AA1">
              <w:rPr>
                <w:rFonts w:cs="Arial"/>
                <w:sz w:val="18"/>
                <w:szCs w:val="18"/>
              </w:rPr>
              <w:t>34.8%</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5F882FF" w14:textId="77777777" w:rsidR="00605039" w:rsidRPr="00357AA1" w:rsidRDefault="00605039" w:rsidP="008300AD">
            <w:pPr>
              <w:jc w:val="center"/>
              <w:rPr>
                <w:rFonts w:cs="Arial"/>
                <w:color w:val="000000"/>
                <w:sz w:val="18"/>
                <w:szCs w:val="18"/>
              </w:rPr>
            </w:pPr>
            <w:r w:rsidRPr="00357AA1">
              <w:rPr>
                <w:rFonts w:cs="Arial"/>
                <w:color w:val="000000"/>
                <w:sz w:val="18"/>
                <w:szCs w:val="18"/>
              </w:rPr>
              <w:t>32.0%</w:t>
            </w:r>
          </w:p>
        </w:tc>
      </w:tr>
      <w:tr w:rsidR="00605039" w:rsidRPr="008B08E3" w14:paraId="408A3CF4" w14:textId="77777777" w:rsidTr="008300AD">
        <w:trPr>
          <w:trHeight w:val="146"/>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2ADE5122" w14:textId="77777777" w:rsidR="00605039" w:rsidRPr="00357AA1" w:rsidRDefault="00605039" w:rsidP="008300AD">
            <w:pPr>
              <w:rPr>
                <w:rFonts w:cs="Arial"/>
                <w:sz w:val="18"/>
                <w:szCs w:val="18"/>
              </w:rPr>
            </w:pPr>
            <w:r w:rsidRPr="00357AA1">
              <w:rPr>
                <w:rFonts w:cs="Arial"/>
                <w:sz w:val="18"/>
                <w:szCs w:val="18"/>
              </w:rPr>
              <w:t>Referral rate</w:t>
            </w:r>
          </w:p>
        </w:tc>
        <w:tc>
          <w:tcPr>
            <w:tcW w:w="851" w:type="dxa"/>
            <w:tcBorders>
              <w:top w:val="nil"/>
              <w:left w:val="nil"/>
              <w:bottom w:val="single" w:sz="4" w:space="0" w:color="auto"/>
              <w:right w:val="single" w:sz="4" w:space="0" w:color="auto"/>
            </w:tcBorders>
            <w:vAlign w:val="center"/>
          </w:tcPr>
          <w:p w14:paraId="2DDB4C3C" w14:textId="77777777" w:rsidR="00605039" w:rsidRPr="00357AA1" w:rsidRDefault="00605039" w:rsidP="008300AD">
            <w:pPr>
              <w:jc w:val="center"/>
              <w:rPr>
                <w:rFonts w:cs="Arial"/>
                <w:sz w:val="18"/>
                <w:szCs w:val="18"/>
              </w:rPr>
            </w:pPr>
            <w:r w:rsidRPr="00357AA1">
              <w:rPr>
                <w:rFonts w:cs="Arial"/>
                <w:sz w:val="18"/>
                <w:szCs w:val="18"/>
              </w:rPr>
              <w:t>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1086D31" w14:textId="77777777" w:rsidR="00605039" w:rsidRPr="00357AA1" w:rsidRDefault="00605039" w:rsidP="008300AD">
            <w:pPr>
              <w:jc w:val="center"/>
              <w:rPr>
                <w:rFonts w:cs="Arial"/>
                <w:sz w:val="18"/>
                <w:szCs w:val="18"/>
              </w:rPr>
            </w:pPr>
            <w:r w:rsidRPr="00357AA1">
              <w:rPr>
                <w:rFonts w:cs="Arial"/>
                <w:sz w:val="18"/>
                <w:szCs w:val="18"/>
              </w:rPr>
              <w:t>32.3</w:t>
            </w:r>
          </w:p>
        </w:tc>
        <w:tc>
          <w:tcPr>
            <w:tcW w:w="1276" w:type="dxa"/>
            <w:tcBorders>
              <w:top w:val="nil"/>
              <w:left w:val="nil"/>
              <w:bottom w:val="single" w:sz="4" w:space="0" w:color="auto"/>
              <w:right w:val="single" w:sz="4" w:space="0" w:color="auto"/>
            </w:tcBorders>
            <w:shd w:val="clear" w:color="000000" w:fill="FFFFFF"/>
            <w:noWrap/>
            <w:vAlign w:val="center"/>
            <w:hideMark/>
          </w:tcPr>
          <w:p w14:paraId="4B51D102" w14:textId="77777777" w:rsidR="00605039" w:rsidRPr="00357AA1" w:rsidRDefault="00605039" w:rsidP="008300AD">
            <w:pPr>
              <w:jc w:val="center"/>
              <w:rPr>
                <w:rFonts w:cs="Arial"/>
                <w:sz w:val="18"/>
                <w:szCs w:val="18"/>
              </w:rPr>
            </w:pPr>
            <w:r w:rsidRPr="00357AA1">
              <w:rPr>
                <w:rFonts w:cs="Arial"/>
                <w:sz w:val="18"/>
                <w:szCs w:val="18"/>
              </w:rPr>
              <w:t>33.9</w:t>
            </w:r>
          </w:p>
        </w:tc>
        <w:tc>
          <w:tcPr>
            <w:tcW w:w="1275" w:type="dxa"/>
            <w:tcBorders>
              <w:top w:val="nil"/>
              <w:left w:val="nil"/>
              <w:bottom w:val="single" w:sz="4" w:space="0" w:color="auto"/>
              <w:right w:val="single" w:sz="4" w:space="0" w:color="auto"/>
            </w:tcBorders>
            <w:shd w:val="clear" w:color="000000" w:fill="FFFFFF"/>
            <w:noWrap/>
            <w:vAlign w:val="center"/>
            <w:hideMark/>
          </w:tcPr>
          <w:p w14:paraId="1CCC1C42" w14:textId="77777777" w:rsidR="00605039" w:rsidRPr="00357AA1" w:rsidRDefault="00605039" w:rsidP="008300AD">
            <w:pPr>
              <w:jc w:val="center"/>
              <w:rPr>
                <w:rFonts w:cs="Arial"/>
                <w:sz w:val="18"/>
                <w:szCs w:val="18"/>
              </w:rPr>
            </w:pPr>
            <w:r w:rsidRPr="00357AA1">
              <w:rPr>
                <w:rFonts w:cs="Arial"/>
                <w:sz w:val="18"/>
                <w:szCs w:val="18"/>
              </w:rPr>
              <w:t>27.0</w:t>
            </w:r>
          </w:p>
        </w:tc>
        <w:tc>
          <w:tcPr>
            <w:tcW w:w="1418" w:type="dxa"/>
            <w:tcBorders>
              <w:top w:val="nil"/>
              <w:left w:val="nil"/>
              <w:bottom w:val="single" w:sz="4" w:space="0" w:color="auto"/>
              <w:right w:val="nil"/>
            </w:tcBorders>
            <w:shd w:val="clear" w:color="000000" w:fill="FFFFFF"/>
            <w:noWrap/>
            <w:vAlign w:val="center"/>
            <w:hideMark/>
          </w:tcPr>
          <w:p w14:paraId="5D64E458" w14:textId="77777777" w:rsidR="00605039" w:rsidRPr="00357AA1" w:rsidRDefault="00605039" w:rsidP="008300AD">
            <w:pPr>
              <w:jc w:val="center"/>
              <w:rPr>
                <w:rFonts w:cs="Arial"/>
                <w:sz w:val="18"/>
                <w:szCs w:val="18"/>
              </w:rPr>
            </w:pPr>
            <w:r w:rsidRPr="00357AA1">
              <w:rPr>
                <w:rFonts w:cs="Arial"/>
                <w:sz w:val="18"/>
                <w:szCs w:val="18"/>
              </w:rPr>
              <w:t>32.3</w:t>
            </w:r>
          </w:p>
        </w:tc>
        <w:tc>
          <w:tcPr>
            <w:tcW w:w="11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298F20B" w14:textId="77777777" w:rsidR="00605039" w:rsidRPr="00357AA1" w:rsidRDefault="00605039" w:rsidP="008300AD">
            <w:pPr>
              <w:jc w:val="center"/>
              <w:rPr>
                <w:rFonts w:cs="Arial"/>
                <w:sz w:val="18"/>
                <w:szCs w:val="18"/>
              </w:rPr>
            </w:pPr>
            <w:r w:rsidRPr="00357AA1">
              <w:rPr>
                <w:rFonts w:cs="Arial"/>
                <w:sz w:val="18"/>
                <w:szCs w:val="18"/>
              </w:rPr>
              <w:t>34.6</w:t>
            </w:r>
          </w:p>
        </w:tc>
      </w:tr>
      <w:tr w:rsidR="00605039" w:rsidRPr="008B08E3" w14:paraId="78DB764F" w14:textId="77777777" w:rsidTr="008300AD">
        <w:trPr>
          <w:trHeight w:val="214"/>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125135E3" w14:textId="77777777" w:rsidR="00605039" w:rsidRPr="00357AA1" w:rsidRDefault="00954A84" w:rsidP="008300AD">
            <w:pPr>
              <w:rPr>
                <w:rFonts w:cs="Arial"/>
                <w:color w:val="000000"/>
                <w:sz w:val="18"/>
                <w:szCs w:val="18"/>
              </w:rPr>
            </w:pPr>
            <w:r>
              <w:rPr>
                <w:rFonts w:cs="Arial"/>
                <w:color w:val="000000"/>
                <w:sz w:val="18"/>
                <w:szCs w:val="18"/>
              </w:rPr>
              <w:t>Percentage of referrals that are re-referrals</w:t>
            </w:r>
          </w:p>
        </w:tc>
        <w:tc>
          <w:tcPr>
            <w:tcW w:w="851" w:type="dxa"/>
            <w:tcBorders>
              <w:top w:val="nil"/>
              <w:left w:val="nil"/>
              <w:bottom w:val="single" w:sz="4" w:space="0" w:color="auto"/>
              <w:right w:val="single" w:sz="4" w:space="0" w:color="auto"/>
            </w:tcBorders>
            <w:vAlign w:val="center"/>
          </w:tcPr>
          <w:p w14:paraId="508CF664" w14:textId="77777777" w:rsidR="00605039" w:rsidRPr="00357AA1" w:rsidRDefault="00605039" w:rsidP="008300AD">
            <w:pPr>
              <w:jc w:val="center"/>
              <w:rPr>
                <w:rFonts w:cs="Arial"/>
                <w:sz w:val="18"/>
                <w:szCs w:val="18"/>
              </w:rPr>
            </w:pPr>
            <w:r w:rsidRPr="00357AA1">
              <w:rPr>
                <w:rFonts w:cs="Arial"/>
                <w:sz w:val="18"/>
                <w:szCs w:val="18"/>
              </w:rPr>
              <w:t>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AD54B9F" w14:textId="77777777" w:rsidR="00605039" w:rsidRPr="00357AA1" w:rsidRDefault="00605039" w:rsidP="008300AD">
            <w:pPr>
              <w:jc w:val="center"/>
              <w:rPr>
                <w:rFonts w:cs="Arial"/>
                <w:sz w:val="18"/>
                <w:szCs w:val="18"/>
              </w:rPr>
            </w:pPr>
            <w:r w:rsidRPr="00357AA1">
              <w:rPr>
                <w:rFonts w:cs="Arial"/>
                <w:sz w:val="18"/>
                <w:szCs w:val="18"/>
              </w:rPr>
              <w:t>19.0 %</w:t>
            </w:r>
          </w:p>
        </w:tc>
        <w:tc>
          <w:tcPr>
            <w:tcW w:w="1276" w:type="dxa"/>
            <w:tcBorders>
              <w:top w:val="nil"/>
              <w:left w:val="nil"/>
              <w:bottom w:val="single" w:sz="4" w:space="0" w:color="auto"/>
              <w:right w:val="nil"/>
            </w:tcBorders>
            <w:shd w:val="clear" w:color="000000" w:fill="FFFFFF"/>
            <w:noWrap/>
            <w:vAlign w:val="center"/>
            <w:hideMark/>
          </w:tcPr>
          <w:p w14:paraId="73C2DED0" w14:textId="77777777" w:rsidR="00605039" w:rsidRPr="00357AA1" w:rsidRDefault="00605039" w:rsidP="008300AD">
            <w:pPr>
              <w:jc w:val="center"/>
              <w:rPr>
                <w:rFonts w:cs="Arial"/>
                <w:sz w:val="18"/>
                <w:szCs w:val="18"/>
              </w:rPr>
            </w:pPr>
            <w:r w:rsidRPr="00357AA1">
              <w:rPr>
                <w:rFonts w:cs="Arial"/>
                <w:sz w:val="18"/>
                <w:szCs w:val="18"/>
              </w:rPr>
              <w:t>21.9%</w:t>
            </w:r>
          </w:p>
        </w:tc>
        <w:tc>
          <w:tcPr>
            <w:tcW w:w="1275" w:type="dxa"/>
            <w:tcBorders>
              <w:top w:val="nil"/>
              <w:left w:val="single" w:sz="4" w:space="0" w:color="auto"/>
              <w:bottom w:val="single" w:sz="4" w:space="0" w:color="auto"/>
              <w:right w:val="nil"/>
            </w:tcBorders>
            <w:shd w:val="clear" w:color="000000" w:fill="FFFFFF"/>
            <w:noWrap/>
            <w:vAlign w:val="center"/>
            <w:hideMark/>
          </w:tcPr>
          <w:p w14:paraId="15EAB96B" w14:textId="77777777" w:rsidR="00605039" w:rsidRPr="00357AA1" w:rsidRDefault="00605039" w:rsidP="008300AD">
            <w:pPr>
              <w:jc w:val="center"/>
              <w:rPr>
                <w:rFonts w:cs="Arial"/>
                <w:sz w:val="18"/>
                <w:szCs w:val="18"/>
              </w:rPr>
            </w:pPr>
            <w:r w:rsidRPr="00357AA1">
              <w:rPr>
                <w:rFonts w:cs="Arial"/>
                <w:sz w:val="18"/>
                <w:szCs w:val="18"/>
              </w:rPr>
              <w:t>16.3%</w:t>
            </w:r>
          </w:p>
        </w:tc>
        <w:tc>
          <w:tcPr>
            <w:tcW w:w="1418" w:type="dxa"/>
            <w:tcBorders>
              <w:top w:val="nil"/>
              <w:left w:val="single" w:sz="4" w:space="0" w:color="auto"/>
              <w:bottom w:val="single" w:sz="4" w:space="0" w:color="auto"/>
              <w:right w:val="nil"/>
            </w:tcBorders>
            <w:shd w:val="clear" w:color="000000" w:fill="FFFFFF"/>
            <w:noWrap/>
            <w:vAlign w:val="center"/>
            <w:hideMark/>
          </w:tcPr>
          <w:p w14:paraId="68D7E80E" w14:textId="77777777" w:rsidR="00605039" w:rsidRPr="00357AA1" w:rsidRDefault="00605039" w:rsidP="008300AD">
            <w:pPr>
              <w:jc w:val="center"/>
              <w:rPr>
                <w:rFonts w:cs="Arial"/>
                <w:sz w:val="18"/>
                <w:szCs w:val="18"/>
              </w:rPr>
            </w:pPr>
            <w:r w:rsidRPr="00357AA1">
              <w:rPr>
                <w:rFonts w:cs="Arial"/>
                <w:sz w:val="18"/>
                <w:szCs w:val="18"/>
              </w:rPr>
              <w:t>17.0%</w:t>
            </w:r>
          </w:p>
        </w:tc>
        <w:tc>
          <w:tcPr>
            <w:tcW w:w="1134" w:type="dxa"/>
            <w:tcBorders>
              <w:top w:val="nil"/>
              <w:left w:val="single" w:sz="4" w:space="0" w:color="auto"/>
              <w:bottom w:val="single" w:sz="4" w:space="0" w:color="auto"/>
              <w:right w:val="single" w:sz="4" w:space="0" w:color="auto"/>
            </w:tcBorders>
            <w:shd w:val="clear" w:color="000000" w:fill="D8E4BC"/>
            <w:noWrap/>
            <w:vAlign w:val="center"/>
            <w:hideMark/>
          </w:tcPr>
          <w:p w14:paraId="3DEE450A" w14:textId="77777777" w:rsidR="00605039" w:rsidRPr="00357AA1" w:rsidRDefault="00605039" w:rsidP="008300AD">
            <w:pPr>
              <w:jc w:val="center"/>
              <w:rPr>
                <w:rFonts w:cs="Arial"/>
                <w:sz w:val="18"/>
                <w:szCs w:val="18"/>
              </w:rPr>
            </w:pPr>
            <w:r w:rsidRPr="00357AA1">
              <w:rPr>
                <w:rFonts w:cs="Arial"/>
                <w:sz w:val="18"/>
                <w:szCs w:val="18"/>
              </w:rPr>
              <w:t>19.2 %</w:t>
            </w:r>
          </w:p>
        </w:tc>
      </w:tr>
      <w:tr w:rsidR="00357AA1" w:rsidRPr="008B08E3" w14:paraId="1472D59B" w14:textId="77777777" w:rsidTr="008300AD">
        <w:trPr>
          <w:trHeight w:val="214"/>
        </w:trPr>
        <w:tc>
          <w:tcPr>
            <w:tcW w:w="9913" w:type="dxa"/>
            <w:gridSpan w:val="7"/>
            <w:tcBorders>
              <w:top w:val="nil"/>
              <w:left w:val="single" w:sz="8" w:space="0" w:color="auto"/>
              <w:bottom w:val="single" w:sz="4" w:space="0" w:color="auto"/>
              <w:right w:val="single" w:sz="4" w:space="0" w:color="auto"/>
            </w:tcBorders>
            <w:shd w:val="clear" w:color="auto" w:fill="D9D9D9" w:themeFill="background1" w:themeFillShade="D9"/>
            <w:vAlign w:val="center"/>
          </w:tcPr>
          <w:p w14:paraId="1656A133" w14:textId="77777777" w:rsidR="00357AA1" w:rsidRPr="00954A84" w:rsidRDefault="00357AA1" w:rsidP="008300AD">
            <w:pPr>
              <w:jc w:val="center"/>
              <w:rPr>
                <w:rFonts w:cs="Arial"/>
                <w:b/>
                <w:sz w:val="18"/>
                <w:szCs w:val="18"/>
              </w:rPr>
            </w:pPr>
            <w:r w:rsidRPr="00954A84">
              <w:rPr>
                <w:rFonts w:cs="Arial"/>
                <w:b/>
                <w:sz w:val="18"/>
                <w:szCs w:val="18"/>
              </w:rPr>
              <w:t>Timeliness of assessments</w:t>
            </w:r>
            <w:r w:rsidR="001C03E1">
              <w:rPr>
                <w:rFonts w:cs="Arial"/>
                <w:b/>
                <w:sz w:val="18"/>
                <w:szCs w:val="18"/>
              </w:rPr>
              <w:t xml:space="preserve"> by Children's Social Care</w:t>
            </w:r>
          </w:p>
        </w:tc>
      </w:tr>
      <w:tr w:rsidR="00605039" w:rsidRPr="008B08E3" w14:paraId="79CB7416" w14:textId="77777777" w:rsidTr="008300AD">
        <w:trPr>
          <w:trHeight w:val="201"/>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14795801" w14:textId="77777777" w:rsidR="00605039" w:rsidRPr="00357AA1" w:rsidRDefault="00357AA1" w:rsidP="008300AD">
            <w:pPr>
              <w:rPr>
                <w:rFonts w:cs="Arial"/>
                <w:color w:val="000000"/>
                <w:sz w:val="18"/>
                <w:szCs w:val="18"/>
              </w:rPr>
            </w:pPr>
            <w:r>
              <w:rPr>
                <w:rFonts w:cs="Arial"/>
                <w:color w:val="000000"/>
                <w:sz w:val="18"/>
                <w:szCs w:val="18"/>
              </w:rPr>
              <w:t xml:space="preserve">Percentage </w:t>
            </w:r>
            <w:r w:rsidR="00954A84">
              <w:rPr>
                <w:rFonts w:cs="Arial"/>
                <w:color w:val="000000"/>
                <w:sz w:val="18"/>
                <w:szCs w:val="18"/>
              </w:rPr>
              <w:t xml:space="preserve">of </w:t>
            </w:r>
            <w:r>
              <w:rPr>
                <w:rFonts w:cs="Arial"/>
                <w:color w:val="000000"/>
                <w:sz w:val="18"/>
                <w:szCs w:val="18"/>
              </w:rPr>
              <w:t>completed a</w:t>
            </w:r>
            <w:r w:rsidR="00605039" w:rsidRPr="00357AA1">
              <w:rPr>
                <w:rFonts w:cs="Arial"/>
                <w:color w:val="000000"/>
                <w:sz w:val="18"/>
                <w:szCs w:val="18"/>
              </w:rPr>
              <w:t xml:space="preserve">ssessments </w:t>
            </w:r>
            <w:r w:rsidR="00954A84">
              <w:rPr>
                <w:rFonts w:cs="Arial"/>
                <w:color w:val="000000"/>
                <w:sz w:val="18"/>
                <w:szCs w:val="18"/>
              </w:rPr>
              <w:t>which took over</w:t>
            </w:r>
            <w:r w:rsidR="00605039" w:rsidRPr="00357AA1">
              <w:rPr>
                <w:rFonts w:cs="Arial"/>
                <w:color w:val="000000"/>
                <w:sz w:val="18"/>
                <w:szCs w:val="18"/>
              </w:rPr>
              <w:t xml:space="preserve"> 45 days</w:t>
            </w:r>
          </w:p>
        </w:tc>
        <w:tc>
          <w:tcPr>
            <w:tcW w:w="851" w:type="dxa"/>
            <w:tcBorders>
              <w:top w:val="nil"/>
              <w:left w:val="nil"/>
              <w:bottom w:val="single" w:sz="4" w:space="0" w:color="auto"/>
              <w:right w:val="single" w:sz="4" w:space="0" w:color="auto"/>
            </w:tcBorders>
            <w:vAlign w:val="center"/>
          </w:tcPr>
          <w:p w14:paraId="0E31D6CA" w14:textId="77777777" w:rsidR="00605039" w:rsidRPr="00357AA1" w:rsidRDefault="00605039" w:rsidP="008300AD">
            <w:pPr>
              <w:jc w:val="center"/>
              <w:rPr>
                <w:rFonts w:cs="Arial"/>
                <w:color w:val="000000"/>
                <w:sz w:val="18"/>
                <w:szCs w:val="18"/>
              </w:rPr>
            </w:pPr>
            <w:r w:rsidRPr="00357AA1">
              <w:rPr>
                <w:rFonts w:cs="Arial"/>
                <w:color w:val="000000"/>
                <w:sz w:val="18"/>
                <w:szCs w:val="18"/>
              </w:rPr>
              <w:t>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909AE3E" w14:textId="77777777" w:rsidR="00605039" w:rsidRPr="00357AA1" w:rsidRDefault="00605039" w:rsidP="008300AD">
            <w:pPr>
              <w:jc w:val="center"/>
              <w:rPr>
                <w:rFonts w:cs="Arial"/>
                <w:color w:val="000000"/>
                <w:sz w:val="18"/>
                <w:szCs w:val="18"/>
              </w:rPr>
            </w:pPr>
            <w:r w:rsidRPr="00357AA1">
              <w:rPr>
                <w:rFonts w:cs="Arial"/>
                <w:color w:val="000000"/>
                <w:sz w:val="18"/>
                <w:szCs w:val="18"/>
              </w:rPr>
              <w:t>17.4%</w:t>
            </w:r>
          </w:p>
        </w:tc>
        <w:tc>
          <w:tcPr>
            <w:tcW w:w="1276" w:type="dxa"/>
            <w:tcBorders>
              <w:top w:val="nil"/>
              <w:left w:val="nil"/>
              <w:bottom w:val="single" w:sz="4" w:space="0" w:color="auto"/>
              <w:right w:val="single" w:sz="4" w:space="0" w:color="auto"/>
            </w:tcBorders>
            <w:shd w:val="clear" w:color="000000" w:fill="FFFFFF"/>
            <w:noWrap/>
            <w:vAlign w:val="center"/>
            <w:hideMark/>
          </w:tcPr>
          <w:p w14:paraId="736E5677" w14:textId="77777777" w:rsidR="00605039" w:rsidRPr="00357AA1" w:rsidRDefault="00605039" w:rsidP="008300AD">
            <w:pPr>
              <w:jc w:val="center"/>
              <w:rPr>
                <w:rFonts w:cs="Arial"/>
                <w:sz w:val="18"/>
                <w:szCs w:val="18"/>
              </w:rPr>
            </w:pPr>
            <w:r w:rsidRPr="00357AA1">
              <w:rPr>
                <w:rFonts w:cs="Arial"/>
                <w:sz w:val="18"/>
                <w:szCs w:val="18"/>
              </w:rPr>
              <w:t>19.6%</w:t>
            </w:r>
          </w:p>
        </w:tc>
        <w:tc>
          <w:tcPr>
            <w:tcW w:w="1275" w:type="dxa"/>
            <w:tcBorders>
              <w:top w:val="nil"/>
              <w:left w:val="nil"/>
              <w:bottom w:val="single" w:sz="4" w:space="0" w:color="auto"/>
              <w:right w:val="single" w:sz="4" w:space="0" w:color="auto"/>
            </w:tcBorders>
            <w:shd w:val="clear" w:color="000000" w:fill="FFFFFF"/>
            <w:noWrap/>
            <w:vAlign w:val="center"/>
            <w:hideMark/>
          </w:tcPr>
          <w:p w14:paraId="6AF7FA2E" w14:textId="77777777" w:rsidR="00605039" w:rsidRPr="00357AA1" w:rsidRDefault="00605039" w:rsidP="008300AD">
            <w:pPr>
              <w:jc w:val="center"/>
              <w:rPr>
                <w:rFonts w:cs="Arial"/>
                <w:sz w:val="18"/>
                <w:szCs w:val="18"/>
              </w:rPr>
            </w:pPr>
            <w:r w:rsidRPr="00357AA1">
              <w:rPr>
                <w:rFonts w:cs="Arial"/>
                <w:sz w:val="18"/>
                <w:szCs w:val="18"/>
              </w:rPr>
              <w:t>32.6%</w:t>
            </w:r>
          </w:p>
        </w:tc>
        <w:tc>
          <w:tcPr>
            <w:tcW w:w="1418" w:type="dxa"/>
            <w:tcBorders>
              <w:top w:val="nil"/>
              <w:left w:val="nil"/>
              <w:bottom w:val="single" w:sz="4" w:space="0" w:color="auto"/>
              <w:right w:val="nil"/>
            </w:tcBorders>
            <w:shd w:val="clear" w:color="000000" w:fill="FFFFFF"/>
            <w:noWrap/>
            <w:vAlign w:val="center"/>
            <w:hideMark/>
          </w:tcPr>
          <w:p w14:paraId="4645A6BB" w14:textId="77777777" w:rsidR="00605039" w:rsidRPr="00357AA1" w:rsidRDefault="00605039" w:rsidP="008300AD">
            <w:pPr>
              <w:jc w:val="center"/>
              <w:rPr>
                <w:rFonts w:cs="Arial"/>
                <w:sz w:val="18"/>
                <w:szCs w:val="18"/>
              </w:rPr>
            </w:pPr>
            <w:r w:rsidRPr="00357AA1">
              <w:rPr>
                <w:rFonts w:cs="Arial"/>
                <w:sz w:val="18"/>
                <w:szCs w:val="18"/>
              </w:rPr>
              <w:t>22.8%</w:t>
            </w:r>
          </w:p>
        </w:tc>
        <w:tc>
          <w:tcPr>
            <w:tcW w:w="1134" w:type="dxa"/>
            <w:tcBorders>
              <w:top w:val="nil"/>
              <w:left w:val="single" w:sz="4" w:space="0" w:color="auto"/>
              <w:bottom w:val="single" w:sz="4" w:space="0" w:color="auto"/>
              <w:right w:val="single" w:sz="4" w:space="0" w:color="auto"/>
            </w:tcBorders>
            <w:shd w:val="clear" w:color="000000" w:fill="E6B8B7"/>
            <w:noWrap/>
            <w:vAlign w:val="center"/>
            <w:hideMark/>
          </w:tcPr>
          <w:p w14:paraId="791A1CB0" w14:textId="77777777" w:rsidR="00605039" w:rsidRPr="00357AA1" w:rsidRDefault="00605039" w:rsidP="008300AD">
            <w:pPr>
              <w:jc w:val="center"/>
              <w:rPr>
                <w:rFonts w:cs="Arial"/>
                <w:sz w:val="18"/>
                <w:szCs w:val="18"/>
              </w:rPr>
            </w:pPr>
            <w:r w:rsidRPr="00357AA1">
              <w:rPr>
                <w:rFonts w:cs="Arial"/>
                <w:sz w:val="18"/>
                <w:szCs w:val="18"/>
              </w:rPr>
              <w:t>25.2%</w:t>
            </w:r>
          </w:p>
        </w:tc>
      </w:tr>
      <w:tr w:rsidR="00357AA1" w:rsidRPr="008B08E3" w14:paraId="39B3220E" w14:textId="77777777" w:rsidTr="008300AD">
        <w:trPr>
          <w:trHeight w:val="201"/>
        </w:trPr>
        <w:tc>
          <w:tcPr>
            <w:tcW w:w="9913" w:type="dxa"/>
            <w:gridSpan w:val="7"/>
            <w:tcBorders>
              <w:top w:val="nil"/>
              <w:left w:val="single" w:sz="8" w:space="0" w:color="auto"/>
              <w:bottom w:val="single" w:sz="4" w:space="0" w:color="auto"/>
              <w:right w:val="single" w:sz="4" w:space="0" w:color="auto"/>
            </w:tcBorders>
            <w:shd w:val="clear" w:color="auto" w:fill="D9D9D9" w:themeFill="background1" w:themeFillShade="D9"/>
            <w:vAlign w:val="center"/>
          </w:tcPr>
          <w:p w14:paraId="0D315C6B" w14:textId="77777777" w:rsidR="00357AA1" w:rsidRPr="00954A84" w:rsidRDefault="00357AA1" w:rsidP="008300AD">
            <w:pPr>
              <w:jc w:val="center"/>
              <w:rPr>
                <w:rFonts w:cs="Arial"/>
                <w:b/>
                <w:sz w:val="18"/>
                <w:szCs w:val="18"/>
              </w:rPr>
            </w:pPr>
            <w:r w:rsidRPr="00954A84">
              <w:rPr>
                <w:rFonts w:cs="Arial"/>
                <w:b/>
                <w:sz w:val="18"/>
                <w:szCs w:val="18"/>
              </w:rPr>
              <w:t>Children in Need and Children on Child Protection Plans</w:t>
            </w:r>
          </w:p>
        </w:tc>
      </w:tr>
      <w:tr w:rsidR="00605039" w:rsidRPr="008B08E3" w14:paraId="3137D561" w14:textId="77777777" w:rsidTr="008300AD">
        <w:trPr>
          <w:trHeight w:val="79"/>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282E3ADE" w14:textId="77777777" w:rsidR="00605039" w:rsidRPr="00357AA1" w:rsidRDefault="00954A84" w:rsidP="008300AD">
            <w:pPr>
              <w:rPr>
                <w:rFonts w:cs="Arial"/>
                <w:color w:val="000000"/>
                <w:sz w:val="18"/>
                <w:szCs w:val="18"/>
              </w:rPr>
            </w:pPr>
            <w:r>
              <w:rPr>
                <w:rFonts w:cs="Arial"/>
                <w:color w:val="000000"/>
                <w:sz w:val="18"/>
                <w:szCs w:val="18"/>
              </w:rPr>
              <w:t>Number and rate of children with a Children in Need Plan</w:t>
            </w:r>
            <w:r w:rsidR="00605039" w:rsidRPr="00357AA1">
              <w:rPr>
                <w:rFonts w:cs="Arial"/>
                <w:color w:val="000000"/>
                <w:sz w:val="18"/>
                <w:szCs w:val="18"/>
              </w:rPr>
              <w:t xml:space="preserve"> </w:t>
            </w:r>
          </w:p>
        </w:tc>
        <w:tc>
          <w:tcPr>
            <w:tcW w:w="851" w:type="dxa"/>
            <w:tcBorders>
              <w:top w:val="nil"/>
              <w:left w:val="nil"/>
              <w:bottom w:val="single" w:sz="4" w:space="0" w:color="auto"/>
              <w:right w:val="single" w:sz="4" w:space="0" w:color="auto"/>
            </w:tcBorders>
            <w:vAlign w:val="center"/>
          </w:tcPr>
          <w:p w14:paraId="109530F1" w14:textId="77777777" w:rsidR="00605039" w:rsidRPr="00357AA1" w:rsidRDefault="00605039" w:rsidP="008300AD">
            <w:pPr>
              <w:jc w:val="center"/>
              <w:rPr>
                <w:rFonts w:cs="Arial"/>
                <w:color w:val="000000"/>
                <w:sz w:val="18"/>
                <w:szCs w:val="18"/>
              </w:rPr>
            </w:pPr>
            <w:r w:rsidRPr="00357AA1">
              <w:rPr>
                <w:rFonts w:cs="Arial"/>
                <w:color w:val="000000"/>
                <w:sz w:val="18"/>
                <w:szCs w:val="18"/>
              </w:rPr>
              <w:t>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6833C4E" w14:textId="77777777" w:rsidR="00605039" w:rsidRPr="00357AA1" w:rsidRDefault="00605039" w:rsidP="008300AD">
            <w:pPr>
              <w:jc w:val="center"/>
              <w:rPr>
                <w:rFonts w:cs="Arial"/>
                <w:color w:val="000000"/>
                <w:sz w:val="18"/>
                <w:szCs w:val="18"/>
              </w:rPr>
            </w:pPr>
            <w:r w:rsidRPr="00357AA1">
              <w:rPr>
                <w:rFonts w:cs="Arial"/>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14:paraId="33AD635D" w14:textId="77777777" w:rsidR="00605039" w:rsidRPr="00357AA1" w:rsidRDefault="00605039" w:rsidP="008300AD">
            <w:pPr>
              <w:jc w:val="center"/>
              <w:rPr>
                <w:rFonts w:cs="Arial"/>
                <w:sz w:val="18"/>
                <w:szCs w:val="18"/>
              </w:rPr>
            </w:pPr>
            <w:r w:rsidRPr="00357AA1">
              <w:rPr>
                <w:rFonts w:cs="Arial"/>
                <w:sz w:val="18"/>
                <w:szCs w:val="18"/>
              </w:rPr>
              <w:t>1,966/79.6</w:t>
            </w:r>
          </w:p>
        </w:tc>
        <w:tc>
          <w:tcPr>
            <w:tcW w:w="1275" w:type="dxa"/>
            <w:tcBorders>
              <w:top w:val="nil"/>
              <w:left w:val="nil"/>
              <w:bottom w:val="single" w:sz="4" w:space="0" w:color="auto"/>
              <w:right w:val="single" w:sz="4" w:space="0" w:color="auto"/>
            </w:tcBorders>
            <w:shd w:val="clear" w:color="auto" w:fill="auto"/>
            <w:noWrap/>
            <w:vAlign w:val="center"/>
            <w:hideMark/>
          </w:tcPr>
          <w:p w14:paraId="1DC9B743" w14:textId="77777777" w:rsidR="00605039" w:rsidRPr="00357AA1" w:rsidRDefault="00605039" w:rsidP="008300AD">
            <w:pPr>
              <w:jc w:val="center"/>
              <w:rPr>
                <w:rFonts w:cs="Arial"/>
                <w:sz w:val="18"/>
                <w:szCs w:val="18"/>
              </w:rPr>
            </w:pPr>
            <w:r w:rsidRPr="00357AA1">
              <w:rPr>
                <w:rFonts w:cs="Arial"/>
                <w:sz w:val="18"/>
                <w:szCs w:val="18"/>
              </w:rPr>
              <w:t>1,952/79.4</w:t>
            </w:r>
          </w:p>
        </w:tc>
        <w:tc>
          <w:tcPr>
            <w:tcW w:w="1418" w:type="dxa"/>
            <w:tcBorders>
              <w:top w:val="nil"/>
              <w:left w:val="nil"/>
              <w:bottom w:val="single" w:sz="4" w:space="0" w:color="auto"/>
              <w:right w:val="single" w:sz="4" w:space="0" w:color="auto"/>
            </w:tcBorders>
            <w:shd w:val="clear" w:color="auto" w:fill="auto"/>
            <w:noWrap/>
            <w:vAlign w:val="center"/>
            <w:hideMark/>
          </w:tcPr>
          <w:p w14:paraId="5E883BF6" w14:textId="77777777" w:rsidR="00605039" w:rsidRPr="00357AA1" w:rsidRDefault="00605039" w:rsidP="008300AD">
            <w:pPr>
              <w:jc w:val="center"/>
              <w:rPr>
                <w:rFonts w:cs="Arial"/>
                <w:sz w:val="18"/>
                <w:szCs w:val="18"/>
              </w:rPr>
            </w:pPr>
            <w:r w:rsidRPr="00357AA1">
              <w:rPr>
                <w:rFonts w:cs="Arial"/>
                <w:sz w:val="18"/>
                <w:szCs w:val="18"/>
              </w:rPr>
              <w:t>1,845/74.8</w:t>
            </w:r>
          </w:p>
        </w:tc>
        <w:tc>
          <w:tcPr>
            <w:tcW w:w="1134" w:type="dxa"/>
            <w:tcBorders>
              <w:top w:val="nil"/>
              <w:left w:val="single" w:sz="4" w:space="0" w:color="auto"/>
              <w:bottom w:val="single" w:sz="4" w:space="0" w:color="auto"/>
              <w:right w:val="single" w:sz="4" w:space="0" w:color="auto"/>
            </w:tcBorders>
            <w:shd w:val="clear" w:color="000000" w:fill="FCD5B4"/>
            <w:noWrap/>
            <w:vAlign w:val="center"/>
            <w:hideMark/>
          </w:tcPr>
          <w:p w14:paraId="2B71362B" w14:textId="77777777" w:rsidR="00605039" w:rsidRPr="00357AA1" w:rsidRDefault="00605039" w:rsidP="008300AD">
            <w:pPr>
              <w:jc w:val="center"/>
              <w:rPr>
                <w:rFonts w:cs="Arial"/>
                <w:sz w:val="18"/>
                <w:szCs w:val="18"/>
              </w:rPr>
            </w:pPr>
            <w:r w:rsidRPr="00357AA1">
              <w:rPr>
                <w:rFonts w:cs="Arial"/>
                <w:sz w:val="18"/>
                <w:szCs w:val="18"/>
              </w:rPr>
              <w:t>78.9</w:t>
            </w:r>
          </w:p>
        </w:tc>
      </w:tr>
      <w:tr w:rsidR="00605039" w:rsidRPr="008B08E3" w14:paraId="0541E606" w14:textId="77777777" w:rsidTr="008300AD">
        <w:trPr>
          <w:trHeight w:val="79"/>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4601C833" w14:textId="77777777" w:rsidR="00605039" w:rsidRPr="00357AA1" w:rsidRDefault="00954A84" w:rsidP="008300AD">
            <w:pPr>
              <w:rPr>
                <w:rFonts w:cs="Arial"/>
                <w:color w:val="000000"/>
                <w:sz w:val="18"/>
                <w:szCs w:val="18"/>
              </w:rPr>
            </w:pPr>
            <w:r>
              <w:rPr>
                <w:rFonts w:cs="Arial"/>
                <w:color w:val="000000"/>
                <w:sz w:val="18"/>
                <w:szCs w:val="18"/>
              </w:rPr>
              <w:t>Number and rate of children with a child protection plan</w:t>
            </w:r>
            <w:r w:rsidR="00605039" w:rsidRPr="00357AA1">
              <w:rPr>
                <w:rFonts w:cs="Arial"/>
                <w:color w:val="000000"/>
                <w:sz w:val="18"/>
                <w:szCs w:val="18"/>
              </w:rPr>
              <w:t xml:space="preserve">  </w:t>
            </w:r>
          </w:p>
        </w:tc>
        <w:tc>
          <w:tcPr>
            <w:tcW w:w="851" w:type="dxa"/>
            <w:tcBorders>
              <w:top w:val="nil"/>
              <w:left w:val="nil"/>
              <w:bottom w:val="single" w:sz="4" w:space="0" w:color="auto"/>
              <w:right w:val="single" w:sz="4" w:space="0" w:color="auto"/>
            </w:tcBorders>
            <w:vAlign w:val="center"/>
          </w:tcPr>
          <w:p w14:paraId="4D6A1DD3" w14:textId="77777777" w:rsidR="00605039" w:rsidRPr="00357AA1" w:rsidRDefault="00605039" w:rsidP="008300AD">
            <w:pPr>
              <w:jc w:val="center"/>
              <w:rPr>
                <w:rFonts w:cs="Arial"/>
                <w:color w:val="000000"/>
                <w:sz w:val="18"/>
                <w:szCs w:val="18"/>
              </w:rPr>
            </w:pPr>
            <w:r w:rsidRPr="00357AA1">
              <w:rPr>
                <w:rFonts w:cs="Arial"/>
                <w:color w:val="000000"/>
                <w:sz w:val="18"/>
                <w:szCs w:val="18"/>
              </w:rPr>
              <w:t>L</w:t>
            </w:r>
          </w:p>
        </w:tc>
        <w:tc>
          <w:tcPr>
            <w:tcW w:w="1134" w:type="dxa"/>
            <w:tcBorders>
              <w:top w:val="nil"/>
              <w:left w:val="single" w:sz="4" w:space="0" w:color="auto"/>
              <w:bottom w:val="single" w:sz="4" w:space="0" w:color="auto"/>
              <w:right w:val="nil"/>
            </w:tcBorders>
            <w:shd w:val="clear" w:color="000000" w:fill="FFFFFF"/>
            <w:noWrap/>
            <w:vAlign w:val="center"/>
            <w:hideMark/>
          </w:tcPr>
          <w:p w14:paraId="7B07048F" w14:textId="77777777" w:rsidR="00605039" w:rsidRPr="00357AA1" w:rsidRDefault="00605039" w:rsidP="008300AD">
            <w:pPr>
              <w:jc w:val="center"/>
              <w:rPr>
                <w:rFonts w:cs="Arial"/>
                <w:sz w:val="18"/>
                <w:szCs w:val="18"/>
              </w:rPr>
            </w:pPr>
            <w:r w:rsidRPr="00357AA1">
              <w:rPr>
                <w:rFonts w:cs="Arial"/>
                <w:sz w:val="18"/>
                <w:szCs w:val="18"/>
              </w:rPr>
              <w:t>67.0</w:t>
            </w: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14:paraId="5746EB24" w14:textId="77777777" w:rsidR="00605039" w:rsidRPr="00357AA1" w:rsidRDefault="00605039" w:rsidP="008300AD">
            <w:pPr>
              <w:jc w:val="center"/>
              <w:rPr>
                <w:rFonts w:cs="Arial"/>
                <w:sz w:val="18"/>
                <w:szCs w:val="18"/>
              </w:rPr>
            </w:pPr>
            <w:r w:rsidRPr="00357AA1">
              <w:rPr>
                <w:rFonts w:cs="Arial"/>
                <w:sz w:val="18"/>
                <w:szCs w:val="18"/>
              </w:rPr>
              <w:t>1,288/52.5</w:t>
            </w:r>
          </w:p>
        </w:tc>
        <w:tc>
          <w:tcPr>
            <w:tcW w:w="1275" w:type="dxa"/>
            <w:tcBorders>
              <w:top w:val="single" w:sz="4" w:space="0" w:color="auto"/>
              <w:left w:val="single" w:sz="4" w:space="0" w:color="auto"/>
              <w:bottom w:val="single" w:sz="4" w:space="0" w:color="auto"/>
              <w:right w:val="nil"/>
            </w:tcBorders>
            <w:shd w:val="clear" w:color="000000" w:fill="FFFFFF"/>
            <w:noWrap/>
            <w:vAlign w:val="center"/>
            <w:hideMark/>
          </w:tcPr>
          <w:p w14:paraId="56B7B465" w14:textId="77777777" w:rsidR="00605039" w:rsidRPr="00357AA1" w:rsidRDefault="00605039" w:rsidP="008300AD">
            <w:pPr>
              <w:jc w:val="center"/>
              <w:rPr>
                <w:rFonts w:cs="Arial"/>
                <w:sz w:val="18"/>
                <w:szCs w:val="18"/>
              </w:rPr>
            </w:pPr>
            <w:r w:rsidRPr="00357AA1">
              <w:rPr>
                <w:rFonts w:cs="Arial"/>
                <w:sz w:val="18"/>
                <w:szCs w:val="18"/>
              </w:rPr>
              <w:t>1,241/50.3</w:t>
            </w:r>
          </w:p>
        </w:tc>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14:paraId="60906B3E" w14:textId="77777777" w:rsidR="00605039" w:rsidRPr="00357AA1" w:rsidRDefault="00605039" w:rsidP="008300AD">
            <w:pPr>
              <w:jc w:val="center"/>
              <w:rPr>
                <w:rFonts w:cs="Arial"/>
                <w:sz w:val="18"/>
                <w:szCs w:val="18"/>
              </w:rPr>
            </w:pPr>
            <w:r w:rsidRPr="00357AA1">
              <w:rPr>
                <w:rFonts w:cs="Arial"/>
                <w:sz w:val="18"/>
                <w:szCs w:val="18"/>
              </w:rPr>
              <w:t>1,273/51.6</w:t>
            </w:r>
          </w:p>
        </w:tc>
        <w:tc>
          <w:tcPr>
            <w:tcW w:w="1134" w:type="dxa"/>
            <w:tcBorders>
              <w:top w:val="nil"/>
              <w:left w:val="single" w:sz="4" w:space="0" w:color="auto"/>
              <w:bottom w:val="single" w:sz="4" w:space="0" w:color="auto"/>
              <w:right w:val="single" w:sz="4" w:space="0" w:color="auto"/>
            </w:tcBorders>
            <w:shd w:val="clear" w:color="000000" w:fill="FCD5B4"/>
            <w:noWrap/>
            <w:vAlign w:val="center"/>
            <w:hideMark/>
          </w:tcPr>
          <w:p w14:paraId="1F6F2096" w14:textId="77777777" w:rsidR="00605039" w:rsidRPr="00357AA1" w:rsidRDefault="00605039" w:rsidP="008300AD">
            <w:pPr>
              <w:jc w:val="center"/>
              <w:rPr>
                <w:rFonts w:cs="Arial"/>
                <w:color w:val="000000"/>
                <w:sz w:val="18"/>
                <w:szCs w:val="18"/>
              </w:rPr>
            </w:pPr>
            <w:r w:rsidRPr="00357AA1">
              <w:rPr>
                <w:rFonts w:cs="Arial"/>
                <w:color w:val="000000"/>
                <w:sz w:val="18"/>
                <w:szCs w:val="18"/>
              </w:rPr>
              <w:t>51.6</w:t>
            </w:r>
          </w:p>
        </w:tc>
      </w:tr>
      <w:tr w:rsidR="00605039" w:rsidRPr="008B08E3" w14:paraId="71EAB27E" w14:textId="77777777" w:rsidTr="008300AD">
        <w:trPr>
          <w:trHeight w:val="79"/>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4C222B40" w14:textId="77777777" w:rsidR="00605039" w:rsidRPr="00357AA1" w:rsidRDefault="00954A84" w:rsidP="008300AD">
            <w:pPr>
              <w:rPr>
                <w:rFonts w:cs="Arial"/>
                <w:color w:val="000000"/>
                <w:sz w:val="18"/>
                <w:szCs w:val="18"/>
              </w:rPr>
            </w:pPr>
            <w:r>
              <w:rPr>
                <w:rFonts w:cs="Arial"/>
                <w:color w:val="000000"/>
                <w:sz w:val="18"/>
                <w:szCs w:val="18"/>
              </w:rPr>
              <w:t>Percentage of children with a repeat child protection plan</w:t>
            </w:r>
          </w:p>
        </w:tc>
        <w:tc>
          <w:tcPr>
            <w:tcW w:w="851" w:type="dxa"/>
            <w:tcBorders>
              <w:top w:val="nil"/>
              <w:left w:val="nil"/>
              <w:bottom w:val="single" w:sz="4" w:space="0" w:color="auto"/>
              <w:right w:val="single" w:sz="4" w:space="0" w:color="auto"/>
            </w:tcBorders>
            <w:vAlign w:val="center"/>
          </w:tcPr>
          <w:p w14:paraId="55E2237F" w14:textId="77777777" w:rsidR="00605039" w:rsidRPr="00357AA1" w:rsidRDefault="00605039" w:rsidP="008300AD">
            <w:pPr>
              <w:jc w:val="center"/>
              <w:rPr>
                <w:rFonts w:cs="Arial"/>
                <w:color w:val="000000"/>
                <w:sz w:val="18"/>
                <w:szCs w:val="18"/>
              </w:rPr>
            </w:pPr>
            <w:r w:rsidRPr="00357AA1">
              <w:rPr>
                <w:rFonts w:cs="Arial"/>
                <w:color w:val="000000"/>
                <w:sz w:val="18"/>
                <w:szCs w:val="18"/>
              </w:rPr>
              <w:t>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F789288" w14:textId="77777777" w:rsidR="00605039" w:rsidRPr="00357AA1" w:rsidRDefault="00605039" w:rsidP="008300AD">
            <w:pPr>
              <w:jc w:val="center"/>
              <w:rPr>
                <w:rFonts w:cs="Arial"/>
                <w:sz w:val="18"/>
                <w:szCs w:val="18"/>
              </w:rPr>
            </w:pPr>
            <w:r w:rsidRPr="00357AA1">
              <w:rPr>
                <w:rFonts w:cs="Arial"/>
                <w:sz w:val="18"/>
                <w:szCs w:val="18"/>
              </w:rPr>
              <w:t>17.0%</w:t>
            </w:r>
          </w:p>
        </w:tc>
        <w:tc>
          <w:tcPr>
            <w:tcW w:w="1276" w:type="dxa"/>
            <w:tcBorders>
              <w:top w:val="nil"/>
              <w:left w:val="nil"/>
              <w:bottom w:val="single" w:sz="4" w:space="0" w:color="auto"/>
              <w:right w:val="nil"/>
            </w:tcBorders>
            <w:shd w:val="clear" w:color="000000" w:fill="FFFFFF"/>
            <w:noWrap/>
            <w:vAlign w:val="center"/>
            <w:hideMark/>
          </w:tcPr>
          <w:p w14:paraId="2F9A4B9E" w14:textId="77777777" w:rsidR="00605039" w:rsidRPr="00357AA1" w:rsidRDefault="00605039" w:rsidP="008300AD">
            <w:pPr>
              <w:jc w:val="center"/>
              <w:rPr>
                <w:rFonts w:cs="Arial"/>
                <w:sz w:val="18"/>
                <w:szCs w:val="18"/>
              </w:rPr>
            </w:pPr>
            <w:r w:rsidRPr="00357AA1">
              <w:rPr>
                <w:rFonts w:cs="Arial"/>
                <w:sz w:val="18"/>
                <w:szCs w:val="18"/>
              </w:rPr>
              <w:t>17.3%</w:t>
            </w:r>
          </w:p>
        </w:tc>
        <w:tc>
          <w:tcPr>
            <w:tcW w:w="1275" w:type="dxa"/>
            <w:tcBorders>
              <w:top w:val="nil"/>
              <w:left w:val="single" w:sz="4" w:space="0" w:color="auto"/>
              <w:bottom w:val="single" w:sz="4" w:space="0" w:color="auto"/>
              <w:right w:val="nil"/>
            </w:tcBorders>
            <w:shd w:val="clear" w:color="000000" w:fill="FFFFFF"/>
            <w:noWrap/>
            <w:vAlign w:val="center"/>
            <w:hideMark/>
          </w:tcPr>
          <w:p w14:paraId="4D53A891" w14:textId="77777777" w:rsidR="00605039" w:rsidRPr="00357AA1" w:rsidRDefault="00605039" w:rsidP="008300AD">
            <w:pPr>
              <w:jc w:val="center"/>
              <w:rPr>
                <w:rFonts w:cs="Arial"/>
                <w:sz w:val="18"/>
                <w:szCs w:val="18"/>
              </w:rPr>
            </w:pPr>
            <w:r w:rsidRPr="00357AA1">
              <w:rPr>
                <w:rFonts w:cs="Arial"/>
                <w:sz w:val="18"/>
                <w:szCs w:val="18"/>
              </w:rPr>
              <w:t>19.7%</w:t>
            </w:r>
          </w:p>
        </w:tc>
        <w:tc>
          <w:tcPr>
            <w:tcW w:w="1418" w:type="dxa"/>
            <w:tcBorders>
              <w:top w:val="nil"/>
              <w:left w:val="single" w:sz="4" w:space="0" w:color="auto"/>
              <w:bottom w:val="single" w:sz="4" w:space="0" w:color="auto"/>
              <w:right w:val="nil"/>
            </w:tcBorders>
            <w:shd w:val="clear" w:color="000000" w:fill="FFFFFF"/>
            <w:noWrap/>
            <w:vAlign w:val="center"/>
            <w:hideMark/>
          </w:tcPr>
          <w:p w14:paraId="1D76970C" w14:textId="77777777" w:rsidR="00605039" w:rsidRPr="00357AA1" w:rsidRDefault="00605039" w:rsidP="008300AD">
            <w:pPr>
              <w:jc w:val="center"/>
              <w:rPr>
                <w:rFonts w:cs="Arial"/>
                <w:sz w:val="18"/>
                <w:szCs w:val="18"/>
              </w:rPr>
            </w:pPr>
            <w:r w:rsidRPr="00357AA1">
              <w:rPr>
                <w:rFonts w:cs="Arial"/>
                <w:sz w:val="18"/>
                <w:szCs w:val="18"/>
              </w:rPr>
              <w:t>19.5%</w:t>
            </w:r>
          </w:p>
        </w:tc>
        <w:tc>
          <w:tcPr>
            <w:tcW w:w="1134" w:type="dxa"/>
            <w:tcBorders>
              <w:top w:val="nil"/>
              <w:left w:val="single" w:sz="4" w:space="0" w:color="auto"/>
              <w:bottom w:val="single" w:sz="4" w:space="0" w:color="auto"/>
              <w:right w:val="single" w:sz="4" w:space="0" w:color="auto"/>
            </w:tcBorders>
            <w:shd w:val="clear" w:color="000000" w:fill="D8E4BC"/>
            <w:noWrap/>
            <w:vAlign w:val="center"/>
            <w:hideMark/>
          </w:tcPr>
          <w:p w14:paraId="698D6F10" w14:textId="77777777" w:rsidR="00605039" w:rsidRPr="00357AA1" w:rsidRDefault="00605039" w:rsidP="008300AD">
            <w:pPr>
              <w:jc w:val="center"/>
              <w:rPr>
                <w:rFonts w:cs="Arial"/>
                <w:sz w:val="18"/>
                <w:szCs w:val="18"/>
              </w:rPr>
            </w:pPr>
            <w:r w:rsidRPr="00357AA1">
              <w:rPr>
                <w:rFonts w:cs="Arial"/>
                <w:sz w:val="18"/>
                <w:szCs w:val="18"/>
              </w:rPr>
              <w:t>19.6 %</w:t>
            </w:r>
          </w:p>
        </w:tc>
      </w:tr>
      <w:tr w:rsidR="00954A84" w:rsidRPr="008B08E3" w14:paraId="35C5C89A" w14:textId="77777777" w:rsidTr="008300AD">
        <w:trPr>
          <w:trHeight w:val="79"/>
        </w:trPr>
        <w:tc>
          <w:tcPr>
            <w:tcW w:w="9913" w:type="dxa"/>
            <w:gridSpan w:val="7"/>
            <w:tcBorders>
              <w:top w:val="nil"/>
              <w:left w:val="single" w:sz="8" w:space="0" w:color="auto"/>
              <w:bottom w:val="single" w:sz="4" w:space="0" w:color="auto"/>
              <w:right w:val="single" w:sz="4" w:space="0" w:color="auto"/>
            </w:tcBorders>
            <w:shd w:val="clear" w:color="auto" w:fill="D9D9D9" w:themeFill="background1" w:themeFillShade="D9"/>
            <w:vAlign w:val="center"/>
          </w:tcPr>
          <w:p w14:paraId="53CE8B60" w14:textId="77777777" w:rsidR="00954A84" w:rsidRPr="00954A84" w:rsidRDefault="00954A84" w:rsidP="008300AD">
            <w:pPr>
              <w:jc w:val="center"/>
              <w:rPr>
                <w:rFonts w:cs="Arial"/>
                <w:b/>
                <w:sz w:val="18"/>
                <w:szCs w:val="18"/>
              </w:rPr>
            </w:pPr>
            <w:r w:rsidRPr="00954A84">
              <w:rPr>
                <w:rFonts w:cs="Arial"/>
                <w:b/>
                <w:sz w:val="18"/>
                <w:szCs w:val="18"/>
              </w:rPr>
              <w:t>Children Looked After</w:t>
            </w:r>
          </w:p>
        </w:tc>
      </w:tr>
      <w:tr w:rsidR="00605039" w:rsidRPr="008B08E3" w14:paraId="283DA264" w14:textId="77777777" w:rsidTr="008300AD">
        <w:trPr>
          <w:trHeight w:val="149"/>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7FAD96E8" w14:textId="77777777" w:rsidR="00605039" w:rsidRPr="00357AA1" w:rsidRDefault="00605039" w:rsidP="008300AD">
            <w:pPr>
              <w:rPr>
                <w:rFonts w:cs="Arial"/>
                <w:color w:val="000000"/>
                <w:sz w:val="18"/>
                <w:szCs w:val="18"/>
              </w:rPr>
            </w:pPr>
            <w:r w:rsidRPr="00357AA1">
              <w:rPr>
                <w:rFonts w:cs="Arial"/>
                <w:color w:val="000000"/>
                <w:sz w:val="18"/>
                <w:szCs w:val="18"/>
              </w:rPr>
              <w:t>Rate of CLA number/per 10,000</w:t>
            </w:r>
          </w:p>
        </w:tc>
        <w:tc>
          <w:tcPr>
            <w:tcW w:w="851" w:type="dxa"/>
            <w:tcBorders>
              <w:top w:val="nil"/>
              <w:left w:val="nil"/>
              <w:bottom w:val="single" w:sz="4" w:space="0" w:color="auto"/>
              <w:right w:val="single" w:sz="4" w:space="0" w:color="auto"/>
            </w:tcBorders>
            <w:vAlign w:val="center"/>
          </w:tcPr>
          <w:p w14:paraId="41832FC0" w14:textId="77777777" w:rsidR="00605039" w:rsidRPr="00357AA1" w:rsidRDefault="00605039" w:rsidP="008300AD">
            <w:pPr>
              <w:jc w:val="center"/>
              <w:rPr>
                <w:rFonts w:cs="Arial"/>
                <w:color w:val="000000"/>
                <w:sz w:val="18"/>
                <w:szCs w:val="18"/>
              </w:rPr>
            </w:pPr>
            <w:r w:rsidRPr="00357AA1">
              <w:rPr>
                <w:rFonts w:cs="Arial"/>
                <w:color w:val="000000"/>
                <w:sz w:val="18"/>
                <w:szCs w:val="18"/>
              </w:rPr>
              <w:t>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0CBC120" w14:textId="77777777" w:rsidR="00605039" w:rsidRPr="00357AA1" w:rsidRDefault="00605039" w:rsidP="008300AD">
            <w:pPr>
              <w:jc w:val="center"/>
              <w:rPr>
                <w:rFonts w:cs="Arial"/>
                <w:sz w:val="18"/>
                <w:szCs w:val="18"/>
              </w:rPr>
            </w:pPr>
            <w:r w:rsidRPr="00357AA1">
              <w:rPr>
                <w:rFonts w:cs="Arial"/>
                <w:sz w:val="18"/>
                <w:szCs w:val="18"/>
              </w:rPr>
              <w:t>73.3</w:t>
            </w:r>
          </w:p>
        </w:tc>
        <w:tc>
          <w:tcPr>
            <w:tcW w:w="1276" w:type="dxa"/>
            <w:tcBorders>
              <w:top w:val="nil"/>
              <w:left w:val="nil"/>
              <w:bottom w:val="single" w:sz="4" w:space="0" w:color="auto"/>
              <w:right w:val="nil"/>
            </w:tcBorders>
            <w:shd w:val="clear" w:color="000000" w:fill="FFFFFF"/>
            <w:noWrap/>
            <w:vAlign w:val="center"/>
            <w:hideMark/>
          </w:tcPr>
          <w:p w14:paraId="03BCC371" w14:textId="77777777" w:rsidR="00605039" w:rsidRPr="00357AA1" w:rsidRDefault="00605039" w:rsidP="008300AD">
            <w:pPr>
              <w:jc w:val="center"/>
              <w:rPr>
                <w:rFonts w:cs="Arial"/>
                <w:sz w:val="18"/>
                <w:szCs w:val="18"/>
              </w:rPr>
            </w:pPr>
            <w:r w:rsidRPr="00357AA1">
              <w:rPr>
                <w:rFonts w:cs="Arial"/>
                <w:sz w:val="18"/>
                <w:szCs w:val="18"/>
              </w:rPr>
              <w:t>1,875/76.4</w:t>
            </w:r>
          </w:p>
        </w:tc>
        <w:tc>
          <w:tcPr>
            <w:tcW w:w="1275" w:type="dxa"/>
            <w:tcBorders>
              <w:top w:val="nil"/>
              <w:left w:val="single" w:sz="4" w:space="0" w:color="auto"/>
              <w:bottom w:val="single" w:sz="4" w:space="0" w:color="auto"/>
              <w:right w:val="nil"/>
            </w:tcBorders>
            <w:shd w:val="clear" w:color="000000" w:fill="FFFFFF"/>
            <w:noWrap/>
            <w:vAlign w:val="center"/>
            <w:hideMark/>
          </w:tcPr>
          <w:p w14:paraId="7BA27F38" w14:textId="77777777" w:rsidR="00605039" w:rsidRPr="00357AA1" w:rsidRDefault="00605039" w:rsidP="008300AD">
            <w:pPr>
              <w:jc w:val="center"/>
              <w:rPr>
                <w:rFonts w:cs="Arial"/>
                <w:sz w:val="18"/>
                <w:szCs w:val="18"/>
              </w:rPr>
            </w:pPr>
            <w:r w:rsidRPr="00357AA1">
              <w:rPr>
                <w:rFonts w:cs="Arial"/>
                <w:sz w:val="18"/>
                <w:szCs w:val="18"/>
              </w:rPr>
              <w:t>1,921/77.8</w:t>
            </w:r>
          </w:p>
        </w:tc>
        <w:tc>
          <w:tcPr>
            <w:tcW w:w="1418" w:type="dxa"/>
            <w:tcBorders>
              <w:top w:val="nil"/>
              <w:left w:val="single" w:sz="4" w:space="0" w:color="auto"/>
              <w:bottom w:val="single" w:sz="4" w:space="0" w:color="auto"/>
              <w:right w:val="nil"/>
            </w:tcBorders>
            <w:shd w:val="clear" w:color="000000" w:fill="FFFFFF"/>
            <w:noWrap/>
            <w:vAlign w:val="center"/>
            <w:hideMark/>
          </w:tcPr>
          <w:p w14:paraId="23F777E3" w14:textId="77777777" w:rsidR="00605039" w:rsidRPr="00357AA1" w:rsidRDefault="00605039" w:rsidP="008300AD">
            <w:pPr>
              <w:jc w:val="center"/>
              <w:rPr>
                <w:rFonts w:cs="Arial"/>
                <w:sz w:val="18"/>
                <w:szCs w:val="18"/>
              </w:rPr>
            </w:pPr>
            <w:r w:rsidRPr="00357AA1">
              <w:rPr>
                <w:rFonts w:cs="Arial"/>
                <w:sz w:val="18"/>
                <w:szCs w:val="18"/>
              </w:rPr>
              <w:t>1,950/79.0</w:t>
            </w:r>
          </w:p>
        </w:tc>
        <w:tc>
          <w:tcPr>
            <w:tcW w:w="1134" w:type="dxa"/>
            <w:tcBorders>
              <w:top w:val="nil"/>
              <w:left w:val="single" w:sz="4" w:space="0" w:color="auto"/>
              <w:bottom w:val="single" w:sz="4" w:space="0" w:color="auto"/>
              <w:right w:val="single" w:sz="4" w:space="0" w:color="auto"/>
            </w:tcBorders>
            <w:shd w:val="clear" w:color="000000" w:fill="E6B8B7"/>
            <w:noWrap/>
            <w:vAlign w:val="center"/>
            <w:hideMark/>
          </w:tcPr>
          <w:p w14:paraId="67BF12B5" w14:textId="77777777" w:rsidR="00605039" w:rsidRPr="00357AA1" w:rsidRDefault="00605039" w:rsidP="008300AD">
            <w:pPr>
              <w:jc w:val="center"/>
              <w:rPr>
                <w:rFonts w:cs="Arial"/>
                <w:sz w:val="18"/>
                <w:szCs w:val="18"/>
              </w:rPr>
            </w:pPr>
            <w:r w:rsidRPr="00357AA1">
              <w:rPr>
                <w:rFonts w:cs="Arial"/>
                <w:sz w:val="18"/>
                <w:szCs w:val="18"/>
              </w:rPr>
              <w:t>78.2</w:t>
            </w:r>
          </w:p>
        </w:tc>
      </w:tr>
      <w:tr w:rsidR="00605039" w:rsidRPr="008B08E3" w14:paraId="68BFB5EC" w14:textId="77777777" w:rsidTr="008300AD">
        <w:trPr>
          <w:trHeight w:val="81"/>
        </w:trPr>
        <w:tc>
          <w:tcPr>
            <w:tcW w:w="2825" w:type="dxa"/>
            <w:tcBorders>
              <w:top w:val="nil"/>
              <w:left w:val="single" w:sz="8" w:space="0" w:color="auto"/>
              <w:bottom w:val="single" w:sz="4" w:space="0" w:color="auto"/>
              <w:right w:val="single" w:sz="4" w:space="0" w:color="auto"/>
            </w:tcBorders>
            <w:shd w:val="clear" w:color="auto" w:fill="auto"/>
            <w:vAlign w:val="center"/>
            <w:hideMark/>
          </w:tcPr>
          <w:p w14:paraId="5F8B9ABC" w14:textId="77777777" w:rsidR="00605039" w:rsidRPr="00357AA1" w:rsidRDefault="00954A84" w:rsidP="008300AD">
            <w:pPr>
              <w:rPr>
                <w:rFonts w:cs="Arial"/>
                <w:color w:val="000000"/>
                <w:sz w:val="18"/>
                <w:szCs w:val="18"/>
              </w:rPr>
            </w:pPr>
            <w:r>
              <w:rPr>
                <w:rFonts w:cs="Arial"/>
                <w:color w:val="000000"/>
                <w:sz w:val="18"/>
                <w:szCs w:val="18"/>
              </w:rPr>
              <w:t>Percentage of CLA</w:t>
            </w:r>
            <w:r w:rsidR="00605039" w:rsidRPr="00357AA1">
              <w:rPr>
                <w:rFonts w:cs="Arial"/>
                <w:color w:val="000000"/>
                <w:sz w:val="18"/>
                <w:szCs w:val="18"/>
              </w:rPr>
              <w:t xml:space="preserve"> in 3 or more placement over last 12 months</w:t>
            </w:r>
          </w:p>
        </w:tc>
        <w:tc>
          <w:tcPr>
            <w:tcW w:w="851" w:type="dxa"/>
            <w:tcBorders>
              <w:top w:val="nil"/>
              <w:left w:val="nil"/>
              <w:bottom w:val="single" w:sz="4" w:space="0" w:color="auto"/>
              <w:right w:val="single" w:sz="4" w:space="0" w:color="auto"/>
            </w:tcBorders>
            <w:vAlign w:val="center"/>
          </w:tcPr>
          <w:p w14:paraId="09BC1849" w14:textId="77777777" w:rsidR="00605039" w:rsidRPr="00357AA1" w:rsidRDefault="00605039" w:rsidP="008300AD">
            <w:pPr>
              <w:jc w:val="center"/>
              <w:rPr>
                <w:rFonts w:cs="Arial"/>
                <w:sz w:val="18"/>
                <w:szCs w:val="18"/>
              </w:rPr>
            </w:pPr>
            <w:r w:rsidRPr="00357AA1">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hideMark/>
          </w:tcPr>
          <w:p w14:paraId="0FFC50E9" w14:textId="77777777" w:rsidR="00605039" w:rsidRPr="00357AA1" w:rsidRDefault="00605039" w:rsidP="008300AD">
            <w:pPr>
              <w:jc w:val="center"/>
              <w:rPr>
                <w:rFonts w:cs="Arial"/>
                <w:sz w:val="18"/>
                <w:szCs w:val="18"/>
              </w:rPr>
            </w:pPr>
            <w:r w:rsidRPr="00357AA1">
              <w:rPr>
                <w:rFonts w:cs="Arial"/>
                <w:sz w:val="18"/>
                <w:szCs w:val="18"/>
              </w:rPr>
              <w:t>7.9%</w:t>
            </w:r>
          </w:p>
        </w:tc>
        <w:tc>
          <w:tcPr>
            <w:tcW w:w="1276" w:type="dxa"/>
            <w:tcBorders>
              <w:top w:val="nil"/>
              <w:left w:val="single" w:sz="4" w:space="0" w:color="auto"/>
              <w:bottom w:val="single" w:sz="4" w:space="0" w:color="auto"/>
              <w:right w:val="nil"/>
            </w:tcBorders>
            <w:shd w:val="clear" w:color="000000" w:fill="FFFFFF"/>
            <w:noWrap/>
            <w:vAlign w:val="center"/>
            <w:hideMark/>
          </w:tcPr>
          <w:p w14:paraId="5DB8AA73" w14:textId="77777777" w:rsidR="00605039" w:rsidRPr="00357AA1" w:rsidRDefault="00605039" w:rsidP="008300AD">
            <w:pPr>
              <w:jc w:val="center"/>
              <w:rPr>
                <w:rFonts w:cs="Arial"/>
                <w:sz w:val="18"/>
                <w:szCs w:val="18"/>
              </w:rPr>
            </w:pPr>
            <w:r w:rsidRPr="00357AA1">
              <w:rPr>
                <w:rFonts w:cs="Arial"/>
                <w:sz w:val="18"/>
                <w:szCs w:val="18"/>
              </w:rPr>
              <w:t>7.1%</w:t>
            </w:r>
          </w:p>
        </w:tc>
        <w:tc>
          <w:tcPr>
            <w:tcW w:w="1275" w:type="dxa"/>
            <w:tcBorders>
              <w:top w:val="nil"/>
              <w:left w:val="single" w:sz="4" w:space="0" w:color="auto"/>
              <w:bottom w:val="single" w:sz="4" w:space="0" w:color="auto"/>
              <w:right w:val="nil"/>
            </w:tcBorders>
            <w:shd w:val="clear" w:color="000000" w:fill="FFFFFF"/>
            <w:noWrap/>
            <w:vAlign w:val="center"/>
            <w:hideMark/>
          </w:tcPr>
          <w:p w14:paraId="106FD346" w14:textId="77777777" w:rsidR="00605039" w:rsidRPr="00357AA1" w:rsidRDefault="00605039" w:rsidP="008300AD">
            <w:pPr>
              <w:jc w:val="center"/>
              <w:rPr>
                <w:rFonts w:cs="Arial"/>
                <w:sz w:val="18"/>
                <w:szCs w:val="18"/>
              </w:rPr>
            </w:pPr>
            <w:r w:rsidRPr="00357AA1">
              <w:rPr>
                <w:rFonts w:cs="Arial"/>
                <w:sz w:val="18"/>
                <w:szCs w:val="18"/>
              </w:rPr>
              <w:t>8.4%</w:t>
            </w:r>
          </w:p>
        </w:tc>
        <w:tc>
          <w:tcPr>
            <w:tcW w:w="1418" w:type="dxa"/>
            <w:tcBorders>
              <w:top w:val="nil"/>
              <w:left w:val="single" w:sz="4" w:space="0" w:color="auto"/>
              <w:bottom w:val="single" w:sz="4" w:space="0" w:color="auto"/>
              <w:right w:val="nil"/>
            </w:tcBorders>
            <w:shd w:val="clear" w:color="000000" w:fill="FFFFFF"/>
            <w:noWrap/>
            <w:vAlign w:val="center"/>
            <w:hideMark/>
          </w:tcPr>
          <w:p w14:paraId="2D08E193" w14:textId="77777777" w:rsidR="00605039" w:rsidRPr="00357AA1" w:rsidRDefault="00605039" w:rsidP="008300AD">
            <w:pPr>
              <w:jc w:val="center"/>
              <w:rPr>
                <w:rFonts w:cs="Arial"/>
                <w:sz w:val="18"/>
                <w:szCs w:val="18"/>
              </w:rPr>
            </w:pPr>
            <w:r w:rsidRPr="00357AA1">
              <w:rPr>
                <w:rFonts w:cs="Arial"/>
                <w:sz w:val="18"/>
                <w:szCs w:val="18"/>
              </w:rPr>
              <w:t>9.2%</w:t>
            </w:r>
          </w:p>
        </w:tc>
        <w:tc>
          <w:tcPr>
            <w:tcW w:w="1134" w:type="dxa"/>
            <w:tcBorders>
              <w:top w:val="nil"/>
              <w:left w:val="single" w:sz="4" w:space="0" w:color="auto"/>
              <w:bottom w:val="single" w:sz="4" w:space="0" w:color="auto"/>
              <w:right w:val="single" w:sz="4" w:space="0" w:color="auto"/>
            </w:tcBorders>
            <w:shd w:val="clear" w:color="000000" w:fill="D8E4BC"/>
            <w:noWrap/>
            <w:vAlign w:val="center"/>
            <w:hideMark/>
          </w:tcPr>
          <w:p w14:paraId="48C28045" w14:textId="77777777" w:rsidR="00605039" w:rsidRPr="00357AA1" w:rsidRDefault="00605039" w:rsidP="008300AD">
            <w:pPr>
              <w:jc w:val="center"/>
              <w:rPr>
                <w:rFonts w:cs="Arial"/>
                <w:sz w:val="18"/>
                <w:szCs w:val="18"/>
              </w:rPr>
            </w:pPr>
            <w:r w:rsidRPr="00357AA1">
              <w:rPr>
                <w:rFonts w:cs="Arial"/>
                <w:sz w:val="18"/>
                <w:szCs w:val="18"/>
              </w:rPr>
              <w:t>8.3 %</w:t>
            </w:r>
          </w:p>
        </w:tc>
      </w:tr>
      <w:tr w:rsidR="00954A84" w:rsidRPr="008B08E3" w14:paraId="7B7771B4" w14:textId="77777777" w:rsidTr="008300AD">
        <w:trPr>
          <w:trHeight w:val="81"/>
        </w:trPr>
        <w:tc>
          <w:tcPr>
            <w:tcW w:w="9913" w:type="dxa"/>
            <w:gridSpan w:val="7"/>
            <w:tcBorders>
              <w:top w:val="nil"/>
              <w:left w:val="single" w:sz="8" w:space="0" w:color="auto"/>
              <w:bottom w:val="single" w:sz="4" w:space="0" w:color="auto"/>
              <w:right w:val="single" w:sz="4" w:space="0" w:color="auto"/>
            </w:tcBorders>
            <w:shd w:val="clear" w:color="auto" w:fill="D9D9D9" w:themeFill="background1" w:themeFillShade="D9"/>
            <w:vAlign w:val="center"/>
          </w:tcPr>
          <w:p w14:paraId="1DB31D4A" w14:textId="77777777" w:rsidR="00954A84" w:rsidRPr="00954A84" w:rsidRDefault="00954A84" w:rsidP="008300AD">
            <w:pPr>
              <w:jc w:val="center"/>
              <w:rPr>
                <w:rFonts w:cs="Arial"/>
                <w:b/>
                <w:sz w:val="18"/>
                <w:szCs w:val="18"/>
              </w:rPr>
            </w:pPr>
            <w:r w:rsidRPr="00954A84">
              <w:rPr>
                <w:rFonts w:cs="Arial"/>
                <w:b/>
                <w:sz w:val="18"/>
                <w:szCs w:val="18"/>
              </w:rPr>
              <w:t>Workforce</w:t>
            </w:r>
          </w:p>
        </w:tc>
      </w:tr>
      <w:tr w:rsidR="00605039" w:rsidRPr="008B08E3" w14:paraId="67741D8F" w14:textId="77777777" w:rsidTr="008300AD">
        <w:trPr>
          <w:trHeight w:val="81"/>
        </w:trPr>
        <w:tc>
          <w:tcPr>
            <w:tcW w:w="2825" w:type="dxa"/>
            <w:tcBorders>
              <w:top w:val="nil"/>
              <w:left w:val="single" w:sz="8" w:space="0" w:color="auto"/>
              <w:bottom w:val="single" w:sz="4" w:space="0" w:color="auto"/>
              <w:right w:val="single" w:sz="4" w:space="0" w:color="auto"/>
            </w:tcBorders>
            <w:shd w:val="clear" w:color="auto" w:fill="auto"/>
            <w:vAlign w:val="center"/>
          </w:tcPr>
          <w:p w14:paraId="3051EDB8" w14:textId="77777777" w:rsidR="00605039" w:rsidRPr="00357AA1" w:rsidRDefault="00954A84" w:rsidP="008300AD">
            <w:pPr>
              <w:rPr>
                <w:rFonts w:cs="Arial"/>
                <w:color w:val="000000"/>
                <w:sz w:val="18"/>
                <w:szCs w:val="18"/>
              </w:rPr>
            </w:pPr>
            <w:r>
              <w:rPr>
                <w:rFonts w:cs="Arial"/>
                <w:color w:val="000000"/>
                <w:sz w:val="18"/>
                <w:szCs w:val="18"/>
              </w:rPr>
              <w:t>Percentage of staff on Assessed and Supported Year in Employment (ASYE)</w:t>
            </w:r>
          </w:p>
        </w:tc>
        <w:tc>
          <w:tcPr>
            <w:tcW w:w="851" w:type="dxa"/>
            <w:tcBorders>
              <w:top w:val="nil"/>
              <w:left w:val="nil"/>
              <w:bottom w:val="single" w:sz="4" w:space="0" w:color="auto"/>
              <w:right w:val="single" w:sz="4" w:space="0" w:color="auto"/>
            </w:tcBorders>
            <w:vAlign w:val="center"/>
          </w:tcPr>
          <w:p w14:paraId="521971E7" w14:textId="77777777" w:rsidR="00605039" w:rsidRPr="00357AA1" w:rsidRDefault="00605039" w:rsidP="008300AD">
            <w:pPr>
              <w:jc w:val="center"/>
              <w:rPr>
                <w:rFonts w:cs="Arial"/>
                <w:sz w:val="18"/>
                <w:szCs w:val="18"/>
              </w:rPr>
            </w:pPr>
            <w:r w:rsidRPr="00357AA1">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tcPr>
          <w:p w14:paraId="35337E64" w14:textId="77777777" w:rsidR="00605039" w:rsidRPr="00357AA1" w:rsidRDefault="00605039" w:rsidP="008300AD">
            <w:pPr>
              <w:jc w:val="center"/>
              <w:rPr>
                <w:rFonts w:cs="Arial"/>
                <w:sz w:val="18"/>
                <w:szCs w:val="18"/>
              </w:rPr>
            </w:pPr>
            <w:r w:rsidRPr="00357AA1">
              <w:rPr>
                <w:rFonts w:cs="Arial"/>
                <w:sz w:val="18"/>
                <w:szCs w:val="18"/>
              </w:rPr>
              <w:t>45.7%</w:t>
            </w:r>
          </w:p>
        </w:tc>
        <w:tc>
          <w:tcPr>
            <w:tcW w:w="1276" w:type="dxa"/>
            <w:tcBorders>
              <w:top w:val="nil"/>
              <w:left w:val="single" w:sz="4" w:space="0" w:color="auto"/>
              <w:bottom w:val="single" w:sz="4" w:space="0" w:color="auto"/>
              <w:right w:val="nil"/>
            </w:tcBorders>
            <w:shd w:val="clear" w:color="000000" w:fill="FFFFFF"/>
            <w:noWrap/>
            <w:vAlign w:val="center"/>
          </w:tcPr>
          <w:p w14:paraId="13848325" w14:textId="77777777" w:rsidR="00605039" w:rsidRPr="00357AA1" w:rsidRDefault="00605039" w:rsidP="008300AD">
            <w:pPr>
              <w:jc w:val="center"/>
              <w:rPr>
                <w:rFonts w:cs="Arial"/>
                <w:sz w:val="18"/>
                <w:szCs w:val="18"/>
              </w:rPr>
            </w:pPr>
            <w:r w:rsidRPr="00357AA1">
              <w:rPr>
                <w:rFonts w:cs="Arial"/>
                <w:sz w:val="18"/>
                <w:szCs w:val="18"/>
              </w:rPr>
              <w:t>39.2%</w:t>
            </w:r>
          </w:p>
        </w:tc>
        <w:tc>
          <w:tcPr>
            <w:tcW w:w="1275" w:type="dxa"/>
            <w:tcBorders>
              <w:top w:val="nil"/>
              <w:left w:val="single" w:sz="4" w:space="0" w:color="auto"/>
              <w:bottom w:val="single" w:sz="4" w:space="0" w:color="auto"/>
              <w:right w:val="nil"/>
            </w:tcBorders>
            <w:shd w:val="clear" w:color="000000" w:fill="FFFFFF"/>
            <w:noWrap/>
            <w:vAlign w:val="center"/>
          </w:tcPr>
          <w:p w14:paraId="5DA7DA7C" w14:textId="77777777" w:rsidR="00605039" w:rsidRPr="00357AA1" w:rsidRDefault="00605039" w:rsidP="008300AD">
            <w:pPr>
              <w:jc w:val="center"/>
              <w:rPr>
                <w:rFonts w:cs="Arial"/>
                <w:sz w:val="18"/>
                <w:szCs w:val="18"/>
              </w:rPr>
            </w:pPr>
            <w:r w:rsidRPr="00357AA1">
              <w:rPr>
                <w:rFonts w:cs="Arial"/>
                <w:sz w:val="18"/>
                <w:szCs w:val="18"/>
              </w:rPr>
              <w:t>43.4%</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B75C228" w14:textId="77777777" w:rsidR="00605039" w:rsidRPr="00357AA1" w:rsidRDefault="00605039" w:rsidP="008300AD">
            <w:pPr>
              <w:jc w:val="center"/>
              <w:rPr>
                <w:rFonts w:cs="Arial"/>
                <w:sz w:val="18"/>
                <w:szCs w:val="18"/>
              </w:rPr>
            </w:pPr>
            <w:r w:rsidRPr="00357AA1">
              <w:rPr>
                <w:rFonts w:cs="Arial"/>
                <w:sz w:val="18"/>
                <w:szCs w:val="18"/>
              </w:rPr>
              <w:t>29.2%</w:t>
            </w:r>
          </w:p>
        </w:tc>
        <w:tc>
          <w:tcPr>
            <w:tcW w:w="1134" w:type="dxa"/>
            <w:tcBorders>
              <w:top w:val="nil"/>
              <w:left w:val="single" w:sz="4" w:space="0" w:color="auto"/>
              <w:bottom w:val="single" w:sz="4" w:space="0" w:color="auto"/>
              <w:right w:val="single" w:sz="4" w:space="0" w:color="auto"/>
            </w:tcBorders>
            <w:shd w:val="clear" w:color="auto" w:fill="E6B8B7"/>
            <w:noWrap/>
            <w:vAlign w:val="center"/>
          </w:tcPr>
          <w:p w14:paraId="3FA63CB7" w14:textId="77777777" w:rsidR="00605039" w:rsidRPr="00357AA1" w:rsidRDefault="00605039" w:rsidP="008300AD">
            <w:pPr>
              <w:jc w:val="center"/>
              <w:rPr>
                <w:rFonts w:cs="Arial"/>
                <w:color w:val="000000"/>
                <w:sz w:val="18"/>
                <w:szCs w:val="18"/>
              </w:rPr>
            </w:pPr>
            <w:r w:rsidRPr="00357AA1">
              <w:rPr>
                <w:rFonts w:cs="Arial"/>
                <w:color w:val="000000"/>
                <w:sz w:val="18"/>
                <w:szCs w:val="18"/>
              </w:rPr>
              <w:t>41.6%</w:t>
            </w:r>
          </w:p>
        </w:tc>
      </w:tr>
      <w:tr w:rsidR="00605039" w:rsidRPr="008B08E3" w14:paraId="48D66E14" w14:textId="77777777" w:rsidTr="008300AD">
        <w:trPr>
          <w:trHeight w:val="81"/>
        </w:trPr>
        <w:tc>
          <w:tcPr>
            <w:tcW w:w="2825" w:type="dxa"/>
            <w:tcBorders>
              <w:top w:val="nil"/>
              <w:left w:val="single" w:sz="8" w:space="0" w:color="auto"/>
              <w:bottom w:val="single" w:sz="4" w:space="0" w:color="auto"/>
              <w:right w:val="single" w:sz="4" w:space="0" w:color="auto"/>
            </w:tcBorders>
            <w:shd w:val="clear" w:color="auto" w:fill="auto"/>
            <w:vAlign w:val="center"/>
          </w:tcPr>
          <w:p w14:paraId="6C9ED20F" w14:textId="77777777" w:rsidR="00605039" w:rsidRPr="00357AA1" w:rsidRDefault="00954A84" w:rsidP="008300AD">
            <w:pPr>
              <w:rPr>
                <w:rFonts w:cs="Arial"/>
                <w:color w:val="000000"/>
                <w:sz w:val="18"/>
                <w:szCs w:val="18"/>
              </w:rPr>
            </w:pPr>
            <w:r>
              <w:rPr>
                <w:rFonts w:eastAsiaTheme="minorHAnsi" w:cs="Arial"/>
                <w:sz w:val="18"/>
                <w:szCs w:val="18"/>
                <w:lang w:eastAsia="en-US"/>
              </w:rPr>
              <w:t>Percentage of staff who are e</w:t>
            </w:r>
            <w:r w:rsidR="00605039" w:rsidRPr="00357AA1">
              <w:rPr>
                <w:rFonts w:eastAsiaTheme="minorHAnsi" w:cs="Arial"/>
                <w:sz w:val="18"/>
                <w:szCs w:val="18"/>
                <w:lang w:eastAsia="en-US"/>
              </w:rPr>
              <w:t xml:space="preserve">xperienced </w:t>
            </w:r>
            <w:r>
              <w:rPr>
                <w:rFonts w:eastAsiaTheme="minorHAnsi" w:cs="Arial"/>
                <w:sz w:val="18"/>
                <w:szCs w:val="18"/>
                <w:lang w:eastAsia="en-US"/>
              </w:rPr>
              <w:t>social workers</w:t>
            </w:r>
            <w:r w:rsidR="00605039" w:rsidRPr="00357AA1">
              <w:rPr>
                <w:rFonts w:eastAsiaTheme="minorHAnsi" w:cs="Arial"/>
                <w:sz w:val="18"/>
                <w:szCs w:val="18"/>
                <w:lang w:eastAsia="en-US"/>
              </w:rPr>
              <w:t xml:space="preserve"> (3+ years)</w:t>
            </w:r>
          </w:p>
        </w:tc>
        <w:tc>
          <w:tcPr>
            <w:tcW w:w="851" w:type="dxa"/>
            <w:tcBorders>
              <w:top w:val="nil"/>
              <w:left w:val="nil"/>
              <w:bottom w:val="single" w:sz="4" w:space="0" w:color="auto"/>
              <w:right w:val="single" w:sz="4" w:space="0" w:color="auto"/>
            </w:tcBorders>
            <w:vAlign w:val="center"/>
          </w:tcPr>
          <w:p w14:paraId="23ED84DC" w14:textId="77777777" w:rsidR="00605039" w:rsidRPr="00357AA1" w:rsidRDefault="00605039" w:rsidP="008300AD">
            <w:pPr>
              <w:jc w:val="center"/>
              <w:rPr>
                <w:rFonts w:cs="Arial"/>
                <w:sz w:val="18"/>
                <w:szCs w:val="18"/>
              </w:rPr>
            </w:pPr>
            <w:r w:rsidRPr="00357AA1">
              <w:rPr>
                <w:rFonts w:cs="Arial"/>
                <w:sz w:val="18"/>
                <w:szCs w:val="18"/>
              </w:rPr>
              <w:t>H</w:t>
            </w:r>
          </w:p>
        </w:tc>
        <w:tc>
          <w:tcPr>
            <w:tcW w:w="1134" w:type="dxa"/>
            <w:tcBorders>
              <w:top w:val="nil"/>
              <w:left w:val="single" w:sz="4" w:space="0" w:color="auto"/>
              <w:bottom w:val="single" w:sz="4" w:space="0" w:color="auto"/>
              <w:right w:val="nil"/>
            </w:tcBorders>
            <w:shd w:val="clear" w:color="000000" w:fill="FFFFFF"/>
            <w:noWrap/>
            <w:vAlign w:val="center"/>
          </w:tcPr>
          <w:p w14:paraId="6A0EA5B0" w14:textId="77777777" w:rsidR="00605039" w:rsidRPr="00357AA1" w:rsidRDefault="00605039" w:rsidP="008300AD">
            <w:pPr>
              <w:jc w:val="center"/>
              <w:rPr>
                <w:rFonts w:cs="Arial"/>
                <w:sz w:val="18"/>
                <w:szCs w:val="18"/>
              </w:rPr>
            </w:pPr>
            <w:r w:rsidRPr="00357AA1">
              <w:rPr>
                <w:rFonts w:cs="Arial"/>
                <w:color w:val="000000"/>
                <w:sz w:val="18"/>
                <w:szCs w:val="18"/>
              </w:rPr>
              <w:t>-</w:t>
            </w:r>
          </w:p>
        </w:tc>
        <w:tc>
          <w:tcPr>
            <w:tcW w:w="1276" w:type="dxa"/>
            <w:tcBorders>
              <w:top w:val="nil"/>
              <w:left w:val="single" w:sz="4" w:space="0" w:color="auto"/>
              <w:bottom w:val="single" w:sz="4" w:space="0" w:color="auto"/>
              <w:right w:val="nil"/>
            </w:tcBorders>
            <w:shd w:val="clear" w:color="000000" w:fill="FFFFFF"/>
            <w:noWrap/>
            <w:vAlign w:val="center"/>
          </w:tcPr>
          <w:p w14:paraId="4EF752DD" w14:textId="77777777" w:rsidR="00605039" w:rsidRPr="00357AA1" w:rsidRDefault="00605039" w:rsidP="008300AD">
            <w:pPr>
              <w:jc w:val="center"/>
              <w:rPr>
                <w:rFonts w:cs="Arial"/>
                <w:sz w:val="18"/>
                <w:szCs w:val="18"/>
              </w:rPr>
            </w:pPr>
            <w:r w:rsidRPr="00357AA1">
              <w:rPr>
                <w:rFonts w:cs="Arial"/>
                <w:sz w:val="18"/>
                <w:szCs w:val="18"/>
              </w:rPr>
              <w:t>30.7%</w:t>
            </w:r>
          </w:p>
        </w:tc>
        <w:tc>
          <w:tcPr>
            <w:tcW w:w="1275" w:type="dxa"/>
            <w:tcBorders>
              <w:top w:val="nil"/>
              <w:left w:val="single" w:sz="4" w:space="0" w:color="auto"/>
              <w:bottom w:val="single" w:sz="4" w:space="0" w:color="auto"/>
              <w:right w:val="nil"/>
            </w:tcBorders>
            <w:shd w:val="clear" w:color="000000" w:fill="FFFFFF"/>
            <w:noWrap/>
            <w:vAlign w:val="center"/>
          </w:tcPr>
          <w:p w14:paraId="0132C0C8" w14:textId="77777777" w:rsidR="00605039" w:rsidRPr="00357AA1" w:rsidRDefault="00605039" w:rsidP="008300AD">
            <w:pPr>
              <w:jc w:val="center"/>
              <w:rPr>
                <w:rFonts w:cs="Arial"/>
                <w:sz w:val="18"/>
                <w:szCs w:val="18"/>
              </w:rPr>
            </w:pPr>
            <w:r w:rsidRPr="00357AA1">
              <w:rPr>
                <w:rFonts w:cs="Arial"/>
                <w:sz w:val="18"/>
                <w:szCs w:val="18"/>
              </w:rPr>
              <w:t>22.0%</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31A59A1" w14:textId="77777777" w:rsidR="00605039" w:rsidRPr="00357AA1" w:rsidRDefault="00605039" w:rsidP="008300AD">
            <w:pPr>
              <w:jc w:val="center"/>
              <w:rPr>
                <w:rFonts w:cs="Arial"/>
                <w:sz w:val="18"/>
                <w:szCs w:val="18"/>
              </w:rPr>
            </w:pPr>
            <w:r w:rsidRPr="00357AA1">
              <w:rPr>
                <w:rFonts w:cs="Arial"/>
                <w:sz w:val="18"/>
                <w:szCs w:val="18"/>
              </w:rPr>
              <w:t>18.9%</w:t>
            </w:r>
          </w:p>
        </w:tc>
        <w:tc>
          <w:tcPr>
            <w:tcW w:w="1134" w:type="dxa"/>
            <w:tcBorders>
              <w:top w:val="nil"/>
              <w:left w:val="single" w:sz="4" w:space="0" w:color="auto"/>
              <w:bottom w:val="single" w:sz="4" w:space="0" w:color="auto"/>
              <w:right w:val="single" w:sz="4" w:space="0" w:color="auto"/>
            </w:tcBorders>
            <w:shd w:val="clear" w:color="auto" w:fill="E6B8B7"/>
            <w:noWrap/>
            <w:vAlign w:val="center"/>
          </w:tcPr>
          <w:p w14:paraId="74ED25F7" w14:textId="77777777" w:rsidR="00605039" w:rsidRPr="00357AA1" w:rsidRDefault="00605039" w:rsidP="008300AD">
            <w:pPr>
              <w:jc w:val="center"/>
              <w:rPr>
                <w:rFonts w:cs="Arial"/>
                <w:color w:val="000000"/>
                <w:sz w:val="18"/>
                <w:szCs w:val="18"/>
              </w:rPr>
            </w:pPr>
            <w:r w:rsidRPr="00357AA1">
              <w:rPr>
                <w:rFonts w:cs="Arial"/>
                <w:color w:val="000000"/>
                <w:sz w:val="18"/>
                <w:szCs w:val="18"/>
              </w:rPr>
              <w:t>22.3%</w:t>
            </w:r>
          </w:p>
        </w:tc>
      </w:tr>
      <w:tr w:rsidR="00605039" w:rsidRPr="008B08E3" w14:paraId="77FEAAB1" w14:textId="77777777" w:rsidTr="008300AD">
        <w:trPr>
          <w:trHeight w:val="81"/>
        </w:trPr>
        <w:tc>
          <w:tcPr>
            <w:tcW w:w="2825" w:type="dxa"/>
            <w:tcBorders>
              <w:top w:val="nil"/>
              <w:left w:val="single" w:sz="8" w:space="0" w:color="auto"/>
              <w:bottom w:val="single" w:sz="4" w:space="0" w:color="auto"/>
              <w:right w:val="single" w:sz="4" w:space="0" w:color="auto"/>
            </w:tcBorders>
            <w:shd w:val="clear" w:color="auto" w:fill="auto"/>
            <w:vAlign w:val="center"/>
          </w:tcPr>
          <w:p w14:paraId="6549C25D" w14:textId="77777777" w:rsidR="00605039" w:rsidRPr="00357AA1" w:rsidRDefault="00605039" w:rsidP="008300AD">
            <w:pPr>
              <w:rPr>
                <w:rFonts w:eastAsiaTheme="minorHAnsi" w:cs="Arial"/>
                <w:sz w:val="18"/>
                <w:szCs w:val="18"/>
                <w:lang w:eastAsia="en-US"/>
              </w:rPr>
            </w:pPr>
            <w:r w:rsidRPr="00357AA1">
              <w:rPr>
                <w:rFonts w:eastAsiaTheme="minorHAnsi" w:cs="Arial"/>
                <w:sz w:val="18"/>
                <w:szCs w:val="18"/>
                <w:lang w:eastAsia="en-US"/>
              </w:rPr>
              <w:t xml:space="preserve">Average caseload per </w:t>
            </w:r>
            <w:r w:rsidR="00954A84">
              <w:rPr>
                <w:rFonts w:eastAsiaTheme="minorHAnsi" w:cs="Arial"/>
                <w:sz w:val="18"/>
                <w:szCs w:val="18"/>
                <w:lang w:eastAsia="en-US"/>
              </w:rPr>
              <w:t>social worker</w:t>
            </w:r>
          </w:p>
        </w:tc>
        <w:tc>
          <w:tcPr>
            <w:tcW w:w="851" w:type="dxa"/>
            <w:tcBorders>
              <w:top w:val="nil"/>
              <w:left w:val="nil"/>
              <w:bottom w:val="single" w:sz="4" w:space="0" w:color="auto"/>
              <w:right w:val="single" w:sz="4" w:space="0" w:color="auto"/>
            </w:tcBorders>
            <w:vAlign w:val="center"/>
          </w:tcPr>
          <w:p w14:paraId="59B26677" w14:textId="77777777" w:rsidR="00605039" w:rsidRPr="00357AA1" w:rsidRDefault="00605039" w:rsidP="008300AD">
            <w:pPr>
              <w:jc w:val="center"/>
              <w:rPr>
                <w:rFonts w:cs="Arial"/>
                <w:sz w:val="18"/>
                <w:szCs w:val="18"/>
              </w:rPr>
            </w:pPr>
            <w:r w:rsidRPr="00357AA1">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tcPr>
          <w:p w14:paraId="2C11C6A9" w14:textId="77777777" w:rsidR="00605039" w:rsidRPr="00357AA1" w:rsidRDefault="00605039" w:rsidP="008300AD">
            <w:pPr>
              <w:jc w:val="center"/>
              <w:rPr>
                <w:rFonts w:cs="Arial"/>
                <w:sz w:val="18"/>
                <w:szCs w:val="18"/>
              </w:rPr>
            </w:pPr>
            <w:r w:rsidRPr="00357AA1">
              <w:rPr>
                <w:rFonts w:cs="Arial"/>
                <w:color w:val="000000"/>
                <w:sz w:val="18"/>
                <w:szCs w:val="18"/>
              </w:rPr>
              <w:t>-</w:t>
            </w:r>
          </w:p>
        </w:tc>
        <w:tc>
          <w:tcPr>
            <w:tcW w:w="1276" w:type="dxa"/>
            <w:tcBorders>
              <w:top w:val="nil"/>
              <w:left w:val="single" w:sz="4" w:space="0" w:color="auto"/>
              <w:bottom w:val="single" w:sz="4" w:space="0" w:color="auto"/>
              <w:right w:val="nil"/>
            </w:tcBorders>
            <w:shd w:val="clear" w:color="000000" w:fill="FFFFFF"/>
            <w:noWrap/>
            <w:vAlign w:val="center"/>
          </w:tcPr>
          <w:p w14:paraId="40FF1CA8" w14:textId="77777777" w:rsidR="00605039" w:rsidRPr="00357AA1" w:rsidRDefault="00605039" w:rsidP="008300AD">
            <w:pPr>
              <w:jc w:val="center"/>
              <w:rPr>
                <w:rFonts w:cs="Arial"/>
                <w:sz w:val="18"/>
                <w:szCs w:val="18"/>
              </w:rPr>
            </w:pPr>
            <w:r w:rsidRPr="00357AA1">
              <w:rPr>
                <w:rFonts w:cs="Arial"/>
                <w:sz w:val="18"/>
                <w:szCs w:val="18"/>
              </w:rPr>
              <w:t>20.0</w:t>
            </w:r>
          </w:p>
        </w:tc>
        <w:tc>
          <w:tcPr>
            <w:tcW w:w="1275" w:type="dxa"/>
            <w:tcBorders>
              <w:top w:val="nil"/>
              <w:left w:val="single" w:sz="4" w:space="0" w:color="auto"/>
              <w:bottom w:val="single" w:sz="4" w:space="0" w:color="auto"/>
              <w:right w:val="nil"/>
            </w:tcBorders>
            <w:shd w:val="clear" w:color="000000" w:fill="FFFFFF"/>
            <w:noWrap/>
            <w:vAlign w:val="center"/>
          </w:tcPr>
          <w:p w14:paraId="15FB3C04" w14:textId="77777777" w:rsidR="00605039" w:rsidRPr="00357AA1" w:rsidRDefault="00605039" w:rsidP="008300AD">
            <w:pPr>
              <w:jc w:val="center"/>
              <w:rPr>
                <w:rFonts w:cs="Arial"/>
                <w:sz w:val="18"/>
                <w:szCs w:val="18"/>
              </w:rPr>
            </w:pPr>
            <w:r w:rsidRPr="00357AA1">
              <w:rPr>
                <w:rFonts w:cs="Arial"/>
                <w:sz w:val="18"/>
                <w:szCs w:val="18"/>
              </w:rPr>
              <w:t>19.2</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23A16E7" w14:textId="77777777" w:rsidR="00605039" w:rsidRPr="00357AA1" w:rsidRDefault="00605039" w:rsidP="008300AD">
            <w:pPr>
              <w:jc w:val="center"/>
              <w:rPr>
                <w:rFonts w:cs="Arial"/>
                <w:sz w:val="18"/>
                <w:szCs w:val="18"/>
              </w:rPr>
            </w:pPr>
            <w:r w:rsidRPr="00357AA1">
              <w:rPr>
                <w:rFonts w:cs="Arial"/>
                <w:sz w:val="18"/>
                <w:szCs w:val="18"/>
              </w:rPr>
              <w:t>21.7</w:t>
            </w:r>
          </w:p>
        </w:tc>
        <w:tc>
          <w:tcPr>
            <w:tcW w:w="1134" w:type="dxa"/>
            <w:tcBorders>
              <w:top w:val="nil"/>
              <w:left w:val="single" w:sz="4" w:space="0" w:color="auto"/>
              <w:bottom w:val="single" w:sz="4" w:space="0" w:color="auto"/>
              <w:right w:val="single" w:sz="4" w:space="0" w:color="auto"/>
            </w:tcBorders>
            <w:shd w:val="clear" w:color="auto" w:fill="D8E4BC"/>
            <w:noWrap/>
            <w:vAlign w:val="center"/>
          </w:tcPr>
          <w:p w14:paraId="698D979F" w14:textId="77777777" w:rsidR="00605039" w:rsidRPr="00357AA1" w:rsidRDefault="00605039" w:rsidP="008300AD">
            <w:pPr>
              <w:jc w:val="center"/>
              <w:rPr>
                <w:rFonts w:cs="Arial"/>
                <w:color w:val="000000"/>
                <w:sz w:val="18"/>
                <w:szCs w:val="18"/>
              </w:rPr>
            </w:pPr>
            <w:r w:rsidRPr="00357AA1">
              <w:rPr>
                <w:rFonts w:cs="Arial"/>
                <w:color w:val="000000"/>
                <w:sz w:val="18"/>
                <w:szCs w:val="18"/>
              </w:rPr>
              <w:t>20.8</w:t>
            </w:r>
          </w:p>
        </w:tc>
      </w:tr>
    </w:tbl>
    <w:p w14:paraId="7FE732C5" w14:textId="77777777" w:rsidR="008300AD" w:rsidRDefault="008300AD" w:rsidP="008B08E3">
      <w:pPr>
        <w:rPr>
          <w:rFonts w:eastAsiaTheme="minorHAnsi" w:cs="Arial"/>
          <w:i/>
          <w:szCs w:val="24"/>
          <w:lang w:eastAsia="en-US"/>
        </w:rPr>
      </w:pPr>
    </w:p>
    <w:p w14:paraId="6393B41D" w14:textId="77777777" w:rsidR="008B08E3" w:rsidRPr="001C03E1" w:rsidRDefault="008B08E3" w:rsidP="00E46CCF">
      <w:pPr>
        <w:jc w:val="both"/>
        <w:rPr>
          <w:rFonts w:eastAsiaTheme="minorHAnsi" w:cs="Arial"/>
          <w:i/>
          <w:sz w:val="22"/>
          <w:szCs w:val="22"/>
          <w:lang w:eastAsia="en-US"/>
        </w:rPr>
      </w:pPr>
      <w:r w:rsidRPr="001C03E1">
        <w:rPr>
          <w:rFonts w:eastAsiaTheme="minorHAnsi" w:cs="Arial"/>
          <w:i/>
          <w:sz w:val="22"/>
          <w:szCs w:val="22"/>
          <w:lang w:eastAsia="en-US"/>
        </w:rPr>
        <w:t>Children's Social Care</w:t>
      </w:r>
    </w:p>
    <w:p w14:paraId="3471A2D0" w14:textId="77777777" w:rsidR="008B08E3" w:rsidRPr="001C03E1" w:rsidRDefault="008300AD" w:rsidP="00E46CCF">
      <w:pPr>
        <w:spacing w:after="200"/>
        <w:jc w:val="both"/>
        <w:rPr>
          <w:rFonts w:eastAsiaTheme="minorEastAsia" w:cs="Arial"/>
          <w:color w:val="000000" w:themeColor="text1"/>
          <w:sz w:val="22"/>
          <w:szCs w:val="22"/>
        </w:rPr>
      </w:pPr>
      <w:r w:rsidRPr="001C03E1">
        <w:rPr>
          <w:rFonts w:eastAsiaTheme="minorEastAsia" w:cs="Arial"/>
          <w:color w:val="000000" w:themeColor="text1"/>
          <w:sz w:val="22"/>
          <w:szCs w:val="22"/>
        </w:rPr>
        <w:t>T</w:t>
      </w:r>
      <w:r w:rsidR="008B08E3" w:rsidRPr="001C03E1">
        <w:rPr>
          <w:rFonts w:eastAsiaTheme="minorEastAsia" w:cs="Arial"/>
          <w:color w:val="000000" w:themeColor="text1"/>
          <w:sz w:val="22"/>
          <w:szCs w:val="22"/>
        </w:rPr>
        <w:t xml:space="preserve">here were 8,632 contacts received by children's social care. 3,010 of those contacts </w:t>
      </w:r>
      <w:r w:rsidRPr="001C03E1">
        <w:rPr>
          <w:rFonts w:eastAsiaTheme="minorEastAsia" w:cs="Arial"/>
          <w:color w:val="000000" w:themeColor="text1"/>
          <w:sz w:val="22"/>
          <w:szCs w:val="22"/>
        </w:rPr>
        <w:t xml:space="preserve">(34.8%) </w:t>
      </w:r>
      <w:r w:rsidR="008B08E3" w:rsidRPr="001C03E1">
        <w:rPr>
          <w:rFonts w:eastAsiaTheme="minorEastAsia" w:cs="Arial"/>
          <w:color w:val="000000" w:themeColor="text1"/>
          <w:sz w:val="22"/>
          <w:szCs w:val="22"/>
        </w:rPr>
        <w:t>led to a referral</w:t>
      </w:r>
      <w:r w:rsidRPr="001C03E1">
        <w:rPr>
          <w:rFonts w:eastAsiaTheme="minorEastAsia" w:cs="Arial"/>
          <w:color w:val="000000" w:themeColor="text1"/>
          <w:sz w:val="22"/>
          <w:szCs w:val="22"/>
        </w:rPr>
        <w:t>. This was an improvement on the pre</w:t>
      </w:r>
      <w:r w:rsidR="008B08E3" w:rsidRPr="001C03E1">
        <w:rPr>
          <w:rFonts w:eastAsiaTheme="minorEastAsia" w:cs="Arial"/>
          <w:color w:val="000000" w:themeColor="text1"/>
          <w:sz w:val="22"/>
          <w:szCs w:val="22"/>
        </w:rPr>
        <w:t xml:space="preserve">vious quarter </w:t>
      </w:r>
      <w:r w:rsidRPr="001C03E1">
        <w:rPr>
          <w:rFonts w:eastAsiaTheme="minorEastAsia" w:cs="Arial"/>
          <w:color w:val="000000" w:themeColor="text1"/>
          <w:sz w:val="22"/>
          <w:szCs w:val="22"/>
        </w:rPr>
        <w:t xml:space="preserve">indicating that more appropriate contacts are being received. </w:t>
      </w:r>
      <w:r w:rsidR="00592775">
        <w:rPr>
          <w:rFonts w:eastAsiaTheme="minorEastAsia" w:cs="Arial"/>
          <w:color w:val="000000" w:themeColor="text1"/>
          <w:sz w:val="22"/>
          <w:szCs w:val="22"/>
        </w:rPr>
        <w:t>A third of all</w:t>
      </w:r>
      <w:r w:rsidR="008B08E3" w:rsidRPr="001C03E1">
        <w:rPr>
          <w:rFonts w:eastAsiaTheme="minorEastAsia" w:cs="Arial"/>
          <w:color w:val="000000" w:themeColor="text1"/>
          <w:sz w:val="22"/>
          <w:szCs w:val="22"/>
        </w:rPr>
        <w:t xml:space="preserve"> contacts or</w:t>
      </w:r>
      <w:r w:rsidR="00592775">
        <w:rPr>
          <w:rFonts w:eastAsiaTheme="minorEastAsia" w:cs="Arial"/>
          <w:color w:val="000000" w:themeColor="text1"/>
          <w:sz w:val="22"/>
          <w:szCs w:val="22"/>
        </w:rPr>
        <w:t>iginated from the police</w:t>
      </w:r>
      <w:r w:rsidRPr="001C03E1">
        <w:rPr>
          <w:rFonts w:eastAsiaTheme="minorEastAsia" w:cs="Arial"/>
          <w:color w:val="000000" w:themeColor="text1"/>
          <w:sz w:val="22"/>
          <w:szCs w:val="22"/>
        </w:rPr>
        <w:t>.</w:t>
      </w:r>
    </w:p>
    <w:p w14:paraId="067FDD15" w14:textId="77777777" w:rsidR="008B08E3" w:rsidRDefault="00592775" w:rsidP="00E46CCF">
      <w:pPr>
        <w:jc w:val="both"/>
        <w:rPr>
          <w:rFonts w:eastAsiaTheme="minorEastAsia" w:cs="Arial"/>
          <w:color w:val="000000" w:themeColor="text1"/>
          <w:sz w:val="22"/>
          <w:szCs w:val="22"/>
        </w:rPr>
      </w:pPr>
      <w:r>
        <w:rPr>
          <w:rFonts w:eastAsiaTheme="minorEastAsia" w:cs="Arial"/>
          <w:color w:val="000000" w:themeColor="text1"/>
          <w:sz w:val="22"/>
          <w:szCs w:val="22"/>
        </w:rPr>
        <w:lastRenderedPageBreak/>
        <w:t xml:space="preserve">Although the position has improved since Q2, </w:t>
      </w:r>
      <w:r w:rsidR="00751003" w:rsidRPr="001C03E1">
        <w:rPr>
          <w:rFonts w:eastAsiaTheme="minorEastAsia" w:cs="Arial"/>
          <w:color w:val="000000" w:themeColor="text1"/>
          <w:sz w:val="22"/>
          <w:szCs w:val="22"/>
        </w:rPr>
        <w:t>22.8</w:t>
      </w:r>
      <w:r>
        <w:rPr>
          <w:rFonts w:eastAsiaTheme="minorEastAsia" w:cs="Arial"/>
          <w:color w:val="000000" w:themeColor="text1"/>
          <w:sz w:val="22"/>
          <w:szCs w:val="22"/>
        </w:rPr>
        <w:t>%</w:t>
      </w:r>
      <w:r w:rsidR="00751003" w:rsidRPr="001C03E1">
        <w:rPr>
          <w:rFonts w:eastAsiaTheme="minorEastAsia" w:cs="Arial"/>
          <w:color w:val="000000" w:themeColor="text1"/>
          <w:sz w:val="22"/>
          <w:szCs w:val="22"/>
        </w:rPr>
        <w:t xml:space="preserve"> of</w:t>
      </w:r>
      <w:r w:rsidR="008B08E3" w:rsidRPr="001C03E1">
        <w:rPr>
          <w:rFonts w:eastAsiaTheme="minorEastAsia" w:cs="Arial"/>
          <w:color w:val="000000" w:themeColor="text1"/>
          <w:sz w:val="22"/>
          <w:szCs w:val="22"/>
        </w:rPr>
        <w:t xml:space="preserve"> assessments completed </w:t>
      </w:r>
      <w:r>
        <w:rPr>
          <w:rFonts w:eastAsiaTheme="minorEastAsia" w:cs="Arial"/>
          <w:color w:val="000000" w:themeColor="text1"/>
          <w:sz w:val="22"/>
          <w:szCs w:val="22"/>
        </w:rPr>
        <w:t xml:space="preserve">in Q3 </w:t>
      </w:r>
      <w:r w:rsidR="00751003" w:rsidRPr="001C03E1">
        <w:rPr>
          <w:rFonts w:eastAsiaTheme="minorEastAsia" w:cs="Arial"/>
          <w:color w:val="000000" w:themeColor="text1"/>
          <w:sz w:val="22"/>
          <w:szCs w:val="22"/>
        </w:rPr>
        <w:t xml:space="preserve">took </w:t>
      </w:r>
      <w:r w:rsidR="008B08E3" w:rsidRPr="001C03E1">
        <w:rPr>
          <w:rFonts w:eastAsiaTheme="minorEastAsia" w:cs="Arial"/>
          <w:color w:val="000000" w:themeColor="text1"/>
          <w:sz w:val="22"/>
          <w:szCs w:val="22"/>
        </w:rPr>
        <w:t xml:space="preserve">over 45 days, </w:t>
      </w:r>
      <w:r w:rsidR="00751003" w:rsidRPr="001C03E1">
        <w:rPr>
          <w:rFonts w:eastAsiaTheme="minorEastAsia" w:cs="Arial"/>
          <w:color w:val="000000" w:themeColor="text1"/>
          <w:sz w:val="22"/>
          <w:szCs w:val="22"/>
        </w:rPr>
        <w:t xml:space="preserve">which is longer than all comparator averages: </w:t>
      </w:r>
      <w:r w:rsidR="008B08E3" w:rsidRPr="001C03E1">
        <w:rPr>
          <w:rFonts w:eastAsiaTheme="minorEastAsia" w:cs="Arial"/>
          <w:color w:val="000000" w:themeColor="text1"/>
          <w:sz w:val="22"/>
          <w:szCs w:val="22"/>
        </w:rPr>
        <w:t>national 16.6%, regional 16.7%, and statistical neighbours 12.</w:t>
      </w:r>
      <w:r w:rsidR="00751003" w:rsidRPr="001C03E1">
        <w:rPr>
          <w:rFonts w:eastAsiaTheme="minorEastAsia" w:cs="Arial"/>
          <w:color w:val="000000" w:themeColor="text1"/>
          <w:sz w:val="22"/>
          <w:szCs w:val="22"/>
        </w:rPr>
        <w:t>3%</w:t>
      </w:r>
      <w:r w:rsidR="008B08E3" w:rsidRPr="001C03E1">
        <w:rPr>
          <w:rFonts w:eastAsiaTheme="minorEastAsia" w:cs="Arial"/>
          <w:color w:val="000000" w:themeColor="text1"/>
          <w:sz w:val="22"/>
          <w:szCs w:val="22"/>
        </w:rPr>
        <w:t>.</w:t>
      </w:r>
    </w:p>
    <w:p w14:paraId="5C87CE17" w14:textId="77777777" w:rsidR="008B08E3" w:rsidRPr="001C03E1" w:rsidRDefault="00751003" w:rsidP="00E46CCF">
      <w:pPr>
        <w:spacing w:after="200"/>
        <w:jc w:val="both"/>
        <w:rPr>
          <w:rFonts w:eastAsiaTheme="minorEastAsia" w:cs="Arial"/>
          <w:color w:val="000000" w:themeColor="text1"/>
          <w:sz w:val="22"/>
          <w:szCs w:val="22"/>
        </w:rPr>
      </w:pPr>
      <w:r w:rsidRPr="001C03E1">
        <w:rPr>
          <w:rFonts w:eastAsiaTheme="minorEastAsia" w:cs="Arial"/>
          <w:color w:val="000000" w:themeColor="text1"/>
          <w:sz w:val="22"/>
          <w:szCs w:val="22"/>
        </w:rPr>
        <w:t>T</w:t>
      </w:r>
      <w:r w:rsidR="008B08E3" w:rsidRPr="001C03E1">
        <w:rPr>
          <w:rFonts w:eastAsiaTheme="minorEastAsia" w:cs="Arial"/>
          <w:color w:val="000000" w:themeColor="text1"/>
          <w:sz w:val="22"/>
          <w:szCs w:val="22"/>
        </w:rPr>
        <w:t>here were 1,84</w:t>
      </w:r>
      <w:r w:rsidRPr="001C03E1">
        <w:rPr>
          <w:rFonts w:eastAsiaTheme="minorEastAsia" w:cs="Arial"/>
          <w:color w:val="000000" w:themeColor="text1"/>
          <w:sz w:val="22"/>
          <w:szCs w:val="22"/>
        </w:rPr>
        <w:t>5 Children in Need (</w:t>
      </w:r>
      <w:proofErr w:type="spellStart"/>
      <w:r w:rsidRPr="001C03E1">
        <w:rPr>
          <w:rFonts w:eastAsiaTheme="minorEastAsia" w:cs="Arial"/>
          <w:color w:val="000000" w:themeColor="text1"/>
          <w:sz w:val="22"/>
          <w:szCs w:val="22"/>
        </w:rPr>
        <w:t>CiN</w:t>
      </w:r>
      <w:proofErr w:type="spellEnd"/>
      <w:r w:rsidRPr="001C03E1">
        <w:rPr>
          <w:rFonts w:eastAsiaTheme="minorEastAsia" w:cs="Arial"/>
          <w:color w:val="000000" w:themeColor="text1"/>
          <w:sz w:val="22"/>
          <w:szCs w:val="22"/>
        </w:rPr>
        <w:t xml:space="preserve">) plans </w:t>
      </w:r>
      <w:r w:rsidR="008B08E3" w:rsidRPr="001C03E1">
        <w:rPr>
          <w:rFonts w:eastAsiaTheme="minorEastAsia" w:cs="Arial"/>
          <w:color w:val="000000" w:themeColor="text1"/>
          <w:sz w:val="22"/>
          <w:szCs w:val="22"/>
        </w:rPr>
        <w:t>op</w:t>
      </w:r>
      <w:r w:rsidRPr="001C03E1">
        <w:rPr>
          <w:rFonts w:eastAsiaTheme="minorEastAsia" w:cs="Arial"/>
          <w:color w:val="000000" w:themeColor="text1"/>
          <w:sz w:val="22"/>
          <w:szCs w:val="22"/>
        </w:rPr>
        <w:t>en during the quarter</w:t>
      </w:r>
      <w:r w:rsidR="008B08E3" w:rsidRPr="001C03E1">
        <w:rPr>
          <w:rFonts w:eastAsiaTheme="minorEastAsia" w:cs="Arial"/>
          <w:color w:val="000000" w:themeColor="text1"/>
          <w:sz w:val="22"/>
          <w:szCs w:val="22"/>
        </w:rPr>
        <w:t xml:space="preserve"> equating to a rate of 74.8 (per 10,000 0-17 population)</w:t>
      </w:r>
      <w:r w:rsidR="0006038B" w:rsidRPr="001C03E1">
        <w:rPr>
          <w:rFonts w:eastAsiaTheme="minorEastAsia" w:cs="Arial"/>
          <w:color w:val="000000" w:themeColor="text1"/>
          <w:sz w:val="22"/>
          <w:szCs w:val="22"/>
        </w:rPr>
        <w:t>, which is higher than our internal 'good' performance threshold of 67</w:t>
      </w:r>
      <w:r w:rsidR="008B08E3" w:rsidRPr="001C03E1">
        <w:rPr>
          <w:rFonts w:eastAsiaTheme="minorEastAsia" w:cs="Arial"/>
          <w:color w:val="000000" w:themeColor="text1"/>
          <w:sz w:val="22"/>
          <w:szCs w:val="22"/>
        </w:rPr>
        <w:t xml:space="preserve">. </w:t>
      </w:r>
      <w:r w:rsidR="0006038B" w:rsidRPr="001C03E1">
        <w:rPr>
          <w:rFonts w:eastAsiaTheme="minorEastAsia" w:cs="Arial"/>
          <w:color w:val="000000" w:themeColor="text1"/>
          <w:sz w:val="22"/>
          <w:szCs w:val="22"/>
        </w:rPr>
        <w:t xml:space="preserve">The highest proportion of </w:t>
      </w:r>
      <w:proofErr w:type="spellStart"/>
      <w:r w:rsidR="008B08E3" w:rsidRPr="001C03E1">
        <w:rPr>
          <w:rFonts w:eastAsiaTheme="minorEastAsia" w:cs="Arial"/>
          <w:color w:val="000000" w:themeColor="text1"/>
          <w:sz w:val="22"/>
          <w:szCs w:val="22"/>
        </w:rPr>
        <w:t>CiN</w:t>
      </w:r>
      <w:proofErr w:type="spellEnd"/>
      <w:r w:rsidR="008B08E3" w:rsidRPr="001C03E1">
        <w:rPr>
          <w:rFonts w:eastAsiaTheme="minorEastAsia" w:cs="Arial"/>
          <w:color w:val="000000" w:themeColor="text1"/>
          <w:sz w:val="22"/>
          <w:szCs w:val="22"/>
        </w:rPr>
        <w:t xml:space="preserve"> plans</w:t>
      </w:r>
      <w:r w:rsidR="0006038B" w:rsidRPr="001C03E1">
        <w:rPr>
          <w:rFonts w:eastAsiaTheme="minorEastAsia" w:cs="Arial"/>
          <w:color w:val="000000" w:themeColor="text1"/>
          <w:sz w:val="22"/>
          <w:szCs w:val="22"/>
        </w:rPr>
        <w:t xml:space="preserve"> (26.2%)</w:t>
      </w:r>
      <w:r w:rsidR="008B08E3" w:rsidRPr="001C03E1">
        <w:rPr>
          <w:rFonts w:eastAsiaTheme="minorEastAsia" w:cs="Arial"/>
          <w:color w:val="000000" w:themeColor="text1"/>
          <w:sz w:val="22"/>
          <w:szCs w:val="22"/>
        </w:rPr>
        <w:t xml:space="preserve"> were </w:t>
      </w:r>
      <w:r w:rsidRPr="001C03E1">
        <w:rPr>
          <w:rFonts w:eastAsiaTheme="minorEastAsia" w:cs="Arial"/>
          <w:color w:val="000000" w:themeColor="text1"/>
          <w:sz w:val="22"/>
          <w:szCs w:val="22"/>
        </w:rPr>
        <w:t>for children with special educational needs and disabilities (</w:t>
      </w:r>
      <w:r w:rsidR="008B08E3" w:rsidRPr="001C03E1">
        <w:rPr>
          <w:rFonts w:eastAsiaTheme="minorEastAsia" w:cs="Arial"/>
          <w:color w:val="000000" w:themeColor="text1"/>
          <w:sz w:val="22"/>
          <w:szCs w:val="22"/>
        </w:rPr>
        <w:t>SEND</w:t>
      </w:r>
      <w:r w:rsidRPr="001C03E1">
        <w:rPr>
          <w:rFonts w:eastAsiaTheme="minorEastAsia" w:cs="Arial"/>
          <w:color w:val="000000" w:themeColor="text1"/>
          <w:sz w:val="22"/>
          <w:szCs w:val="22"/>
        </w:rPr>
        <w:t xml:space="preserve">). </w:t>
      </w:r>
    </w:p>
    <w:p w14:paraId="60FA2531" w14:textId="77777777" w:rsidR="008B08E3" w:rsidRPr="001C03E1" w:rsidRDefault="00964FE1" w:rsidP="00E46CCF">
      <w:pPr>
        <w:jc w:val="both"/>
        <w:rPr>
          <w:rFonts w:eastAsiaTheme="minorHAnsi" w:cs="Arial"/>
          <w:color w:val="000000" w:themeColor="text1"/>
          <w:sz w:val="22"/>
          <w:szCs w:val="22"/>
          <w:lang w:eastAsia="en-US"/>
        </w:rPr>
      </w:pPr>
      <w:r w:rsidRPr="001C03E1">
        <w:rPr>
          <w:rFonts w:eastAsiaTheme="minorHAnsi" w:cs="Arial"/>
          <w:color w:val="000000" w:themeColor="text1"/>
          <w:sz w:val="22"/>
          <w:szCs w:val="22"/>
          <w:lang w:eastAsia="en-US"/>
        </w:rPr>
        <w:t>T</w:t>
      </w:r>
      <w:r w:rsidR="008B08E3" w:rsidRPr="001C03E1">
        <w:rPr>
          <w:rFonts w:eastAsiaTheme="minorHAnsi" w:cs="Arial"/>
          <w:color w:val="000000" w:themeColor="text1"/>
          <w:sz w:val="22"/>
          <w:szCs w:val="22"/>
          <w:lang w:eastAsia="en-US"/>
        </w:rPr>
        <w:t xml:space="preserve">he number of Children Looked </w:t>
      </w:r>
      <w:proofErr w:type="gramStart"/>
      <w:r w:rsidR="008B08E3" w:rsidRPr="001C03E1">
        <w:rPr>
          <w:rFonts w:eastAsiaTheme="minorHAnsi" w:cs="Arial"/>
          <w:color w:val="000000" w:themeColor="text1"/>
          <w:sz w:val="22"/>
          <w:szCs w:val="22"/>
          <w:lang w:eastAsia="en-US"/>
        </w:rPr>
        <w:t>After</w:t>
      </w:r>
      <w:proofErr w:type="gramEnd"/>
      <w:r w:rsidR="008B08E3" w:rsidRPr="001C03E1">
        <w:rPr>
          <w:rFonts w:eastAsiaTheme="minorHAnsi" w:cs="Arial"/>
          <w:color w:val="000000" w:themeColor="text1"/>
          <w:sz w:val="22"/>
          <w:szCs w:val="22"/>
          <w:lang w:eastAsia="en-US"/>
        </w:rPr>
        <w:t xml:space="preserve"> (CLA) </w:t>
      </w:r>
      <w:r w:rsidRPr="001C03E1">
        <w:rPr>
          <w:rFonts w:eastAsiaTheme="minorHAnsi" w:cs="Arial"/>
          <w:color w:val="000000" w:themeColor="text1"/>
          <w:sz w:val="22"/>
          <w:szCs w:val="22"/>
          <w:lang w:eastAsia="en-US"/>
        </w:rPr>
        <w:t>has continued to increase and in November</w:t>
      </w:r>
      <w:r w:rsidR="008B08E3" w:rsidRPr="001C03E1">
        <w:rPr>
          <w:rFonts w:eastAsiaTheme="minorHAnsi" w:cs="Arial"/>
          <w:color w:val="000000" w:themeColor="text1"/>
          <w:sz w:val="22"/>
          <w:szCs w:val="22"/>
          <w:lang w:eastAsia="en-US"/>
        </w:rPr>
        <w:t xml:space="preserve"> </w:t>
      </w:r>
      <w:r w:rsidRPr="001C03E1">
        <w:rPr>
          <w:rFonts w:eastAsiaTheme="minorHAnsi" w:cs="Arial"/>
          <w:color w:val="000000" w:themeColor="text1"/>
          <w:sz w:val="22"/>
          <w:szCs w:val="22"/>
          <w:lang w:eastAsia="en-US"/>
        </w:rPr>
        <w:t>the</w:t>
      </w:r>
      <w:r w:rsidR="008B08E3" w:rsidRPr="001C03E1">
        <w:rPr>
          <w:rFonts w:eastAsiaTheme="minorHAnsi" w:cs="Arial"/>
          <w:color w:val="000000" w:themeColor="text1"/>
          <w:sz w:val="22"/>
          <w:szCs w:val="22"/>
          <w:lang w:eastAsia="en-US"/>
        </w:rPr>
        <w:t xml:space="preserve"> figure</w:t>
      </w:r>
      <w:r w:rsidRPr="001C03E1">
        <w:rPr>
          <w:rFonts w:eastAsiaTheme="minorHAnsi" w:cs="Arial"/>
          <w:color w:val="000000" w:themeColor="text1"/>
          <w:sz w:val="22"/>
          <w:szCs w:val="22"/>
          <w:lang w:eastAsia="en-US"/>
        </w:rPr>
        <w:t xml:space="preserve"> (1,953)</w:t>
      </w:r>
      <w:r w:rsidR="008B08E3" w:rsidRPr="001C03E1">
        <w:rPr>
          <w:rFonts w:eastAsiaTheme="minorHAnsi" w:cs="Arial"/>
          <w:color w:val="000000" w:themeColor="text1"/>
          <w:sz w:val="22"/>
          <w:szCs w:val="22"/>
          <w:lang w:eastAsia="en-US"/>
        </w:rPr>
        <w:t xml:space="preserve"> was the highest ever recorded for the Authority. The Lancashire rate </w:t>
      </w:r>
      <w:r w:rsidRPr="001C03E1">
        <w:rPr>
          <w:rFonts w:eastAsiaTheme="minorHAnsi" w:cs="Arial"/>
          <w:color w:val="000000" w:themeColor="text1"/>
          <w:sz w:val="22"/>
          <w:szCs w:val="22"/>
          <w:lang w:eastAsia="en-US"/>
        </w:rPr>
        <w:t xml:space="preserve">(79.0) </w:t>
      </w:r>
      <w:r w:rsidR="008B08E3" w:rsidRPr="001C03E1">
        <w:rPr>
          <w:rFonts w:eastAsiaTheme="minorHAnsi" w:cs="Arial"/>
          <w:color w:val="000000" w:themeColor="text1"/>
          <w:sz w:val="22"/>
          <w:szCs w:val="22"/>
          <w:lang w:eastAsia="en-US"/>
        </w:rPr>
        <w:t xml:space="preserve">was significantly higher than the recently published national (62.0) and statistical neighbour (65.5) rates, but significantly lower than the regional rate (86.0). </w:t>
      </w:r>
      <w:r w:rsidRPr="001C03E1">
        <w:rPr>
          <w:rFonts w:eastAsiaTheme="minorHAnsi" w:cs="Arial"/>
          <w:color w:val="000000" w:themeColor="text1"/>
          <w:sz w:val="22"/>
          <w:szCs w:val="22"/>
          <w:lang w:eastAsia="en-US"/>
        </w:rPr>
        <w:t>The rates are particularly high in</w:t>
      </w:r>
      <w:r w:rsidR="008B08E3" w:rsidRPr="001C03E1">
        <w:rPr>
          <w:rFonts w:eastAsiaTheme="minorHAnsi" w:cs="Arial"/>
          <w:color w:val="000000" w:themeColor="text1"/>
          <w:sz w:val="22"/>
          <w:szCs w:val="22"/>
          <w:lang w:eastAsia="en-US"/>
        </w:rPr>
        <w:t xml:space="preserve"> Burnley (119.8), Preston (104.7), Pendle (102.8), and Hyndburn/Ribble Valley (79.5%).</w:t>
      </w:r>
    </w:p>
    <w:p w14:paraId="7771A4A9" w14:textId="77777777" w:rsidR="008B08E3" w:rsidRPr="001C03E1" w:rsidRDefault="008B08E3" w:rsidP="00E46CCF">
      <w:pPr>
        <w:jc w:val="both"/>
        <w:rPr>
          <w:rFonts w:eastAsiaTheme="minorHAnsi" w:cs="Arial"/>
          <w:color w:val="000000" w:themeColor="text1"/>
          <w:sz w:val="22"/>
          <w:szCs w:val="22"/>
          <w:lang w:eastAsia="en-US"/>
        </w:rPr>
      </w:pPr>
    </w:p>
    <w:p w14:paraId="30E97EC3" w14:textId="4328309F" w:rsidR="00BC2C8E" w:rsidRPr="0007214B" w:rsidRDefault="008B08E3" w:rsidP="0007214B">
      <w:pPr>
        <w:spacing w:after="160"/>
        <w:jc w:val="both"/>
        <w:rPr>
          <w:rFonts w:eastAsiaTheme="minorHAnsi" w:cs="Arial"/>
          <w:color w:val="000000" w:themeColor="text1"/>
          <w:sz w:val="22"/>
          <w:szCs w:val="22"/>
          <w:lang w:eastAsia="en-US"/>
        </w:rPr>
      </w:pPr>
      <w:r w:rsidRPr="001C03E1">
        <w:rPr>
          <w:rFonts w:eastAsiaTheme="minorHAnsi" w:cs="Arial"/>
          <w:color w:val="000000" w:themeColor="text1"/>
          <w:sz w:val="22"/>
          <w:szCs w:val="22"/>
          <w:lang w:eastAsia="en-US"/>
        </w:rPr>
        <w:t xml:space="preserve">The proportion of newly qualified social workers (ASYEs) </w:t>
      </w:r>
      <w:r w:rsidR="0006038B" w:rsidRPr="001C03E1">
        <w:rPr>
          <w:rFonts w:eastAsiaTheme="minorHAnsi" w:cs="Arial"/>
          <w:color w:val="000000" w:themeColor="text1"/>
          <w:sz w:val="22"/>
          <w:szCs w:val="22"/>
          <w:lang w:eastAsia="en-US"/>
        </w:rPr>
        <w:t xml:space="preserve">within Lancashire has </w:t>
      </w:r>
      <w:r w:rsidR="00592775">
        <w:rPr>
          <w:rFonts w:eastAsiaTheme="minorHAnsi" w:cs="Arial"/>
          <w:color w:val="000000" w:themeColor="text1"/>
          <w:sz w:val="22"/>
          <w:szCs w:val="22"/>
          <w:lang w:eastAsia="en-US"/>
        </w:rPr>
        <w:t>reduced</w:t>
      </w:r>
      <w:r w:rsidRPr="001C03E1">
        <w:rPr>
          <w:rFonts w:eastAsiaTheme="minorHAnsi" w:cs="Arial"/>
          <w:color w:val="000000" w:themeColor="text1"/>
          <w:sz w:val="22"/>
          <w:szCs w:val="22"/>
          <w:lang w:eastAsia="en-US"/>
        </w:rPr>
        <w:t xml:space="preserve"> </w:t>
      </w:r>
      <w:r w:rsidR="0006038B" w:rsidRPr="001C03E1">
        <w:rPr>
          <w:rFonts w:eastAsiaTheme="minorHAnsi" w:cs="Arial"/>
          <w:color w:val="000000" w:themeColor="text1"/>
          <w:sz w:val="22"/>
          <w:szCs w:val="22"/>
          <w:lang w:eastAsia="en-US"/>
        </w:rPr>
        <w:t>which indicates that retention of newly qualified staff is improving. However, t</w:t>
      </w:r>
      <w:r w:rsidRPr="001C03E1">
        <w:rPr>
          <w:rFonts w:eastAsiaTheme="minorHAnsi" w:cs="Arial"/>
          <w:color w:val="000000" w:themeColor="text1"/>
          <w:sz w:val="22"/>
          <w:szCs w:val="22"/>
          <w:lang w:eastAsia="en-US"/>
        </w:rPr>
        <w:t>h</w:t>
      </w:r>
      <w:r w:rsidR="0006038B" w:rsidRPr="001C03E1">
        <w:rPr>
          <w:rFonts w:eastAsiaTheme="minorHAnsi" w:cs="Arial"/>
          <w:color w:val="000000" w:themeColor="text1"/>
          <w:sz w:val="22"/>
          <w:szCs w:val="22"/>
          <w:lang w:eastAsia="en-US"/>
        </w:rPr>
        <w:t>e proportion</w:t>
      </w:r>
      <w:r w:rsidRPr="001C03E1">
        <w:rPr>
          <w:rFonts w:eastAsiaTheme="minorHAnsi" w:cs="Arial"/>
          <w:color w:val="000000" w:themeColor="text1"/>
          <w:sz w:val="22"/>
          <w:szCs w:val="22"/>
          <w:lang w:eastAsia="en-US"/>
        </w:rPr>
        <w:t xml:space="preserve"> </w:t>
      </w:r>
      <w:r w:rsidR="0006038B" w:rsidRPr="001C03E1">
        <w:rPr>
          <w:rFonts w:eastAsiaTheme="minorHAnsi" w:cs="Arial"/>
          <w:color w:val="000000" w:themeColor="text1"/>
          <w:sz w:val="22"/>
          <w:szCs w:val="22"/>
          <w:lang w:eastAsia="en-US"/>
        </w:rPr>
        <w:t xml:space="preserve">of </w:t>
      </w:r>
      <w:r w:rsidRPr="001C03E1">
        <w:rPr>
          <w:rFonts w:eastAsiaTheme="minorHAnsi" w:cs="Arial"/>
          <w:color w:val="000000" w:themeColor="text1"/>
          <w:sz w:val="22"/>
          <w:szCs w:val="22"/>
          <w:lang w:eastAsia="en-US"/>
        </w:rPr>
        <w:t>social worker</w:t>
      </w:r>
      <w:r w:rsidR="0006038B" w:rsidRPr="001C03E1">
        <w:rPr>
          <w:rFonts w:eastAsiaTheme="minorHAnsi" w:cs="Arial"/>
          <w:color w:val="000000" w:themeColor="text1"/>
          <w:sz w:val="22"/>
          <w:szCs w:val="22"/>
          <w:lang w:eastAsia="en-US"/>
        </w:rPr>
        <w:t>s with over three years' experience</w:t>
      </w:r>
      <w:r w:rsidRPr="001C03E1">
        <w:rPr>
          <w:rFonts w:eastAsiaTheme="minorHAnsi" w:cs="Arial"/>
          <w:color w:val="000000" w:themeColor="text1"/>
          <w:sz w:val="22"/>
          <w:szCs w:val="22"/>
          <w:lang w:eastAsia="en-US"/>
        </w:rPr>
        <w:t xml:space="preserve"> (18.9%) has </w:t>
      </w:r>
      <w:r w:rsidR="0006038B" w:rsidRPr="001C03E1">
        <w:rPr>
          <w:rFonts w:eastAsiaTheme="minorHAnsi" w:cs="Arial"/>
          <w:color w:val="000000" w:themeColor="text1"/>
          <w:sz w:val="22"/>
          <w:szCs w:val="22"/>
          <w:lang w:eastAsia="en-US"/>
        </w:rPr>
        <w:t>worsened</w:t>
      </w:r>
      <w:r w:rsidRPr="001C03E1">
        <w:rPr>
          <w:rFonts w:eastAsiaTheme="minorHAnsi" w:cs="Arial"/>
          <w:color w:val="000000" w:themeColor="text1"/>
          <w:sz w:val="22"/>
          <w:szCs w:val="22"/>
          <w:lang w:eastAsia="en-US"/>
        </w:rPr>
        <w:t xml:space="preserve"> during the year</w:t>
      </w:r>
      <w:r w:rsidR="0006038B" w:rsidRPr="001C03E1">
        <w:rPr>
          <w:rFonts w:eastAsiaTheme="minorHAnsi" w:cs="Arial"/>
          <w:color w:val="000000" w:themeColor="text1"/>
          <w:sz w:val="22"/>
          <w:szCs w:val="22"/>
          <w:lang w:eastAsia="en-US"/>
        </w:rPr>
        <w:t xml:space="preserve"> indicating that experienced staff are leaving the authority</w:t>
      </w:r>
      <w:r w:rsidRPr="001C03E1">
        <w:rPr>
          <w:rFonts w:eastAsiaTheme="minorHAnsi" w:cs="Arial"/>
          <w:color w:val="000000" w:themeColor="text1"/>
          <w:sz w:val="22"/>
          <w:szCs w:val="22"/>
          <w:lang w:eastAsia="en-US"/>
        </w:rPr>
        <w:t xml:space="preserve">.  The average caseload for all social workers (21.7) </w:t>
      </w:r>
      <w:r w:rsidR="0006038B" w:rsidRPr="001C03E1">
        <w:rPr>
          <w:rFonts w:eastAsiaTheme="minorHAnsi" w:cs="Arial"/>
          <w:color w:val="000000" w:themeColor="text1"/>
          <w:sz w:val="22"/>
          <w:szCs w:val="22"/>
          <w:lang w:eastAsia="en-US"/>
        </w:rPr>
        <w:t>is comparatively good.</w:t>
      </w:r>
    </w:p>
    <w:tbl>
      <w:tblPr>
        <w:tblpPr w:leftFromText="180" w:rightFromText="180" w:vertAnchor="page" w:horzAnchor="margin" w:tblpY="6162"/>
        <w:tblW w:w="10023" w:type="dxa"/>
        <w:tblLook w:val="04A0" w:firstRow="1" w:lastRow="0" w:firstColumn="1" w:lastColumn="0" w:noHBand="0" w:noVBand="1"/>
      </w:tblPr>
      <w:tblGrid>
        <w:gridCol w:w="3109"/>
        <w:gridCol w:w="992"/>
        <w:gridCol w:w="1134"/>
        <w:gridCol w:w="1134"/>
        <w:gridCol w:w="992"/>
        <w:gridCol w:w="1044"/>
        <w:gridCol w:w="1618"/>
      </w:tblGrid>
      <w:tr w:rsidR="0007214B" w:rsidRPr="008B08E3" w14:paraId="4FF055E1" w14:textId="77777777" w:rsidTr="0007214B">
        <w:trPr>
          <w:trHeight w:val="188"/>
        </w:trPr>
        <w:tc>
          <w:tcPr>
            <w:tcW w:w="310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1F3573D" w14:textId="77777777" w:rsidR="0007214B" w:rsidRPr="0006038B" w:rsidRDefault="0007214B" w:rsidP="0007214B">
            <w:pPr>
              <w:jc w:val="center"/>
              <w:rPr>
                <w:rFonts w:cs="Arial"/>
                <w:b/>
                <w:color w:val="000000"/>
                <w:sz w:val="18"/>
                <w:szCs w:val="18"/>
              </w:rPr>
            </w:pPr>
            <w:r w:rsidRPr="0006038B">
              <w:rPr>
                <w:rFonts w:cs="Arial"/>
                <w:b/>
                <w:color w:val="000000"/>
                <w:sz w:val="18"/>
                <w:szCs w:val="18"/>
              </w:rPr>
              <w:lastRenderedPageBreak/>
              <w:t>Performance Measure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69EFE" w14:textId="77777777" w:rsidR="0007214B" w:rsidRPr="0006038B" w:rsidRDefault="0007214B" w:rsidP="0007214B">
            <w:pPr>
              <w:jc w:val="center"/>
              <w:rPr>
                <w:rFonts w:cs="Arial"/>
                <w:b/>
                <w:color w:val="000000"/>
                <w:sz w:val="18"/>
                <w:szCs w:val="18"/>
              </w:rPr>
            </w:pPr>
            <w:r w:rsidRPr="0006038B">
              <w:rPr>
                <w:rFonts w:cs="Arial"/>
                <w:b/>
                <w:color w:val="000000"/>
                <w:sz w:val="18"/>
                <w:szCs w:val="18"/>
              </w:rPr>
              <w:t>Good is High or Low</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EE5C52" w14:textId="77777777" w:rsidR="0007214B" w:rsidRPr="0006038B" w:rsidRDefault="0007214B" w:rsidP="0007214B">
            <w:pPr>
              <w:jc w:val="center"/>
              <w:rPr>
                <w:rFonts w:cs="Arial"/>
                <w:b/>
                <w:color w:val="000000"/>
                <w:sz w:val="18"/>
                <w:szCs w:val="18"/>
              </w:rPr>
            </w:pPr>
            <w:r w:rsidRPr="0006038B">
              <w:rPr>
                <w:rFonts w:cs="Arial"/>
                <w:b/>
                <w:color w:val="000000"/>
                <w:sz w:val="18"/>
                <w:szCs w:val="18"/>
              </w:rPr>
              <w:t>Dec 2016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58C521" w14:textId="77777777" w:rsidR="0007214B" w:rsidRPr="0006038B" w:rsidRDefault="0007214B" w:rsidP="0007214B">
            <w:pPr>
              <w:jc w:val="center"/>
              <w:rPr>
                <w:rFonts w:cs="Arial"/>
                <w:b/>
                <w:sz w:val="18"/>
                <w:szCs w:val="18"/>
              </w:rPr>
            </w:pPr>
            <w:r w:rsidRPr="0006038B">
              <w:rPr>
                <w:rFonts w:cs="Arial"/>
                <w:b/>
                <w:sz w:val="18"/>
                <w:szCs w:val="18"/>
              </w:rPr>
              <w:t>Q1 2017/18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8F48E5" w14:textId="77777777" w:rsidR="0007214B" w:rsidRPr="0006038B" w:rsidRDefault="0007214B" w:rsidP="0007214B">
            <w:pPr>
              <w:jc w:val="center"/>
              <w:rPr>
                <w:rFonts w:cs="Arial"/>
                <w:b/>
                <w:sz w:val="18"/>
                <w:szCs w:val="18"/>
              </w:rPr>
            </w:pPr>
            <w:r w:rsidRPr="0006038B">
              <w:rPr>
                <w:rFonts w:cs="Arial"/>
                <w:b/>
                <w:sz w:val="18"/>
                <w:szCs w:val="18"/>
              </w:rPr>
              <w:t>Q2 2017/18</w:t>
            </w:r>
          </w:p>
        </w:tc>
        <w:tc>
          <w:tcPr>
            <w:tcW w:w="1044" w:type="dxa"/>
            <w:tcBorders>
              <w:top w:val="single" w:sz="4" w:space="0" w:color="auto"/>
              <w:left w:val="nil"/>
              <w:bottom w:val="single" w:sz="4" w:space="0" w:color="auto"/>
              <w:right w:val="nil"/>
            </w:tcBorders>
            <w:shd w:val="clear" w:color="auto" w:fill="D9D9D9" w:themeFill="background1" w:themeFillShade="D9"/>
            <w:noWrap/>
            <w:vAlign w:val="center"/>
          </w:tcPr>
          <w:p w14:paraId="7CEC6516" w14:textId="77777777" w:rsidR="0007214B" w:rsidRPr="0006038B" w:rsidRDefault="0007214B" w:rsidP="0007214B">
            <w:pPr>
              <w:jc w:val="center"/>
              <w:rPr>
                <w:rFonts w:cs="Arial"/>
                <w:b/>
                <w:sz w:val="18"/>
                <w:szCs w:val="18"/>
              </w:rPr>
            </w:pPr>
            <w:r w:rsidRPr="0006038B">
              <w:rPr>
                <w:rFonts w:cs="Arial"/>
                <w:b/>
                <w:sz w:val="18"/>
                <w:szCs w:val="18"/>
              </w:rPr>
              <w:t>Q3 2017/18 (Dec 17)</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EEEC6A" w14:textId="77777777" w:rsidR="0007214B" w:rsidRPr="0006038B" w:rsidRDefault="0007214B" w:rsidP="0007214B">
            <w:pPr>
              <w:jc w:val="center"/>
              <w:rPr>
                <w:rFonts w:cs="Arial"/>
                <w:b/>
                <w:color w:val="000000"/>
                <w:sz w:val="18"/>
                <w:szCs w:val="18"/>
              </w:rPr>
            </w:pPr>
            <w:r w:rsidRPr="0006038B">
              <w:rPr>
                <w:rFonts w:cs="Arial"/>
                <w:b/>
                <w:color w:val="000000"/>
                <w:sz w:val="18"/>
                <w:szCs w:val="18"/>
              </w:rPr>
              <w:t>Last 6 month average</w:t>
            </w:r>
          </w:p>
        </w:tc>
      </w:tr>
      <w:tr w:rsidR="0007214B" w:rsidRPr="008B08E3" w14:paraId="035D7A0D" w14:textId="77777777" w:rsidTr="0007214B">
        <w:trPr>
          <w:trHeight w:val="188"/>
        </w:trPr>
        <w:tc>
          <w:tcPr>
            <w:tcW w:w="10023" w:type="dxa"/>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21B7B7E" w14:textId="77777777" w:rsidR="0007214B" w:rsidRPr="0006038B" w:rsidRDefault="0007214B" w:rsidP="0007214B">
            <w:pPr>
              <w:jc w:val="center"/>
              <w:rPr>
                <w:rFonts w:cs="Arial"/>
                <w:b/>
                <w:color w:val="000000"/>
                <w:sz w:val="18"/>
                <w:szCs w:val="18"/>
              </w:rPr>
            </w:pPr>
            <w:r w:rsidRPr="0006038B">
              <w:rPr>
                <w:rFonts w:cs="Arial"/>
                <w:b/>
                <w:color w:val="000000"/>
                <w:sz w:val="18"/>
                <w:szCs w:val="18"/>
              </w:rPr>
              <w:t>Adoptions</w:t>
            </w:r>
          </w:p>
        </w:tc>
      </w:tr>
      <w:tr w:rsidR="0007214B" w:rsidRPr="008B08E3" w14:paraId="246BE504" w14:textId="77777777" w:rsidTr="0007214B">
        <w:trPr>
          <w:trHeight w:val="95"/>
        </w:trPr>
        <w:tc>
          <w:tcPr>
            <w:tcW w:w="3109" w:type="dxa"/>
            <w:tcBorders>
              <w:top w:val="nil"/>
              <w:left w:val="single" w:sz="8" w:space="0" w:color="auto"/>
              <w:bottom w:val="single" w:sz="4" w:space="0" w:color="auto"/>
              <w:right w:val="single" w:sz="4" w:space="0" w:color="auto"/>
            </w:tcBorders>
            <w:shd w:val="clear" w:color="auto" w:fill="auto"/>
            <w:vAlign w:val="center"/>
          </w:tcPr>
          <w:p w14:paraId="34200011"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 xml:space="preserve">Average time between </w:t>
            </w:r>
          </w:p>
          <w:p w14:paraId="4AAF609F"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a child entering care and moving in with their adoptive family, for children who have been adopted (days)</w:t>
            </w:r>
          </w:p>
        </w:tc>
        <w:tc>
          <w:tcPr>
            <w:tcW w:w="992" w:type="dxa"/>
            <w:tcBorders>
              <w:top w:val="nil"/>
              <w:left w:val="nil"/>
              <w:bottom w:val="single" w:sz="4" w:space="0" w:color="auto"/>
              <w:right w:val="single" w:sz="4" w:space="0" w:color="auto"/>
            </w:tcBorders>
            <w:vAlign w:val="center"/>
          </w:tcPr>
          <w:p w14:paraId="451A8270" w14:textId="77777777" w:rsidR="0007214B" w:rsidRPr="0006038B" w:rsidRDefault="0007214B" w:rsidP="0007214B">
            <w:pPr>
              <w:jc w:val="center"/>
              <w:rPr>
                <w:rFonts w:cs="Arial"/>
                <w:sz w:val="18"/>
                <w:szCs w:val="18"/>
              </w:rPr>
            </w:pPr>
            <w:r w:rsidRPr="0006038B">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tcPr>
          <w:p w14:paraId="250AD1E4" w14:textId="77777777" w:rsidR="0007214B" w:rsidRPr="0006038B" w:rsidRDefault="0007214B" w:rsidP="0007214B">
            <w:pPr>
              <w:spacing w:after="160" w:line="259" w:lineRule="auto"/>
              <w:jc w:val="center"/>
              <w:rPr>
                <w:rFonts w:eastAsiaTheme="minorHAnsi" w:cs="Arial"/>
                <w:color w:val="000000"/>
                <w:sz w:val="18"/>
                <w:szCs w:val="18"/>
                <w:lang w:eastAsia="en-US"/>
              </w:rPr>
            </w:pPr>
            <w:r w:rsidRPr="0006038B">
              <w:rPr>
                <w:rFonts w:eastAsiaTheme="minorHAnsi" w:cs="Arial"/>
                <w:color w:val="000000"/>
                <w:sz w:val="18"/>
                <w:szCs w:val="18"/>
                <w:lang w:eastAsia="en-US"/>
              </w:rPr>
              <w:t>730 days (Q3 16/17)</w:t>
            </w:r>
          </w:p>
        </w:tc>
        <w:tc>
          <w:tcPr>
            <w:tcW w:w="1134" w:type="dxa"/>
            <w:tcBorders>
              <w:top w:val="nil"/>
              <w:left w:val="single" w:sz="4" w:space="0" w:color="auto"/>
              <w:bottom w:val="single" w:sz="4" w:space="0" w:color="auto"/>
              <w:right w:val="nil"/>
            </w:tcBorders>
            <w:shd w:val="clear" w:color="000000" w:fill="FFFFFF"/>
            <w:noWrap/>
            <w:vAlign w:val="center"/>
          </w:tcPr>
          <w:p w14:paraId="2B22CB15"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478</w:t>
            </w:r>
          </w:p>
        </w:tc>
        <w:tc>
          <w:tcPr>
            <w:tcW w:w="992" w:type="dxa"/>
            <w:tcBorders>
              <w:top w:val="nil"/>
              <w:left w:val="single" w:sz="4" w:space="0" w:color="auto"/>
              <w:bottom w:val="single" w:sz="4" w:space="0" w:color="auto"/>
              <w:right w:val="nil"/>
            </w:tcBorders>
            <w:shd w:val="clear" w:color="000000" w:fill="FFFFFF"/>
            <w:noWrap/>
            <w:vAlign w:val="center"/>
          </w:tcPr>
          <w:p w14:paraId="70D5A165"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536</w:t>
            </w:r>
          </w:p>
        </w:tc>
        <w:tc>
          <w:tcPr>
            <w:tcW w:w="1044" w:type="dxa"/>
            <w:tcBorders>
              <w:top w:val="nil"/>
              <w:left w:val="single" w:sz="4" w:space="0" w:color="auto"/>
              <w:bottom w:val="single" w:sz="4" w:space="0" w:color="auto"/>
              <w:right w:val="single" w:sz="4" w:space="0" w:color="auto"/>
            </w:tcBorders>
            <w:shd w:val="clear" w:color="auto" w:fill="auto"/>
            <w:noWrap/>
            <w:vAlign w:val="center"/>
          </w:tcPr>
          <w:p w14:paraId="4E9D8572" w14:textId="77777777" w:rsidR="0007214B" w:rsidRPr="0006038B" w:rsidRDefault="0007214B" w:rsidP="0007214B">
            <w:pPr>
              <w:jc w:val="center"/>
              <w:rPr>
                <w:rFonts w:cs="Arial"/>
                <w:sz w:val="18"/>
                <w:szCs w:val="18"/>
              </w:rPr>
            </w:pPr>
            <w:r w:rsidRPr="0006038B">
              <w:rPr>
                <w:rFonts w:cs="Arial"/>
                <w:sz w:val="18"/>
                <w:szCs w:val="18"/>
              </w:rPr>
              <w:t>347</w:t>
            </w:r>
          </w:p>
        </w:tc>
        <w:tc>
          <w:tcPr>
            <w:tcW w:w="1618" w:type="dxa"/>
            <w:tcBorders>
              <w:top w:val="nil"/>
              <w:left w:val="single" w:sz="4" w:space="0" w:color="auto"/>
              <w:bottom w:val="single" w:sz="4" w:space="0" w:color="auto"/>
              <w:right w:val="single" w:sz="4" w:space="0" w:color="auto"/>
            </w:tcBorders>
            <w:shd w:val="clear" w:color="000000" w:fill="D8E4BC"/>
            <w:noWrap/>
            <w:vAlign w:val="center"/>
          </w:tcPr>
          <w:p w14:paraId="0C1533AB"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 xml:space="preserve">434 (year to date - </w:t>
            </w:r>
            <w:proofErr w:type="spellStart"/>
            <w:r w:rsidRPr="0006038B">
              <w:rPr>
                <w:rFonts w:eastAsiaTheme="minorHAnsi" w:cs="Arial"/>
                <w:sz w:val="18"/>
                <w:szCs w:val="18"/>
                <w:lang w:eastAsia="en-US"/>
              </w:rPr>
              <w:t>ytd</w:t>
            </w:r>
            <w:proofErr w:type="spellEnd"/>
            <w:r w:rsidRPr="0006038B">
              <w:rPr>
                <w:rFonts w:eastAsiaTheme="minorHAnsi" w:cs="Arial"/>
                <w:sz w:val="18"/>
                <w:szCs w:val="18"/>
                <w:lang w:eastAsia="en-US"/>
              </w:rPr>
              <w:t>)</w:t>
            </w:r>
          </w:p>
        </w:tc>
      </w:tr>
      <w:tr w:rsidR="0007214B" w:rsidRPr="008B08E3" w14:paraId="6E7F9E33" w14:textId="77777777" w:rsidTr="0007214B">
        <w:trPr>
          <w:trHeight w:val="95"/>
        </w:trPr>
        <w:tc>
          <w:tcPr>
            <w:tcW w:w="3109" w:type="dxa"/>
            <w:tcBorders>
              <w:top w:val="nil"/>
              <w:left w:val="single" w:sz="8" w:space="0" w:color="auto"/>
              <w:bottom w:val="single" w:sz="4" w:space="0" w:color="auto"/>
              <w:right w:val="single" w:sz="4" w:space="0" w:color="auto"/>
            </w:tcBorders>
            <w:shd w:val="clear" w:color="auto" w:fill="auto"/>
            <w:vAlign w:val="center"/>
          </w:tcPr>
          <w:p w14:paraId="5A3D7F47"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 xml:space="preserve">Days between a local authority receiving court </w:t>
            </w:r>
          </w:p>
          <w:p w14:paraId="0448A2CF"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authority to place a child and the local authority deciding  on a match to an adoptive family (days)</w:t>
            </w:r>
          </w:p>
        </w:tc>
        <w:tc>
          <w:tcPr>
            <w:tcW w:w="992" w:type="dxa"/>
            <w:tcBorders>
              <w:top w:val="nil"/>
              <w:left w:val="nil"/>
              <w:bottom w:val="single" w:sz="4" w:space="0" w:color="auto"/>
              <w:right w:val="single" w:sz="4" w:space="0" w:color="auto"/>
            </w:tcBorders>
            <w:vAlign w:val="center"/>
          </w:tcPr>
          <w:p w14:paraId="719A94C5" w14:textId="77777777" w:rsidR="0007214B" w:rsidRPr="0006038B" w:rsidRDefault="0007214B" w:rsidP="0007214B">
            <w:pPr>
              <w:jc w:val="center"/>
              <w:rPr>
                <w:rFonts w:cs="Arial"/>
                <w:sz w:val="18"/>
                <w:szCs w:val="18"/>
              </w:rPr>
            </w:pPr>
            <w:r w:rsidRPr="0006038B">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tcPr>
          <w:p w14:paraId="524A44E6" w14:textId="77777777" w:rsidR="0007214B" w:rsidRPr="0006038B" w:rsidRDefault="0007214B" w:rsidP="0007214B">
            <w:pPr>
              <w:spacing w:after="160" w:line="259" w:lineRule="auto"/>
              <w:jc w:val="center"/>
              <w:rPr>
                <w:rFonts w:eastAsiaTheme="minorHAnsi" w:cs="Arial"/>
                <w:color w:val="000000"/>
                <w:sz w:val="18"/>
                <w:szCs w:val="18"/>
                <w:lang w:eastAsia="en-US"/>
              </w:rPr>
            </w:pPr>
            <w:r w:rsidRPr="0006038B">
              <w:rPr>
                <w:rFonts w:eastAsiaTheme="minorHAnsi" w:cs="Arial"/>
                <w:color w:val="000000"/>
                <w:sz w:val="18"/>
                <w:szCs w:val="18"/>
                <w:lang w:eastAsia="en-US"/>
              </w:rPr>
              <w:t>397 days (Q3 16/17)</w:t>
            </w:r>
          </w:p>
        </w:tc>
        <w:tc>
          <w:tcPr>
            <w:tcW w:w="1134" w:type="dxa"/>
            <w:tcBorders>
              <w:top w:val="nil"/>
              <w:left w:val="single" w:sz="4" w:space="0" w:color="auto"/>
              <w:bottom w:val="single" w:sz="4" w:space="0" w:color="auto"/>
              <w:right w:val="nil"/>
            </w:tcBorders>
            <w:shd w:val="clear" w:color="000000" w:fill="FFFFFF"/>
            <w:noWrap/>
            <w:vAlign w:val="center"/>
          </w:tcPr>
          <w:p w14:paraId="064204CC"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173</w:t>
            </w:r>
          </w:p>
        </w:tc>
        <w:tc>
          <w:tcPr>
            <w:tcW w:w="992" w:type="dxa"/>
            <w:tcBorders>
              <w:top w:val="nil"/>
              <w:left w:val="single" w:sz="4" w:space="0" w:color="auto"/>
              <w:bottom w:val="single" w:sz="4" w:space="0" w:color="auto"/>
              <w:right w:val="nil"/>
            </w:tcBorders>
            <w:shd w:val="clear" w:color="000000" w:fill="FFFFFF"/>
            <w:noWrap/>
            <w:vAlign w:val="center"/>
          </w:tcPr>
          <w:p w14:paraId="2DBEC666"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283</w:t>
            </w:r>
          </w:p>
        </w:tc>
        <w:tc>
          <w:tcPr>
            <w:tcW w:w="1044" w:type="dxa"/>
            <w:tcBorders>
              <w:top w:val="nil"/>
              <w:left w:val="single" w:sz="4" w:space="0" w:color="auto"/>
              <w:bottom w:val="single" w:sz="4" w:space="0" w:color="auto"/>
              <w:right w:val="single" w:sz="4" w:space="0" w:color="auto"/>
            </w:tcBorders>
            <w:shd w:val="clear" w:color="auto" w:fill="auto"/>
            <w:noWrap/>
            <w:vAlign w:val="center"/>
          </w:tcPr>
          <w:p w14:paraId="0ACE0B0E" w14:textId="77777777" w:rsidR="0007214B" w:rsidRPr="0006038B" w:rsidRDefault="0007214B" w:rsidP="0007214B">
            <w:pPr>
              <w:jc w:val="center"/>
              <w:rPr>
                <w:rFonts w:cs="Arial"/>
                <w:sz w:val="18"/>
                <w:szCs w:val="18"/>
              </w:rPr>
            </w:pPr>
            <w:r w:rsidRPr="0006038B">
              <w:rPr>
                <w:rFonts w:cs="Arial"/>
                <w:sz w:val="18"/>
                <w:szCs w:val="18"/>
              </w:rPr>
              <w:t>102</w:t>
            </w:r>
          </w:p>
        </w:tc>
        <w:tc>
          <w:tcPr>
            <w:tcW w:w="1618" w:type="dxa"/>
            <w:tcBorders>
              <w:top w:val="nil"/>
              <w:left w:val="single" w:sz="4" w:space="0" w:color="auto"/>
              <w:bottom w:val="single" w:sz="4" w:space="0" w:color="auto"/>
              <w:right w:val="single" w:sz="4" w:space="0" w:color="auto"/>
            </w:tcBorders>
            <w:shd w:val="clear" w:color="000000" w:fill="D8E4BC"/>
            <w:noWrap/>
            <w:vAlign w:val="center"/>
          </w:tcPr>
          <w:p w14:paraId="1D8ABCF4"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167 (</w:t>
            </w:r>
            <w:proofErr w:type="spellStart"/>
            <w:r w:rsidRPr="0006038B">
              <w:rPr>
                <w:rFonts w:eastAsiaTheme="minorHAnsi" w:cs="Arial"/>
                <w:sz w:val="18"/>
                <w:szCs w:val="18"/>
                <w:lang w:eastAsia="en-US"/>
              </w:rPr>
              <w:t>ytd</w:t>
            </w:r>
            <w:proofErr w:type="spellEnd"/>
            <w:r w:rsidRPr="0006038B">
              <w:rPr>
                <w:rFonts w:eastAsiaTheme="minorHAnsi" w:cs="Arial"/>
                <w:sz w:val="18"/>
                <w:szCs w:val="18"/>
                <w:lang w:eastAsia="en-US"/>
              </w:rPr>
              <w:t>)</w:t>
            </w:r>
          </w:p>
        </w:tc>
      </w:tr>
      <w:tr w:rsidR="0007214B" w:rsidRPr="008B08E3" w14:paraId="5D7A9E06" w14:textId="77777777" w:rsidTr="0007214B">
        <w:trPr>
          <w:trHeight w:val="95"/>
        </w:trPr>
        <w:tc>
          <w:tcPr>
            <w:tcW w:w="10023" w:type="dxa"/>
            <w:gridSpan w:val="7"/>
            <w:tcBorders>
              <w:top w:val="nil"/>
              <w:left w:val="single" w:sz="8" w:space="0" w:color="auto"/>
              <w:bottom w:val="single" w:sz="4" w:space="0" w:color="auto"/>
              <w:right w:val="single" w:sz="4" w:space="0" w:color="auto"/>
            </w:tcBorders>
            <w:shd w:val="clear" w:color="auto" w:fill="D9D9D9" w:themeFill="background1" w:themeFillShade="D9"/>
            <w:vAlign w:val="center"/>
          </w:tcPr>
          <w:p w14:paraId="30E50842" w14:textId="77777777" w:rsidR="0007214B" w:rsidRPr="0006038B" w:rsidRDefault="0007214B" w:rsidP="0007214B">
            <w:pPr>
              <w:jc w:val="center"/>
              <w:rPr>
                <w:rFonts w:eastAsiaTheme="minorHAnsi" w:cs="Arial"/>
                <w:b/>
                <w:sz w:val="18"/>
                <w:szCs w:val="18"/>
                <w:lang w:eastAsia="en-US"/>
              </w:rPr>
            </w:pPr>
            <w:r w:rsidRPr="0006038B">
              <w:rPr>
                <w:rFonts w:eastAsiaTheme="minorHAnsi" w:cs="Arial"/>
                <w:b/>
                <w:sz w:val="18"/>
                <w:szCs w:val="18"/>
                <w:lang w:eastAsia="en-US"/>
              </w:rPr>
              <w:t>Youth Justice</w:t>
            </w:r>
          </w:p>
        </w:tc>
      </w:tr>
      <w:tr w:rsidR="0007214B" w:rsidRPr="008B08E3" w14:paraId="0D9287ED" w14:textId="77777777" w:rsidTr="0007214B">
        <w:trPr>
          <w:trHeight w:val="95"/>
        </w:trPr>
        <w:tc>
          <w:tcPr>
            <w:tcW w:w="3109" w:type="dxa"/>
            <w:tcBorders>
              <w:top w:val="nil"/>
              <w:left w:val="single" w:sz="8" w:space="0" w:color="auto"/>
              <w:bottom w:val="single" w:sz="4" w:space="0" w:color="auto"/>
              <w:right w:val="single" w:sz="4" w:space="0" w:color="auto"/>
            </w:tcBorders>
            <w:shd w:val="clear" w:color="auto" w:fill="auto"/>
            <w:vAlign w:val="center"/>
          </w:tcPr>
          <w:p w14:paraId="440D220C"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Rate per 100,000 of first time entrants to youth</w:t>
            </w:r>
          </w:p>
          <w:p w14:paraId="46E00658"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justice system</w:t>
            </w:r>
          </w:p>
        </w:tc>
        <w:tc>
          <w:tcPr>
            <w:tcW w:w="992" w:type="dxa"/>
            <w:tcBorders>
              <w:top w:val="nil"/>
              <w:left w:val="nil"/>
              <w:bottom w:val="single" w:sz="4" w:space="0" w:color="auto"/>
              <w:right w:val="single" w:sz="4" w:space="0" w:color="auto"/>
            </w:tcBorders>
            <w:vAlign w:val="center"/>
          </w:tcPr>
          <w:p w14:paraId="1B602B99" w14:textId="77777777" w:rsidR="0007214B" w:rsidRPr="0006038B" w:rsidRDefault="0007214B" w:rsidP="0007214B">
            <w:pPr>
              <w:jc w:val="center"/>
              <w:rPr>
                <w:rFonts w:cs="Arial"/>
                <w:sz w:val="18"/>
                <w:szCs w:val="18"/>
              </w:rPr>
            </w:pPr>
            <w:r w:rsidRPr="0006038B">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tcPr>
          <w:p w14:paraId="537546F3" w14:textId="77777777" w:rsidR="0007214B" w:rsidRPr="0006038B" w:rsidRDefault="0007214B" w:rsidP="0007214B">
            <w:pPr>
              <w:jc w:val="center"/>
              <w:rPr>
                <w:rFonts w:cs="Arial"/>
                <w:sz w:val="18"/>
                <w:szCs w:val="18"/>
              </w:rPr>
            </w:pPr>
            <w:r w:rsidRPr="0006038B">
              <w:rPr>
                <w:rFonts w:cs="Arial"/>
                <w:sz w:val="18"/>
                <w:szCs w:val="18"/>
              </w:rPr>
              <w:t>309  (Jul 15 - Jun 16)</w:t>
            </w:r>
          </w:p>
        </w:tc>
        <w:tc>
          <w:tcPr>
            <w:tcW w:w="1134" w:type="dxa"/>
            <w:tcBorders>
              <w:top w:val="nil"/>
              <w:left w:val="single" w:sz="4" w:space="0" w:color="auto"/>
              <w:bottom w:val="single" w:sz="4" w:space="0" w:color="auto"/>
              <w:right w:val="nil"/>
            </w:tcBorders>
            <w:shd w:val="clear" w:color="000000" w:fill="FFFFFF"/>
            <w:noWrap/>
            <w:vAlign w:val="center"/>
          </w:tcPr>
          <w:p w14:paraId="552FC539" w14:textId="77777777" w:rsidR="0007214B" w:rsidRPr="0006038B" w:rsidRDefault="0007214B" w:rsidP="0007214B">
            <w:pPr>
              <w:jc w:val="center"/>
              <w:rPr>
                <w:rFonts w:cs="Arial"/>
                <w:sz w:val="18"/>
                <w:szCs w:val="18"/>
              </w:rPr>
            </w:pPr>
            <w:r w:rsidRPr="0006038B">
              <w:rPr>
                <w:rFonts w:cs="Arial"/>
                <w:sz w:val="18"/>
                <w:szCs w:val="18"/>
              </w:rPr>
              <w:t>228</w:t>
            </w:r>
          </w:p>
        </w:tc>
        <w:tc>
          <w:tcPr>
            <w:tcW w:w="992" w:type="dxa"/>
            <w:tcBorders>
              <w:top w:val="nil"/>
              <w:left w:val="single" w:sz="4" w:space="0" w:color="auto"/>
              <w:bottom w:val="single" w:sz="4" w:space="0" w:color="auto"/>
              <w:right w:val="nil"/>
            </w:tcBorders>
            <w:shd w:val="clear" w:color="000000" w:fill="FFFFFF"/>
            <w:noWrap/>
            <w:vAlign w:val="center"/>
          </w:tcPr>
          <w:p w14:paraId="24ADF998" w14:textId="77777777" w:rsidR="0007214B" w:rsidRPr="0006038B" w:rsidRDefault="0007214B" w:rsidP="0007214B">
            <w:pPr>
              <w:jc w:val="center"/>
              <w:rPr>
                <w:rFonts w:cs="Arial"/>
                <w:sz w:val="18"/>
                <w:szCs w:val="18"/>
              </w:rPr>
            </w:pPr>
            <w:r w:rsidRPr="0006038B">
              <w:rPr>
                <w:rFonts w:cs="Arial"/>
                <w:sz w:val="18"/>
                <w:szCs w:val="18"/>
              </w:rPr>
              <w:t>215</w:t>
            </w:r>
          </w:p>
        </w:tc>
        <w:tc>
          <w:tcPr>
            <w:tcW w:w="1044" w:type="dxa"/>
            <w:tcBorders>
              <w:top w:val="nil"/>
              <w:left w:val="single" w:sz="4" w:space="0" w:color="auto"/>
              <w:bottom w:val="single" w:sz="4" w:space="0" w:color="auto"/>
              <w:right w:val="single" w:sz="4" w:space="0" w:color="auto"/>
            </w:tcBorders>
            <w:shd w:val="clear" w:color="auto" w:fill="auto"/>
            <w:noWrap/>
            <w:vAlign w:val="center"/>
          </w:tcPr>
          <w:p w14:paraId="414D068C" w14:textId="77777777" w:rsidR="0007214B" w:rsidRPr="0006038B" w:rsidRDefault="0007214B" w:rsidP="0007214B">
            <w:pPr>
              <w:jc w:val="center"/>
              <w:rPr>
                <w:rFonts w:cs="Arial"/>
                <w:sz w:val="18"/>
                <w:szCs w:val="18"/>
              </w:rPr>
            </w:pPr>
            <w:r w:rsidRPr="0006038B">
              <w:rPr>
                <w:rFonts w:cs="Arial"/>
                <w:sz w:val="18"/>
                <w:szCs w:val="18"/>
              </w:rPr>
              <w:t>204</w:t>
            </w:r>
          </w:p>
        </w:tc>
        <w:tc>
          <w:tcPr>
            <w:tcW w:w="1618" w:type="dxa"/>
            <w:tcBorders>
              <w:top w:val="nil"/>
              <w:left w:val="single" w:sz="4" w:space="0" w:color="auto"/>
              <w:bottom w:val="single" w:sz="4" w:space="0" w:color="auto"/>
              <w:right w:val="single" w:sz="4" w:space="0" w:color="auto"/>
            </w:tcBorders>
            <w:shd w:val="clear" w:color="auto" w:fill="D8E4BC"/>
            <w:noWrap/>
            <w:vAlign w:val="center"/>
          </w:tcPr>
          <w:p w14:paraId="430109E4" w14:textId="77777777" w:rsidR="0007214B" w:rsidRPr="0006038B" w:rsidRDefault="0007214B" w:rsidP="0007214B">
            <w:pPr>
              <w:spacing w:after="160" w:line="259" w:lineRule="auto"/>
              <w:jc w:val="center"/>
              <w:rPr>
                <w:rFonts w:eastAsiaTheme="minorHAnsi" w:cs="Arial"/>
                <w:color w:val="000000"/>
                <w:sz w:val="18"/>
                <w:szCs w:val="18"/>
                <w:lang w:eastAsia="en-US"/>
              </w:rPr>
            </w:pPr>
            <w:r w:rsidRPr="0006038B">
              <w:rPr>
                <w:rFonts w:eastAsiaTheme="minorHAnsi" w:cs="Arial"/>
                <w:color w:val="000000"/>
                <w:sz w:val="18"/>
                <w:szCs w:val="18"/>
                <w:lang w:eastAsia="en-US"/>
              </w:rPr>
              <w:t>204  (Jul 16 - Jun 17)</w:t>
            </w:r>
          </w:p>
          <w:p w14:paraId="19E55249" w14:textId="77777777" w:rsidR="0007214B" w:rsidRPr="0006038B" w:rsidRDefault="0007214B" w:rsidP="0007214B">
            <w:pPr>
              <w:jc w:val="center"/>
              <w:rPr>
                <w:rFonts w:cs="Arial"/>
                <w:color w:val="000000"/>
                <w:sz w:val="18"/>
                <w:szCs w:val="18"/>
              </w:rPr>
            </w:pPr>
          </w:p>
        </w:tc>
      </w:tr>
      <w:tr w:rsidR="0007214B" w:rsidRPr="008B08E3" w14:paraId="1026AFD9" w14:textId="77777777" w:rsidTr="001162CD">
        <w:trPr>
          <w:trHeight w:val="95"/>
        </w:trPr>
        <w:tc>
          <w:tcPr>
            <w:tcW w:w="3109" w:type="dxa"/>
            <w:tcBorders>
              <w:top w:val="nil"/>
              <w:left w:val="single" w:sz="8" w:space="0" w:color="auto"/>
              <w:bottom w:val="single" w:sz="4" w:space="0" w:color="auto"/>
              <w:right w:val="single" w:sz="4" w:space="0" w:color="auto"/>
            </w:tcBorders>
            <w:shd w:val="clear" w:color="auto" w:fill="auto"/>
            <w:vAlign w:val="center"/>
          </w:tcPr>
          <w:p w14:paraId="49753490"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 of YP reoffending</w:t>
            </w:r>
          </w:p>
        </w:tc>
        <w:tc>
          <w:tcPr>
            <w:tcW w:w="992" w:type="dxa"/>
            <w:tcBorders>
              <w:top w:val="nil"/>
              <w:left w:val="nil"/>
              <w:bottom w:val="single" w:sz="4" w:space="0" w:color="auto"/>
              <w:right w:val="single" w:sz="4" w:space="0" w:color="auto"/>
            </w:tcBorders>
            <w:vAlign w:val="center"/>
          </w:tcPr>
          <w:p w14:paraId="306E4B42" w14:textId="77777777" w:rsidR="0007214B" w:rsidRPr="0006038B" w:rsidRDefault="0007214B" w:rsidP="0007214B">
            <w:pPr>
              <w:jc w:val="center"/>
              <w:rPr>
                <w:rFonts w:cs="Arial"/>
                <w:sz w:val="18"/>
                <w:szCs w:val="18"/>
              </w:rPr>
            </w:pPr>
            <w:r w:rsidRPr="0006038B">
              <w:rPr>
                <w:rFonts w:cs="Arial"/>
                <w:sz w:val="18"/>
                <w:szCs w:val="18"/>
              </w:rPr>
              <w:t>L</w:t>
            </w:r>
          </w:p>
        </w:tc>
        <w:tc>
          <w:tcPr>
            <w:tcW w:w="1134" w:type="dxa"/>
            <w:tcBorders>
              <w:top w:val="nil"/>
              <w:left w:val="single" w:sz="4" w:space="0" w:color="auto"/>
              <w:bottom w:val="single" w:sz="4" w:space="0" w:color="auto"/>
              <w:right w:val="nil"/>
            </w:tcBorders>
            <w:shd w:val="clear" w:color="000000" w:fill="FFFFFF"/>
            <w:noWrap/>
            <w:vAlign w:val="center"/>
          </w:tcPr>
          <w:p w14:paraId="1249FFBE" w14:textId="77777777" w:rsidR="0007214B" w:rsidRPr="0006038B" w:rsidRDefault="0007214B" w:rsidP="0007214B">
            <w:pPr>
              <w:jc w:val="center"/>
              <w:rPr>
                <w:rFonts w:cs="Arial"/>
                <w:sz w:val="18"/>
                <w:szCs w:val="18"/>
              </w:rPr>
            </w:pPr>
            <w:r w:rsidRPr="0006038B">
              <w:rPr>
                <w:rFonts w:cs="Arial"/>
                <w:sz w:val="18"/>
                <w:szCs w:val="18"/>
              </w:rPr>
              <w:t>41.8%  (Oct 13 - Sept 14)</w:t>
            </w:r>
          </w:p>
        </w:tc>
        <w:tc>
          <w:tcPr>
            <w:tcW w:w="1134" w:type="dxa"/>
            <w:tcBorders>
              <w:top w:val="nil"/>
              <w:left w:val="single" w:sz="4" w:space="0" w:color="auto"/>
              <w:bottom w:val="single" w:sz="4" w:space="0" w:color="auto"/>
              <w:right w:val="nil"/>
            </w:tcBorders>
            <w:shd w:val="clear" w:color="000000" w:fill="FFFFFF"/>
            <w:noWrap/>
            <w:vAlign w:val="center"/>
          </w:tcPr>
          <w:p w14:paraId="3BE4CA8E"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42.1%</w:t>
            </w:r>
          </w:p>
        </w:tc>
        <w:tc>
          <w:tcPr>
            <w:tcW w:w="992" w:type="dxa"/>
            <w:tcBorders>
              <w:top w:val="nil"/>
              <w:left w:val="single" w:sz="4" w:space="0" w:color="auto"/>
              <w:bottom w:val="single" w:sz="4" w:space="0" w:color="auto"/>
              <w:right w:val="nil"/>
            </w:tcBorders>
            <w:shd w:val="clear" w:color="000000" w:fill="FFFFFF"/>
            <w:noWrap/>
            <w:vAlign w:val="center"/>
          </w:tcPr>
          <w:p w14:paraId="533B7BB5" w14:textId="77777777" w:rsidR="0007214B" w:rsidRPr="0006038B" w:rsidRDefault="0007214B" w:rsidP="0007214B">
            <w:pPr>
              <w:jc w:val="center"/>
              <w:rPr>
                <w:rFonts w:cs="Arial"/>
                <w:sz w:val="18"/>
                <w:szCs w:val="18"/>
              </w:rPr>
            </w:pPr>
            <w:r w:rsidRPr="0006038B">
              <w:rPr>
                <w:rFonts w:eastAsiaTheme="minorHAnsi" w:cs="Arial"/>
                <w:sz w:val="18"/>
                <w:szCs w:val="18"/>
                <w:lang w:eastAsia="en-US"/>
              </w:rPr>
              <w:t>42.3%</w:t>
            </w:r>
          </w:p>
        </w:tc>
        <w:tc>
          <w:tcPr>
            <w:tcW w:w="1044" w:type="dxa"/>
            <w:tcBorders>
              <w:top w:val="nil"/>
              <w:left w:val="single" w:sz="4" w:space="0" w:color="auto"/>
              <w:bottom w:val="single" w:sz="4" w:space="0" w:color="auto"/>
              <w:right w:val="single" w:sz="4" w:space="0" w:color="auto"/>
            </w:tcBorders>
            <w:shd w:val="clear" w:color="auto" w:fill="auto"/>
            <w:noWrap/>
            <w:vAlign w:val="center"/>
          </w:tcPr>
          <w:p w14:paraId="2C05AB97" w14:textId="77777777" w:rsidR="0007214B" w:rsidRPr="0006038B" w:rsidRDefault="0007214B" w:rsidP="0007214B">
            <w:pPr>
              <w:jc w:val="center"/>
              <w:rPr>
                <w:rFonts w:cs="Arial"/>
                <w:sz w:val="18"/>
                <w:szCs w:val="18"/>
              </w:rPr>
            </w:pPr>
            <w:r w:rsidRPr="0006038B">
              <w:rPr>
                <w:rFonts w:cs="Arial"/>
                <w:sz w:val="18"/>
                <w:szCs w:val="18"/>
              </w:rPr>
              <w:t>43.0%</w:t>
            </w:r>
          </w:p>
        </w:tc>
        <w:tc>
          <w:tcPr>
            <w:tcW w:w="1618"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70949BB7" w14:textId="77777777" w:rsidR="0007214B" w:rsidRPr="0006038B" w:rsidRDefault="0007214B" w:rsidP="0007214B">
            <w:pPr>
              <w:jc w:val="center"/>
              <w:rPr>
                <w:rFonts w:cs="Arial"/>
                <w:color w:val="000000"/>
                <w:sz w:val="18"/>
                <w:szCs w:val="18"/>
              </w:rPr>
            </w:pPr>
            <w:r w:rsidRPr="0006038B">
              <w:rPr>
                <w:rFonts w:cs="Arial"/>
                <w:color w:val="000000"/>
                <w:sz w:val="18"/>
                <w:szCs w:val="18"/>
              </w:rPr>
              <w:t>43%  (Oct 15 - Dec 15)</w:t>
            </w:r>
          </w:p>
        </w:tc>
      </w:tr>
      <w:tr w:rsidR="0007214B" w:rsidRPr="008B08E3" w14:paraId="7FECA16B" w14:textId="77777777" w:rsidTr="0007214B">
        <w:trPr>
          <w:trHeight w:val="95"/>
        </w:trPr>
        <w:tc>
          <w:tcPr>
            <w:tcW w:w="10023" w:type="dxa"/>
            <w:gridSpan w:val="7"/>
            <w:tcBorders>
              <w:top w:val="nil"/>
              <w:left w:val="single" w:sz="8" w:space="0" w:color="auto"/>
              <w:bottom w:val="single" w:sz="4" w:space="0" w:color="auto"/>
              <w:right w:val="single" w:sz="4" w:space="0" w:color="auto"/>
            </w:tcBorders>
            <w:shd w:val="clear" w:color="auto" w:fill="D9D9D9" w:themeFill="background1" w:themeFillShade="D9"/>
            <w:vAlign w:val="center"/>
          </w:tcPr>
          <w:p w14:paraId="3734CEC1" w14:textId="77777777" w:rsidR="0007214B" w:rsidRPr="0006038B" w:rsidRDefault="0007214B" w:rsidP="0007214B">
            <w:pPr>
              <w:jc w:val="center"/>
              <w:rPr>
                <w:rFonts w:cs="Arial"/>
                <w:b/>
                <w:color w:val="000000"/>
                <w:sz w:val="18"/>
                <w:szCs w:val="18"/>
              </w:rPr>
            </w:pPr>
            <w:r w:rsidRPr="0006038B">
              <w:rPr>
                <w:rFonts w:cs="Arial"/>
                <w:b/>
                <w:color w:val="000000"/>
                <w:sz w:val="18"/>
                <w:szCs w:val="18"/>
              </w:rPr>
              <w:t>Special Educational Needs and Disabilities</w:t>
            </w:r>
          </w:p>
        </w:tc>
      </w:tr>
      <w:tr w:rsidR="0007214B" w:rsidRPr="008B08E3" w14:paraId="247E1630" w14:textId="77777777" w:rsidTr="0007214B">
        <w:trPr>
          <w:trHeight w:val="95"/>
        </w:trPr>
        <w:tc>
          <w:tcPr>
            <w:tcW w:w="3109" w:type="dxa"/>
            <w:tcBorders>
              <w:top w:val="single" w:sz="4" w:space="0" w:color="auto"/>
              <w:left w:val="single" w:sz="8" w:space="0" w:color="auto"/>
              <w:bottom w:val="single" w:sz="4" w:space="0" w:color="auto"/>
              <w:right w:val="single" w:sz="4" w:space="0" w:color="auto"/>
            </w:tcBorders>
            <w:shd w:val="clear" w:color="auto" w:fill="auto"/>
            <w:vAlign w:val="center"/>
          </w:tcPr>
          <w:p w14:paraId="33F987DF" w14:textId="77777777" w:rsidR="0007214B" w:rsidRPr="0006038B" w:rsidRDefault="0007214B" w:rsidP="0007214B">
            <w:pPr>
              <w:rPr>
                <w:rFonts w:eastAsiaTheme="minorHAnsi" w:cs="Arial"/>
                <w:sz w:val="18"/>
                <w:szCs w:val="18"/>
                <w:lang w:eastAsia="en-US"/>
              </w:rPr>
            </w:pPr>
            <w:r w:rsidRPr="0006038B">
              <w:rPr>
                <w:rFonts w:eastAsiaTheme="minorHAnsi" w:cs="Arial"/>
                <w:sz w:val="18"/>
                <w:szCs w:val="18"/>
                <w:lang w:eastAsia="en-US"/>
              </w:rPr>
              <w:t>Rolling average S</w:t>
            </w:r>
            <w:r>
              <w:rPr>
                <w:rFonts w:eastAsiaTheme="minorHAnsi" w:cs="Arial"/>
                <w:sz w:val="18"/>
                <w:szCs w:val="18"/>
                <w:lang w:eastAsia="en-US"/>
              </w:rPr>
              <w:t xml:space="preserve">pecial </w:t>
            </w:r>
            <w:r w:rsidRPr="0006038B">
              <w:rPr>
                <w:rFonts w:eastAsiaTheme="minorHAnsi" w:cs="Arial"/>
                <w:sz w:val="18"/>
                <w:szCs w:val="18"/>
                <w:lang w:eastAsia="en-US"/>
              </w:rPr>
              <w:t>E</w:t>
            </w:r>
            <w:r>
              <w:rPr>
                <w:rFonts w:eastAsiaTheme="minorHAnsi" w:cs="Arial"/>
                <w:sz w:val="18"/>
                <w:szCs w:val="18"/>
                <w:lang w:eastAsia="en-US"/>
              </w:rPr>
              <w:t xml:space="preserve">ducational Needs </w:t>
            </w:r>
            <w:r w:rsidRPr="0006038B">
              <w:rPr>
                <w:rFonts w:eastAsiaTheme="minorHAnsi" w:cs="Arial"/>
                <w:sz w:val="18"/>
                <w:szCs w:val="18"/>
                <w:lang w:eastAsia="en-US"/>
              </w:rPr>
              <w:t xml:space="preserve">statements </w:t>
            </w:r>
            <w:r w:rsidRPr="0006038B">
              <w:rPr>
                <w:rFonts w:eastAsiaTheme="minorHAnsi" w:cs="Arial"/>
                <w:sz w:val="18"/>
                <w:szCs w:val="18"/>
                <w:lang w:eastAsia="en-US"/>
              </w:rPr>
              <w:lastRenderedPageBreak/>
              <w:t>transferred to E</w:t>
            </w:r>
            <w:r>
              <w:rPr>
                <w:rFonts w:eastAsiaTheme="minorHAnsi" w:cs="Arial"/>
                <w:sz w:val="18"/>
                <w:szCs w:val="18"/>
                <w:lang w:eastAsia="en-US"/>
              </w:rPr>
              <w:t xml:space="preserve">ducation and </w:t>
            </w:r>
            <w:r w:rsidRPr="0006038B">
              <w:rPr>
                <w:rFonts w:eastAsiaTheme="minorHAnsi" w:cs="Arial"/>
                <w:sz w:val="18"/>
                <w:szCs w:val="18"/>
                <w:lang w:eastAsia="en-US"/>
              </w:rPr>
              <w:t>H</w:t>
            </w:r>
            <w:r>
              <w:rPr>
                <w:rFonts w:eastAsiaTheme="minorHAnsi" w:cs="Arial"/>
                <w:sz w:val="18"/>
                <w:szCs w:val="18"/>
                <w:lang w:eastAsia="en-US"/>
              </w:rPr>
              <w:t xml:space="preserve">ealth </w:t>
            </w:r>
            <w:r w:rsidRPr="0006038B">
              <w:rPr>
                <w:rFonts w:eastAsiaTheme="minorHAnsi" w:cs="Arial"/>
                <w:sz w:val="18"/>
                <w:szCs w:val="18"/>
                <w:lang w:eastAsia="en-US"/>
              </w:rPr>
              <w:t>C</w:t>
            </w:r>
            <w:r>
              <w:rPr>
                <w:rFonts w:eastAsiaTheme="minorHAnsi" w:cs="Arial"/>
                <w:sz w:val="18"/>
                <w:szCs w:val="18"/>
                <w:lang w:eastAsia="en-US"/>
              </w:rPr>
              <w:t>are</w:t>
            </w:r>
            <w:r w:rsidRPr="0006038B">
              <w:rPr>
                <w:rFonts w:eastAsiaTheme="minorHAnsi" w:cs="Arial"/>
                <w:sz w:val="18"/>
                <w:szCs w:val="18"/>
                <w:lang w:eastAsia="en-US"/>
              </w:rPr>
              <w:t xml:space="preserve"> plan</w:t>
            </w:r>
          </w:p>
        </w:tc>
        <w:tc>
          <w:tcPr>
            <w:tcW w:w="992" w:type="dxa"/>
            <w:tcBorders>
              <w:top w:val="single" w:sz="4" w:space="0" w:color="auto"/>
              <w:left w:val="nil"/>
              <w:bottom w:val="single" w:sz="4" w:space="0" w:color="auto"/>
              <w:right w:val="single" w:sz="4" w:space="0" w:color="auto"/>
            </w:tcBorders>
            <w:vAlign w:val="center"/>
          </w:tcPr>
          <w:p w14:paraId="06DE558D" w14:textId="77777777" w:rsidR="0007214B" w:rsidRPr="0006038B" w:rsidRDefault="0007214B" w:rsidP="0007214B">
            <w:pPr>
              <w:jc w:val="center"/>
              <w:rPr>
                <w:rFonts w:cs="Arial"/>
                <w:sz w:val="18"/>
                <w:szCs w:val="18"/>
              </w:rPr>
            </w:pPr>
            <w:r w:rsidRPr="0006038B">
              <w:rPr>
                <w:rFonts w:cs="Arial"/>
                <w:sz w:val="18"/>
                <w:szCs w:val="18"/>
              </w:rPr>
              <w:lastRenderedPageBreak/>
              <w:t>H</w:t>
            </w:r>
          </w:p>
        </w:tc>
        <w:tc>
          <w:tcPr>
            <w:tcW w:w="1134" w:type="dxa"/>
            <w:tcBorders>
              <w:top w:val="single" w:sz="4" w:space="0" w:color="auto"/>
              <w:left w:val="single" w:sz="4" w:space="0" w:color="auto"/>
              <w:bottom w:val="single" w:sz="4" w:space="0" w:color="auto"/>
              <w:right w:val="nil"/>
            </w:tcBorders>
            <w:shd w:val="clear" w:color="000000" w:fill="FFFFFF"/>
            <w:noWrap/>
            <w:vAlign w:val="center"/>
          </w:tcPr>
          <w:p w14:paraId="1A84A60A" w14:textId="77777777" w:rsidR="0007214B" w:rsidRPr="0006038B" w:rsidRDefault="0007214B" w:rsidP="0007214B">
            <w:pPr>
              <w:jc w:val="center"/>
              <w:rPr>
                <w:rFonts w:cs="Arial"/>
                <w:sz w:val="18"/>
                <w:szCs w:val="18"/>
              </w:rPr>
            </w:pPr>
            <w:r>
              <w:rPr>
                <w:rFonts w:cs="Arial"/>
                <w:sz w:val="18"/>
                <w:szCs w:val="18"/>
              </w:rPr>
              <w:t>233</w:t>
            </w:r>
          </w:p>
        </w:tc>
        <w:tc>
          <w:tcPr>
            <w:tcW w:w="1134" w:type="dxa"/>
            <w:tcBorders>
              <w:top w:val="single" w:sz="4" w:space="0" w:color="auto"/>
              <w:left w:val="single" w:sz="4" w:space="0" w:color="auto"/>
              <w:bottom w:val="single" w:sz="4" w:space="0" w:color="auto"/>
              <w:right w:val="nil"/>
            </w:tcBorders>
            <w:shd w:val="clear" w:color="000000" w:fill="FFFFFF"/>
            <w:noWrap/>
            <w:vAlign w:val="center"/>
          </w:tcPr>
          <w:p w14:paraId="6DE2A0BA" w14:textId="77777777" w:rsidR="0007214B" w:rsidRPr="0006038B" w:rsidRDefault="0007214B" w:rsidP="0007214B">
            <w:pPr>
              <w:jc w:val="center"/>
              <w:rPr>
                <w:rFonts w:eastAsiaTheme="minorHAnsi" w:cs="Arial"/>
                <w:sz w:val="18"/>
                <w:szCs w:val="18"/>
                <w:lang w:eastAsia="en-US"/>
              </w:rPr>
            </w:pPr>
            <w:r w:rsidRPr="0006038B">
              <w:rPr>
                <w:rFonts w:eastAsiaTheme="minorHAnsi" w:cs="Arial"/>
                <w:sz w:val="18"/>
                <w:szCs w:val="18"/>
                <w:lang w:eastAsia="en-US"/>
              </w:rPr>
              <w:t>236</w:t>
            </w:r>
          </w:p>
        </w:tc>
        <w:tc>
          <w:tcPr>
            <w:tcW w:w="992" w:type="dxa"/>
            <w:tcBorders>
              <w:top w:val="single" w:sz="4" w:space="0" w:color="auto"/>
              <w:left w:val="single" w:sz="4" w:space="0" w:color="auto"/>
              <w:bottom w:val="single" w:sz="4" w:space="0" w:color="auto"/>
              <w:right w:val="nil"/>
            </w:tcBorders>
            <w:shd w:val="clear" w:color="000000" w:fill="FFFFFF"/>
            <w:noWrap/>
            <w:vAlign w:val="center"/>
          </w:tcPr>
          <w:p w14:paraId="2A3CEA45" w14:textId="77777777" w:rsidR="0007214B" w:rsidRPr="0006038B" w:rsidRDefault="0007214B" w:rsidP="0007214B">
            <w:pPr>
              <w:jc w:val="center"/>
              <w:rPr>
                <w:rFonts w:eastAsiaTheme="minorHAnsi" w:cs="Arial"/>
                <w:sz w:val="18"/>
                <w:szCs w:val="18"/>
                <w:lang w:eastAsia="en-US"/>
              </w:rPr>
            </w:pPr>
            <w:r w:rsidRPr="0006038B">
              <w:rPr>
                <w:rFonts w:eastAsiaTheme="minorHAnsi" w:cs="Arial"/>
                <w:sz w:val="18"/>
                <w:szCs w:val="18"/>
                <w:lang w:eastAsia="en-US"/>
              </w:rPr>
              <w:t>257</w:t>
            </w:r>
          </w:p>
        </w:tc>
        <w:tc>
          <w:tcPr>
            <w:tcW w:w="1044" w:type="dxa"/>
            <w:tcBorders>
              <w:top w:val="nil"/>
              <w:left w:val="single" w:sz="4" w:space="0" w:color="auto"/>
              <w:bottom w:val="single" w:sz="4" w:space="0" w:color="auto"/>
              <w:right w:val="single" w:sz="4" w:space="0" w:color="auto"/>
            </w:tcBorders>
            <w:shd w:val="clear" w:color="auto" w:fill="auto"/>
            <w:noWrap/>
            <w:vAlign w:val="center"/>
          </w:tcPr>
          <w:p w14:paraId="7DF425B7" w14:textId="77777777" w:rsidR="0007214B" w:rsidRPr="0006038B" w:rsidRDefault="0007214B" w:rsidP="0007214B">
            <w:pPr>
              <w:jc w:val="center"/>
              <w:rPr>
                <w:rFonts w:cs="Arial"/>
                <w:sz w:val="18"/>
                <w:szCs w:val="18"/>
              </w:rPr>
            </w:pPr>
            <w:r w:rsidRPr="0006038B">
              <w:rPr>
                <w:rFonts w:cs="Arial"/>
                <w:sz w:val="18"/>
                <w:szCs w:val="18"/>
              </w:rPr>
              <w:t>293</w:t>
            </w:r>
          </w:p>
        </w:tc>
        <w:tc>
          <w:tcPr>
            <w:tcW w:w="1618" w:type="dxa"/>
            <w:tcBorders>
              <w:top w:val="nil"/>
              <w:left w:val="single" w:sz="4" w:space="0" w:color="auto"/>
              <w:bottom w:val="single" w:sz="4" w:space="0" w:color="auto"/>
              <w:right w:val="single" w:sz="4" w:space="0" w:color="auto"/>
            </w:tcBorders>
            <w:shd w:val="clear" w:color="auto" w:fill="D8E4BC"/>
            <w:noWrap/>
            <w:vAlign w:val="center"/>
          </w:tcPr>
          <w:p w14:paraId="1A57D6B8" w14:textId="77777777" w:rsidR="0007214B" w:rsidRPr="0006038B" w:rsidRDefault="0007214B" w:rsidP="0007214B">
            <w:pPr>
              <w:jc w:val="center"/>
              <w:rPr>
                <w:rFonts w:cs="Arial"/>
                <w:sz w:val="18"/>
                <w:szCs w:val="18"/>
              </w:rPr>
            </w:pPr>
            <w:r w:rsidRPr="0006038B">
              <w:rPr>
                <w:rFonts w:cs="Arial"/>
                <w:sz w:val="18"/>
                <w:szCs w:val="18"/>
              </w:rPr>
              <w:t>293 (Sept 14-Jan 18)</w:t>
            </w:r>
          </w:p>
          <w:p w14:paraId="36D5006D" w14:textId="77777777" w:rsidR="0007214B" w:rsidRPr="0006038B" w:rsidRDefault="0007214B" w:rsidP="0007214B">
            <w:pPr>
              <w:jc w:val="center"/>
              <w:rPr>
                <w:rFonts w:cs="Arial"/>
                <w:sz w:val="18"/>
                <w:szCs w:val="18"/>
              </w:rPr>
            </w:pPr>
          </w:p>
        </w:tc>
      </w:tr>
    </w:tbl>
    <w:p w14:paraId="4887ED90" w14:textId="77777777" w:rsidR="008A3A4C" w:rsidRDefault="008A3A4C" w:rsidP="00592775">
      <w:pPr>
        <w:pStyle w:val="NoSpacing"/>
        <w:jc w:val="both"/>
        <w:rPr>
          <w:rFonts w:ascii="Arial" w:eastAsiaTheme="minorHAnsi" w:hAnsi="Arial" w:cs="Arial"/>
          <w:color w:val="000000" w:themeColor="text1"/>
          <w:lang w:eastAsia="en-US"/>
        </w:rPr>
      </w:pPr>
    </w:p>
    <w:p w14:paraId="21B176D2" w14:textId="77777777" w:rsidR="008A3A4C" w:rsidRDefault="008A3A4C" w:rsidP="00592775">
      <w:pPr>
        <w:pStyle w:val="NoSpacing"/>
        <w:jc w:val="both"/>
        <w:rPr>
          <w:rFonts w:ascii="Arial" w:eastAsiaTheme="minorHAnsi" w:hAnsi="Arial" w:cs="Arial"/>
          <w:color w:val="000000" w:themeColor="text1"/>
          <w:lang w:eastAsia="en-US"/>
        </w:rPr>
      </w:pPr>
    </w:p>
    <w:p w14:paraId="30281109" w14:textId="77777777" w:rsidR="008A3A4C" w:rsidRDefault="008A3A4C" w:rsidP="00592775">
      <w:pPr>
        <w:pStyle w:val="NoSpacing"/>
        <w:jc w:val="both"/>
        <w:rPr>
          <w:rFonts w:ascii="Arial" w:eastAsiaTheme="minorHAnsi" w:hAnsi="Arial" w:cs="Arial"/>
          <w:color w:val="000000" w:themeColor="text1"/>
          <w:lang w:eastAsia="en-US"/>
        </w:rPr>
      </w:pPr>
    </w:p>
    <w:p w14:paraId="64DA3CE1" w14:textId="77777777" w:rsidR="008A3A4C" w:rsidRPr="00592775" w:rsidRDefault="008A3A4C" w:rsidP="008A3A4C">
      <w:pPr>
        <w:pStyle w:val="NoSpacing"/>
        <w:jc w:val="both"/>
        <w:rPr>
          <w:rFonts w:ascii="Arial" w:eastAsiaTheme="minorHAnsi" w:hAnsi="Arial" w:cs="Arial"/>
          <w:i/>
          <w:color w:val="000000" w:themeColor="text1"/>
          <w:lang w:eastAsia="en-US"/>
        </w:rPr>
      </w:pPr>
      <w:r w:rsidRPr="00592775">
        <w:rPr>
          <w:rFonts w:ascii="Arial" w:eastAsiaTheme="minorHAnsi" w:hAnsi="Arial" w:cs="Arial"/>
          <w:i/>
          <w:color w:val="000000" w:themeColor="text1"/>
          <w:lang w:eastAsia="en-US"/>
        </w:rPr>
        <w:t>Adoptions</w:t>
      </w:r>
    </w:p>
    <w:p w14:paraId="1A640B29" w14:textId="0734F9C9" w:rsidR="008A3A4C" w:rsidRDefault="008A3A4C" w:rsidP="00592775">
      <w:pPr>
        <w:pStyle w:val="NoSpacing"/>
        <w:jc w:val="both"/>
        <w:rPr>
          <w:rFonts w:ascii="Arial" w:eastAsiaTheme="minorHAnsi" w:hAnsi="Arial" w:cs="Arial"/>
          <w:color w:val="000000" w:themeColor="text1"/>
          <w:lang w:eastAsia="en-US"/>
        </w:rPr>
      </w:pPr>
      <w:r w:rsidRPr="00592775">
        <w:rPr>
          <w:rFonts w:ascii="Arial" w:eastAsiaTheme="minorHAnsi" w:hAnsi="Arial" w:cs="Arial"/>
          <w:color w:val="000000" w:themeColor="text1"/>
          <w:lang w:eastAsia="en-US"/>
        </w:rPr>
        <w:t xml:space="preserve">The average time between a child entering care and moving in with their adoptive family has </w:t>
      </w:r>
    </w:p>
    <w:p w14:paraId="46CDAEF4" w14:textId="7B640E5D" w:rsidR="008B08E3" w:rsidRPr="00592775" w:rsidRDefault="00592775" w:rsidP="00592775">
      <w:pPr>
        <w:pStyle w:val="NoSpacing"/>
        <w:jc w:val="both"/>
        <w:rPr>
          <w:rFonts w:ascii="Arial" w:eastAsiaTheme="minorHAnsi" w:hAnsi="Arial" w:cs="Arial"/>
          <w:color w:val="000000" w:themeColor="text1"/>
          <w:lang w:eastAsia="en-US"/>
        </w:rPr>
      </w:pPr>
      <w:proofErr w:type="gramStart"/>
      <w:r w:rsidRPr="00592775">
        <w:rPr>
          <w:rFonts w:ascii="Arial" w:eastAsiaTheme="minorHAnsi" w:hAnsi="Arial" w:cs="Arial"/>
          <w:color w:val="000000" w:themeColor="text1"/>
          <w:lang w:eastAsia="en-US"/>
        </w:rPr>
        <w:t>improved</w:t>
      </w:r>
      <w:proofErr w:type="gramEnd"/>
      <w:r w:rsidR="008B08E3" w:rsidRPr="00592775">
        <w:rPr>
          <w:rFonts w:ascii="Arial" w:eastAsiaTheme="minorHAnsi" w:hAnsi="Arial" w:cs="Arial"/>
          <w:color w:val="000000" w:themeColor="text1"/>
          <w:lang w:eastAsia="en-US"/>
        </w:rPr>
        <w:t xml:space="preserve"> on</w:t>
      </w:r>
      <w:r w:rsidR="001C03E1" w:rsidRPr="00592775">
        <w:rPr>
          <w:rFonts w:ascii="Arial" w:eastAsiaTheme="minorHAnsi" w:hAnsi="Arial" w:cs="Arial"/>
          <w:color w:val="000000" w:themeColor="text1"/>
          <w:lang w:eastAsia="en-US"/>
        </w:rPr>
        <w:t xml:space="preserve"> the previous quarter</w:t>
      </w:r>
      <w:r w:rsidR="008B08E3" w:rsidRPr="00592775">
        <w:rPr>
          <w:rFonts w:ascii="Arial" w:eastAsiaTheme="minorHAnsi" w:hAnsi="Arial" w:cs="Arial"/>
          <w:color w:val="000000" w:themeColor="text1"/>
          <w:lang w:eastAsia="en-US"/>
        </w:rPr>
        <w:t>. The time taken for children to be matched with an adoptive family foll</w:t>
      </w:r>
      <w:r w:rsidR="001C03E1" w:rsidRPr="00592775">
        <w:rPr>
          <w:rFonts w:ascii="Arial" w:eastAsiaTheme="minorHAnsi" w:hAnsi="Arial" w:cs="Arial"/>
          <w:color w:val="000000" w:themeColor="text1"/>
          <w:lang w:eastAsia="en-US"/>
        </w:rPr>
        <w:t>owing a court authority has also decreased significantly. 76 percent</w:t>
      </w:r>
      <w:r w:rsidR="008B08E3" w:rsidRPr="00592775">
        <w:rPr>
          <w:rFonts w:ascii="Arial" w:eastAsiaTheme="minorHAnsi" w:hAnsi="Arial" w:cs="Arial"/>
          <w:color w:val="000000" w:themeColor="text1"/>
          <w:lang w:eastAsia="en-US"/>
        </w:rPr>
        <w:t xml:space="preserve"> of children waited less than 14 months between entering care and moving in with their adoptive family during quarter thre</w:t>
      </w:r>
      <w:r w:rsidR="001C03E1" w:rsidRPr="00592775">
        <w:rPr>
          <w:rFonts w:ascii="Arial" w:eastAsiaTheme="minorHAnsi" w:hAnsi="Arial" w:cs="Arial"/>
          <w:color w:val="000000" w:themeColor="text1"/>
          <w:lang w:eastAsia="en-US"/>
        </w:rPr>
        <w:t>e. So far in the reporting year</w:t>
      </w:r>
      <w:r w:rsidR="008B08E3" w:rsidRPr="00592775">
        <w:rPr>
          <w:rFonts w:ascii="Arial" w:eastAsiaTheme="minorHAnsi" w:hAnsi="Arial" w:cs="Arial"/>
          <w:color w:val="000000" w:themeColor="text1"/>
          <w:lang w:eastAsia="en-US"/>
        </w:rPr>
        <w:t xml:space="preserve"> there have been 57 adoptions. At the end of quarter three 105 children were awaiting adoption, with no adoption breakdowns reported in the year so far. 20% of the children coming out of care during quarter three were adopted. </w:t>
      </w:r>
    </w:p>
    <w:p w14:paraId="5BBD9504" w14:textId="77777777" w:rsidR="00C123B0" w:rsidRDefault="00C123B0" w:rsidP="00C123B0">
      <w:pPr>
        <w:pStyle w:val="NoSpacing"/>
        <w:rPr>
          <w:rFonts w:ascii="Arial" w:eastAsiaTheme="minorHAnsi" w:hAnsi="Arial" w:cs="Arial"/>
          <w:color w:val="000000" w:themeColor="text1"/>
          <w:sz w:val="24"/>
          <w:szCs w:val="24"/>
          <w:lang w:eastAsia="en-US"/>
        </w:rPr>
      </w:pPr>
    </w:p>
    <w:p w14:paraId="130AAB26" w14:textId="77777777" w:rsidR="002D4AF8" w:rsidRPr="00592775" w:rsidRDefault="008B08E3" w:rsidP="00592775">
      <w:pPr>
        <w:pStyle w:val="NoSpacing"/>
        <w:jc w:val="both"/>
        <w:rPr>
          <w:rFonts w:ascii="Arial" w:eastAsiaTheme="minorHAnsi" w:hAnsi="Arial" w:cs="Arial"/>
          <w:i/>
          <w:color w:val="000000" w:themeColor="text1"/>
          <w:lang w:eastAsia="en-US"/>
        </w:rPr>
      </w:pPr>
      <w:r w:rsidRPr="00592775">
        <w:rPr>
          <w:rFonts w:ascii="Arial" w:eastAsiaTheme="minorHAnsi" w:hAnsi="Arial" w:cs="Arial"/>
          <w:i/>
          <w:color w:val="000000" w:themeColor="text1"/>
          <w:lang w:eastAsia="en-US"/>
        </w:rPr>
        <w:t>Youth Offending Team</w:t>
      </w:r>
    </w:p>
    <w:p w14:paraId="1B548B7A" w14:textId="77777777" w:rsidR="008B08E3" w:rsidRPr="00592775" w:rsidRDefault="008B08E3" w:rsidP="00592775">
      <w:pPr>
        <w:pStyle w:val="NoSpacing"/>
        <w:jc w:val="both"/>
        <w:rPr>
          <w:rFonts w:ascii="Arial" w:eastAsiaTheme="minorHAnsi" w:hAnsi="Arial" w:cs="Arial"/>
          <w:color w:val="000000" w:themeColor="text1"/>
          <w:lang w:eastAsia="en-US"/>
        </w:rPr>
      </w:pPr>
      <w:r w:rsidRPr="00592775">
        <w:rPr>
          <w:rFonts w:ascii="Arial" w:eastAsiaTheme="minorHAnsi" w:hAnsi="Arial" w:cs="Arial"/>
          <w:color w:val="000000" w:themeColor="text1"/>
          <w:lang w:eastAsia="en-US"/>
        </w:rPr>
        <w:t>There were fewer first time entrants to the youth j</w:t>
      </w:r>
      <w:r w:rsidR="001C03E1" w:rsidRPr="00592775">
        <w:rPr>
          <w:rFonts w:ascii="Arial" w:eastAsiaTheme="minorHAnsi" w:hAnsi="Arial" w:cs="Arial"/>
          <w:color w:val="000000" w:themeColor="text1"/>
          <w:lang w:eastAsia="en-US"/>
        </w:rPr>
        <w:t>ustice system and Lancashire</w:t>
      </w:r>
      <w:r w:rsidRPr="00592775">
        <w:rPr>
          <w:rFonts w:ascii="Arial" w:eastAsiaTheme="minorHAnsi" w:hAnsi="Arial" w:cs="Arial"/>
          <w:color w:val="000000" w:themeColor="text1"/>
          <w:lang w:eastAsia="en-US"/>
        </w:rPr>
        <w:t xml:space="preserve"> </w:t>
      </w:r>
      <w:r w:rsidR="001C03E1" w:rsidRPr="00592775">
        <w:rPr>
          <w:rFonts w:ascii="Arial" w:eastAsiaTheme="minorHAnsi" w:hAnsi="Arial" w:cs="Arial"/>
          <w:color w:val="000000" w:themeColor="text1"/>
          <w:lang w:eastAsia="en-US"/>
        </w:rPr>
        <w:t xml:space="preserve">remains </w:t>
      </w:r>
      <w:r w:rsidRPr="00592775">
        <w:rPr>
          <w:rFonts w:ascii="Arial" w:eastAsiaTheme="minorHAnsi" w:hAnsi="Arial" w:cs="Arial"/>
          <w:color w:val="000000" w:themeColor="text1"/>
          <w:lang w:eastAsia="en-US"/>
        </w:rPr>
        <w:t xml:space="preserve">lower than the national (326.0) and regional (292.0) and statistical neighbour rates (239.0).  Published data from the Ministry of Justice suggests the proportion of Lancashire youth re-offending </w:t>
      </w:r>
      <w:r w:rsidR="001C03E1" w:rsidRPr="00592775">
        <w:rPr>
          <w:rFonts w:ascii="Arial" w:eastAsiaTheme="minorHAnsi" w:hAnsi="Arial" w:cs="Arial"/>
          <w:color w:val="000000" w:themeColor="text1"/>
          <w:lang w:eastAsia="en-US"/>
        </w:rPr>
        <w:t>was</w:t>
      </w:r>
      <w:r w:rsidRPr="00592775">
        <w:rPr>
          <w:rFonts w:ascii="Arial" w:eastAsiaTheme="minorHAnsi" w:hAnsi="Arial" w:cs="Arial"/>
          <w:color w:val="000000" w:themeColor="text1"/>
          <w:lang w:eastAsia="en-US"/>
        </w:rPr>
        <w:t xml:space="preserve"> still higher than the national (37.8%) and regional (40.7%) rates.  </w:t>
      </w:r>
    </w:p>
    <w:p w14:paraId="0A9F4072" w14:textId="77777777" w:rsidR="007B4747" w:rsidRDefault="007B4747" w:rsidP="00C123B0">
      <w:pPr>
        <w:pStyle w:val="NoSpacing"/>
        <w:rPr>
          <w:rFonts w:ascii="Arial" w:eastAsiaTheme="minorHAnsi" w:hAnsi="Arial" w:cs="Arial"/>
          <w:color w:val="000000" w:themeColor="text1"/>
          <w:sz w:val="24"/>
          <w:szCs w:val="24"/>
          <w:lang w:eastAsia="en-US"/>
        </w:rPr>
      </w:pPr>
    </w:p>
    <w:p w14:paraId="24F946E9" w14:textId="77777777" w:rsidR="002D4AF8" w:rsidRPr="00C123B0" w:rsidRDefault="008B08E3" w:rsidP="00C123B0">
      <w:pPr>
        <w:pStyle w:val="NoSpacing"/>
        <w:rPr>
          <w:rFonts w:ascii="Arial" w:eastAsiaTheme="minorHAnsi" w:hAnsi="Arial" w:cs="Arial"/>
          <w:i/>
          <w:color w:val="000000" w:themeColor="text1"/>
          <w:sz w:val="24"/>
          <w:szCs w:val="24"/>
          <w:lang w:eastAsia="en-US"/>
        </w:rPr>
      </w:pPr>
      <w:r w:rsidRPr="00C123B0">
        <w:rPr>
          <w:rFonts w:ascii="Arial" w:eastAsiaTheme="minorHAnsi" w:hAnsi="Arial" w:cs="Arial"/>
          <w:i/>
          <w:color w:val="000000" w:themeColor="text1"/>
          <w:sz w:val="24"/>
          <w:szCs w:val="24"/>
          <w:lang w:eastAsia="en-US"/>
        </w:rPr>
        <w:t>Special Educational Needs &amp; Disabilities</w:t>
      </w:r>
    </w:p>
    <w:p w14:paraId="4EBE8EC5" w14:textId="08A18ABC" w:rsidR="007B4747" w:rsidRPr="007B4747" w:rsidRDefault="008B08E3" w:rsidP="000D1026">
      <w:pPr>
        <w:pStyle w:val="NoSpacing"/>
        <w:jc w:val="both"/>
        <w:rPr>
          <w:rFonts w:ascii="Arial" w:hAnsi="Arial" w:cs="Arial"/>
          <w:sz w:val="24"/>
          <w:szCs w:val="24"/>
        </w:rPr>
      </w:pPr>
      <w:r w:rsidRPr="000D1026">
        <w:rPr>
          <w:rFonts w:ascii="Arial" w:eastAsiaTheme="minorHAnsi" w:hAnsi="Arial" w:cs="Arial"/>
          <w:color w:val="000000" w:themeColor="text1"/>
          <w:lang w:eastAsia="en-US"/>
        </w:rPr>
        <w:t xml:space="preserve">The </w:t>
      </w:r>
      <w:r w:rsidR="000D1026" w:rsidRPr="000D1026">
        <w:rPr>
          <w:rFonts w:ascii="Arial" w:eastAsiaTheme="minorHAnsi" w:hAnsi="Arial" w:cs="Arial"/>
          <w:color w:val="000000" w:themeColor="text1"/>
          <w:lang w:eastAsia="en-US"/>
        </w:rPr>
        <w:t>rate of transfer from statements of special educational needs to e</w:t>
      </w:r>
      <w:r w:rsidR="00592775" w:rsidRPr="000D1026">
        <w:rPr>
          <w:rFonts w:ascii="Arial" w:eastAsiaTheme="minorHAnsi" w:hAnsi="Arial" w:cs="Arial"/>
          <w:color w:val="000000" w:themeColor="text1"/>
          <w:lang w:eastAsia="en-US"/>
        </w:rPr>
        <w:t xml:space="preserve">ducation and </w:t>
      </w:r>
      <w:r w:rsidR="000D1026" w:rsidRPr="000D1026">
        <w:rPr>
          <w:rFonts w:ascii="Arial" w:eastAsiaTheme="minorHAnsi" w:hAnsi="Arial" w:cs="Arial"/>
          <w:color w:val="000000" w:themeColor="text1"/>
          <w:lang w:eastAsia="en-US"/>
        </w:rPr>
        <w:t>h</w:t>
      </w:r>
      <w:r w:rsidR="00592775" w:rsidRPr="000D1026">
        <w:rPr>
          <w:rFonts w:ascii="Arial" w:eastAsiaTheme="minorHAnsi" w:hAnsi="Arial" w:cs="Arial"/>
          <w:color w:val="000000" w:themeColor="text1"/>
          <w:lang w:eastAsia="en-US"/>
        </w:rPr>
        <w:t xml:space="preserve">ealth </w:t>
      </w:r>
      <w:r w:rsidR="000D1026" w:rsidRPr="000D1026">
        <w:rPr>
          <w:rFonts w:ascii="Arial" w:eastAsiaTheme="minorHAnsi" w:hAnsi="Arial" w:cs="Arial"/>
          <w:color w:val="000000" w:themeColor="text1"/>
          <w:lang w:eastAsia="en-US"/>
        </w:rPr>
        <w:t>c</w:t>
      </w:r>
      <w:r w:rsidR="00592775" w:rsidRPr="000D1026">
        <w:rPr>
          <w:rFonts w:ascii="Arial" w:eastAsiaTheme="minorHAnsi" w:hAnsi="Arial" w:cs="Arial"/>
          <w:color w:val="000000" w:themeColor="text1"/>
          <w:lang w:eastAsia="en-US"/>
        </w:rPr>
        <w:t>are</w:t>
      </w:r>
      <w:r w:rsidRPr="000D1026">
        <w:rPr>
          <w:rFonts w:ascii="Arial" w:eastAsiaTheme="minorHAnsi" w:hAnsi="Arial" w:cs="Arial"/>
          <w:color w:val="000000" w:themeColor="text1"/>
          <w:lang w:eastAsia="en-US"/>
        </w:rPr>
        <w:t xml:space="preserve"> plans </w:t>
      </w:r>
      <w:r w:rsidR="000D1026" w:rsidRPr="000D1026">
        <w:rPr>
          <w:rFonts w:ascii="Arial" w:eastAsiaTheme="minorHAnsi" w:hAnsi="Arial" w:cs="Arial"/>
          <w:color w:val="000000" w:themeColor="text1"/>
          <w:lang w:eastAsia="en-US"/>
        </w:rPr>
        <w:t xml:space="preserve">has increased.  </w:t>
      </w:r>
      <w:r w:rsidR="007B4747" w:rsidRPr="007B4747">
        <w:rPr>
          <w:rFonts w:ascii="Arial" w:hAnsi="Arial" w:cs="Arial"/>
          <w:sz w:val="24"/>
          <w:szCs w:val="24"/>
        </w:rPr>
        <w:t>The SEND service are required to complete a monthly return to the DFE which identifies two forecasts regarding the transfers of SEN statements to Education, Health and Care plans. The response focusses on the number of outstanding transfers to complete and the number that the LA forecast will be completed by the statutory deadline. Whilst the process is very challenging for the service it is forecasted that we will meet the statutory deadline of 31</w:t>
      </w:r>
      <w:r w:rsidR="007B4747" w:rsidRPr="007B4747">
        <w:rPr>
          <w:rFonts w:ascii="Arial" w:hAnsi="Arial" w:cs="Arial"/>
          <w:sz w:val="24"/>
          <w:szCs w:val="24"/>
          <w:vertAlign w:val="superscript"/>
        </w:rPr>
        <w:t>st</w:t>
      </w:r>
      <w:r w:rsidR="007B4747" w:rsidRPr="007B4747">
        <w:rPr>
          <w:rFonts w:ascii="Arial" w:hAnsi="Arial" w:cs="Arial"/>
          <w:sz w:val="24"/>
          <w:szCs w:val="24"/>
        </w:rPr>
        <w:t xml:space="preserve"> March 2018 and therefore continue to communicate this to the DFE</w:t>
      </w:r>
      <w:r w:rsidR="007B4747">
        <w:rPr>
          <w:rFonts w:ascii="Arial" w:hAnsi="Arial" w:cs="Arial"/>
          <w:sz w:val="24"/>
          <w:szCs w:val="24"/>
        </w:rPr>
        <w:t>.</w:t>
      </w:r>
    </w:p>
    <w:p w14:paraId="1A781C00" w14:textId="77777777" w:rsidR="007B4747" w:rsidRDefault="007B4747" w:rsidP="000D1026">
      <w:pPr>
        <w:pStyle w:val="NoSpacing"/>
        <w:jc w:val="both"/>
        <w:rPr>
          <w:rFonts w:ascii="Arial" w:eastAsiaTheme="minorHAnsi" w:hAnsi="Arial" w:cs="Arial"/>
          <w:color w:val="000000" w:themeColor="text1"/>
          <w:lang w:eastAsia="en-US"/>
        </w:rPr>
      </w:pPr>
    </w:p>
    <w:p w14:paraId="0A22247A" w14:textId="760067F8" w:rsidR="000D1026" w:rsidRPr="000D1026" w:rsidRDefault="007B4747" w:rsidP="000D1026">
      <w:pPr>
        <w:pStyle w:val="NoSpacing"/>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lastRenderedPageBreak/>
        <w:t>However, c</w:t>
      </w:r>
      <w:r w:rsidR="000D1026" w:rsidRPr="000D1026">
        <w:rPr>
          <w:rFonts w:ascii="Arial" w:eastAsiaTheme="minorHAnsi" w:hAnsi="Arial" w:cs="Arial"/>
          <w:color w:val="000000" w:themeColor="text1"/>
          <w:lang w:eastAsia="en-US"/>
        </w:rPr>
        <w:t>oncerns about the quality of the plans were raised in the Ofsted and CQC joint local area inspection for SEND which took place in November 2017.  Further details are in Appendix A of this report.</w:t>
      </w:r>
    </w:p>
    <w:p w14:paraId="5ADE08E7" w14:textId="77777777" w:rsidR="008B08E3" w:rsidRPr="00C123B0" w:rsidRDefault="008B08E3" w:rsidP="00C123B0">
      <w:pPr>
        <w:pStyle w:val="NoSpacing"/>
        <w:rPr>
          <w:rFonts w:ascii="Arial" w:eastAsiaTheme="minorHAnsi" w:hAnsi="Arial" w:cs="Arial"/>
          <w:color w:val="000000" w:themeColor="text1"/>
          <w:sz w:val="24"/>
          <w:szCs w:val="24"/>
          <w:lang w:eastAsia="en-US"/>
        </w:rPr>
      </w:pPr>
    </w:p>
    <w:p w14:paraId="130862AF" w14:textId="77777777" w:rsidR="008B08E3" w:rsidRPr="00C123B0" w:rsidRDefault="008B08E3" w:rsidP="00C123B0">
      <w:pPr>
        <w:pStyle w:val="NoSpacing"/>
        <w:rPr>
          <w:rFonts w:ascii="Arial" w:eastAsiaTheme="minorHAnsi" w:hAnsi="Arial" w:cs="Arial"/>
          <w:i/>
          <w:sz w:val="24"/>
          <w:szCs w:val="24"/>
          <w:lang w:eastAsia="en-US"/>
        </w:rPr>
      </w:pPr>
      <w:r w:rsidRPr="00C123B0">
        <w:rPr>
          <w:rFonts w:ascii="Arial" w:eastAsiaTheme="minorHAnsi" w:hAnsi="Arial" w:cs="Arial"/>
          <w:i/>
          <w:sz w:val="24"/>
          <w:szCs w:val="24"/>
          <w:lang w:eastAsia="en-US"/>
        </w:rPr>
        <w:t xml:space="preserve">School Improvement </w:t>
      </w:r>
    </w:p>
    <w:p w14:paraId="43BE821B" w14:textId="03469EC0" w:rsidR="00B17819" w:rsidRPr="00E46CCF" w:rsidRDefault="008B08E3" w:rsidP="00C123B0">
      <w:pPr>
        <w:pStyle w:val="NoSpacing"/>
        <w:rPr>
          <w:rFonts w:ascii="Arial" w:eastAsiaTheme="minorHAnsi" w:hAnsi="Arial" w:cs="Arial"/>
          <w:lang w:eastAsia="en-US"/>
        </w:rPr>
      </w:pPr>
      <w:r w:rsidRPr="00E46CCF">
        <w:rPr>
          <w:rFonts w:ascii="Arial" w:eastAsiaTheme="minorHAnsi" w:hAnsi="Arial" w:cs="Arial"/>
          <w:lang w:eastAsia="en-US"/>
        </w:rPr>
        <w:t xml:space="preserve">A </w:t>
      </w:r>
      <w:r w:rsidR="000D1026" w:rsidRPr="00E46CCF">
        <w:rPr>
          <w:rFonts w:ascii="Arial" w:eastAsiaTheme="minorHAnsi" w:hAnsi="Arial" w:cs="Arial"/>
          <w:lang w:eastAsia="en-US"/>
        </w:rPr>
        <w:t xml:space="preserve">separate </w:t>
      </w:r>
      <w:r w:rsidRPr="00E46CCF">
        <w:rPr>
          <w:rFonts w:ascii="Arial" w:eastAsiaTheme="minorHAnsi" w:hAnsi="Arial" w:cs="Arial"/>
          <w:lang w:eastAsia="en-US"/>
        </w:rPr>
        <w:t xml:space="preserve">report </w:t>
      </w:r>
      <w:r w:rsidR="000D1026" w:rsidRPr="00E46CCF">
        <w:rPr>
          <w:rFonts w:ascii="Arial" w:eastAsiaTheme="minorHAnsi" w:hAnsi="Arial" w:cs="Arial"/>
          <w:lang w:eastAsia="en-US"/>
        </w:rPr>
        <w:t>on</w:t>
      </w:r>
      <w:r w:rsidRPr="00E46CCF">
        <w:rPr>
          <w:rFonts w:ascii="Arial" w:eastAsiaTheme="minorHAnsi" w:hAnsi="Arial" w:cs="Arial"/>
          <w:lang w:eastAsia="en-US"/>
        </w:rPr>
        <w:t xml:space="preserve"> educational </w:t>
      </w:r>
      <w:r w:rsidR="00B305CD" w:rsidRPr="00E46CCF">
        <w:rPr>
          <w:rFonts w:ascii="Arial" w:eastAsiaTheme="minorHAnsi" w:hAnsi="Arial" w:cs="Arial"/>
          <w:lang w:eastAsia="en-US"/>
        </w:rPr>
        <w:t xml:space="preserve">attainment is </w:t>
      </w:r>
      <w:r w:rsidR="000D1026" w:rsidRPr="00E46CCF">
        <w:rPr>
          <w:rFonts w:ascii="Arial" w:eastAsiaTheme="minorHAnsi" w:hAnsi="Arial" w:cs="Arial"/>
          <w:lang w:eastAsia="en-US"/>
        </w:rPr>
        <w:t xml:space="preserve">provided </w:t>
      </w:r>
      <w:r w:rsidR="0015492C">
        <w:rPr>
          <w:rFonts w:ascii="Arial" w:eastAsiaTheme="minorHAnsi" w:hAnsi="Arial" w:cs="Arial"/>
          <w:lang w:eastAsia="en-US"/>
        </w:rPr>
        <w:t xml:space="preserve">at </w:t>
      </w:r>
      <w:r w:rsidR="000D1026" w:rsidRPr="00E46CCF">
        <w:rPr>
          <w:rFonts w:ascii="Arial" w:eastAsiaTheme="minorHAnsi" w:hAnsi="Arial" w:cs="Arial"/>
          <w:lang w:eastAsia="en-US"/>
        </w:rPr>
        <w:t>agenda item 4.</w:t>
      </w:r>
    </w:p>
    <w:p w14:paraId="4744CC0B" w14:textId="77777777" w:rsidR="008A3A4C" w:rsidRDefault="008A3A4C">
      <w:pPr>
        <w:rPr>
          <w:rFonts w:eastAsiaTheme="minorHAnsi" w:cs="Arial"/>
          <w:szCs w:val="24"/>
          <w:lang w:eastAsia="en-US"/>
        </w:rPr>
      </w:pPr>
    </w:p>
    <w:p w14:paraId="45ACE24C" w14:textId="77777777" w:rsidR="001154EC" w:rsidRPr="000E7A40" w:rsidRDefault="008C4D33" w:rsidP="008C4D33">
      <w:pPr>
        <w:pStyle w:val="ListParagraph"/>
        <w:ind w:left="0"/>
        <w:contextualSpacing/>
        <w:jc w:val="both"/>
        <w:rPr>
          <w:b/>
        </w:rPr>
      </w:pPr>
      <w:r w:rsidRPr="000E7A40">
        <w:rPr>
          <w:b/>
        </w:rPr>
        <w:t>Live Well</w:t>
      </w:r>
    </w:p>
    <w:p w14:paraId="1472598D" w14:textId="77777777" w:rsidR="007C3EDB" w:rsidRPr="000E7A40" w:rsidRDefault="007C3EDB" w:rsidP="007C3EDB">
      <w:pPr>
        <w:pStyle w:val="NoSpacing"/>
        <w:rPr>
          <w:rFonts w:ascii="Arial" w:hAnsi="Arial" w:cs="Arial"/>
          <w:color w:val="FF0000"/>
          <w:sz w:val="24"/>
          <w:szCs w:val="24"/>
        </w:rPr>
      </w:pPr>
    </w:p>
    <w:tbl>
      <w:tblPr>
        <w:tblStyle w:val="TableGrid"/>
        <w:tblW w:w="9776" w:type="dxa"/>
        <w:tblInd w:w="-5" w:type="dxa"/>
        <w:tblLayout w:type="fixed"/>
        <w:tblLook w:val="04A0" w:firstRow="1" w:lastRow="0" w:firstColumn="1" w:lastColumn="0" w:noHBand="0" w:noVBand="1"/>
      </w:tblPr>
      <w:tblGrid>
        <w:gridCol w:w="3216"/>
        <w:gridCol w:w="992"/>
        <w:gridCol w:w="1134"/>
        <w:gridCol w:w="1134"/>
        <w:gridCol w:w="992"/>
        <w:gridCol w:w="1032"/>
        <w:gridCol w:w="1276"/>
      </w:tblGrid>
      <w:tr w:rsidR="008A0447" w:rsidRPr="008B08E3" w14:paraId="5A5861B0" w14:textId="77777777" w:rsidTr="00E53A2D">
        <w:tc>
          <w:tcPr>
            <w:tcW w:w="3216" w:type="dxa"/>
            <w:shd w:val="clear" w:color="auto" w:fill="F2F2F2" w:themeFill="background1" w:themeFillShade="F2"/>
            <w:vAlign w:val="center"/>
          </w:tcPr>
          <w:p w14:paraId="01E224D5" w14:textId="77777777" w:rsidR="008A0447" w:rsidRPr="00AD3519" w:rsidRDefault="008A0447" w:rsidP="008B08E3">
            <w:pPr>
              <w:jc w:val="center"/>
              <w:rPr>
                <w:rFonts w:cs="Arial"/>
                <w:b/>
                <w:sz w:val="18"/>
                <w:szCs w:val="18"/>
              </w:rPr>
            </w:pPr>
            <w:r w:rsidRPr="00AD3519">
              <w:rPr>
                <w:rFonts w:cs="Arial"/>
                <w:b/>
                <w:sz w:val="18"/>
                <w:szCs w:val="18"/>
              </w:rPr>
              <w:t>Performance Measure</w:t>
            </w:r>
          </w:p>
        </w:tc>
        <w:tc>
          <w:tcPr>
            <w:tcW w:w="992" w:type="dxa"/>
            <w:shd w:val="clear" w:color="auto" w:fill="F2F2F2" w:themeFill="background1" w:themeFillShade="F2"/>
            <w:vAlign w:val="center"/>
          </w:tcPr>
          <w:p w14:paraId="5BABB21B" w14:textId="77777777" w:rsidR="008A0447" w:rsidRPr="00AD3519" w:rsidRDefault="008A0447" w:rsidP="008B08E3">
            <w:pPr>
              <w:jc w:val="center"/>
              <w:rPr>
                <w:rFonts w:cs="Arial"/>
                <w:b/>
                <w:color w:val="000000"/>
                <w:sz w:val="18"/>
                <w:szCs w:val="18"/>
              </w:rPr>
            </w:pPr>
            <w:r w:rsidRPr="00AD3519">
              <w:rPr>
                <w:rFonts w:cs="Arial"/>
                <w:b/>
                <w:color w:val="000000"/>
                <w:sz w:val="18"/>
                <w:szCs w:val="18"/>
              </w:rPr>
              <w:t>Good is</w:t>
            </w:r>
          </w:p>
          <w:p w14:paraId="64DC8E86" w14:textId="77777777" w:rsidR="008A0447" w:rsidRPr="00AD3519" w:rsidRDefault="008A0447" w:rsidP="008B08E3">
            <w:pPr>
              <w:jc w:val="center"/>
              <w:rPr>
                <w:rFonts w:cs="Arial"/>
                <w:b/>
                <w:sz w:val="18"/>
                <w:szCs w:val="18"/>
              </w:rPr>
            </w:pPr>
            <w:r w:rsidRPr="00AD3519">
              <w:rPr>
                <w:rFonts w:cs="Arial"/>
                <w:b/>
                <w:color w:val="000000"/>
                <w:sz w:val="18"/>
                <w:szCs w:val="18"/>
              </w:rPr>
              <w:t>High or Low</w:t>
            </w:r>
          </w:p>
        </w:tc>
        <w:tc>
          <w:tcPr>
            <w:tcW w:w="1134" w:type="dxa"/>
            <w:shd w:val="clear" w:color="auto" w:fill="F2F2F2" w:themeFill="background1" w:themeFillShade="F2"/>
            <w:vAlign w:val="center"/>
          </w:tcPr>
          <w:p w14:paraId="7C549DEB" w14:textId="77777777" w:rsidR="008A0447" w:rsidRPr="00AD3519" w:rsidRDefault="008A0447" w:rsidP="008B08E3">
            <w:pPr>
              <w:jc w:val="center"/>
              <w:rPr>
                <w:rFonts w:cs="Arial"/>
                <w:b/>
                <w:sz w:val="18"/>
                <w:szCs w:val="18"/>
              </w:rPr>
            </w:pPr>
            <w:r w:rsidRPr="00AD3519">
              <w:rPr>
                <w:rFonts w:cs="Arial"/>
                <w:b/>
                <w:sz w:val="18"/>
                <w:szCs w:val="18"/>
              </w:rPr>
              <w:t>Q3/ Dec 2016</w:t>
            </w:r>
          </w:p>
        </w:tc>
        <w:tc>
          <w:tcPr>
            <w:tcW w:w="1134" w:type="dxa"/>
            <w:shd w:val="clear" w:color="auto" w:fill="F2F2F2" w:themeFill="background1" w:themeFillShade="F2"/>
            <w:vAlign w:val="center"/>
          </w:tcPr>
          <w:p w14:paraId="553B2825" w14:textId="77777777" w:rsidR="008A0447" w:rsidRPr="00AD3519" w:rsidRDefault="008A0447" w:rsidP="008B08E3">
            <w:pPr>
              <w:jc w:val="center"/>
              <w:rPr>
                <w:rFonts w:cs="Arial"/>
                <w:b/>
                <w:sz w:val="18"/>
                <w:szCs w:val="18"/>
              </w:rPr>
            </w:pPr>
            <w:r w:rsidRPr="00AD3519">
              <w:rPr>
                <w:rFonts w:cs="Arial"/>
                <w:b/>
                <w:sz w:val="18"/>
                <w:szCs w:val="18"/>
              </w:rPr>
              <w:t>Q1</w:t>
            </w:r>
          </w:p>
          <w:p w14:paraId="5980034F" w14:textId="77777777" w:rsidR="008A0447" w:rsidRPr="00AD3519" w:rsidRDefault="008A0447" w:rsidP="008B08E3">
            <w:pPr>
              <w:jc w:val="center"/>
              <w:rPr>
                <w:rFonts w:cs="Arial"/>
                <w:b/>
                <w:sz w:val="18"/>
                <w:szCs w:val="18"/>
              </w:rPr>
            </w:pPr>
            <w:r w:rsidRPr="00AD3519">
              <w:rPr>
                <w:rFonts w:cs="Arial"/>
                <w:b/>
                <w:sz w:val="18"/>
                <w:szCs w:val="18"/>
              </w:rPr>
              <w:t>17/18</w:t>
            </w:r>
          </w:p>
        </w:tc>
        <w:tc>
          <w:tcPr>
            <w:tcW w:w="992" w:type="dxa"/>
            <w:shd w:val="clear" w:color="auto" w:fill="F2F2F2" w:themeFill="background1" w:themeFillShade="F2"/>
            <w:vAlign w:val="center"/>
          </w:tcPr>
          <w:p w14:paraId="1F0BCECF" w14:textId="77777777" w:rsidR="008A0447" w:rsidRPr="00AD3519" w:rsidRDefault="008A0447" w:rsidP="008B08E3">
            <w:pPr>
              <w:jc w:val="center"/>
              <w:rPr>
                <w:rFonts w:cs="Arial"/>
                <w:b/>
                <w:sz w:val="18"/>
                <w:szCs w:val="18"/>
              </w:rPr>
            </w:pPr>
            <w:r w:rsidRPr="00AD3519">
              <w:rPr>
                <w:rFonts w:cs="Arial"/>
                <w:b/>
                <w:sz w:val="18"/>
                <w:szCs w:val="18"/>
              </w:rPr>
              <w:t>Q2</w:t>
            </w:r>
          </w:p>
          <w:p w14:paraId="23099E43" w14:textId="77777777" w:rsidR="008A0447" w:rsidRPr="00AD3519" w:rsidRDefault="008A0447" w:rsidP="008B08E3">
            <w:pPr>
              <w:jc w:val="center"/>
              <w:rPr>
                <w:rFonts w:cs="Arial"/>
                <w:b/>
                <w:sz w:val="18"/>
                <w:szCs w:val="18"/>
              </w:rPr>
            </w:pPr>
            <w:r w:rsidRPr="00AD3519">
              <w:rPr>
                <w:rFonts w:cs="Arial"/>
                <w:b/>
                <w:sz w:val="18"/>
                <w:szCs w:val="18"/>
              </w:rPr>
              <w:t>17/18</w:t>
            </w:r>
          </w:p>
        </w:tc>
        <w:tc>
          <w:tcPr>
            <w:tcW w:w="1032" w:type="dxa"/>
            <w:shd w:val="clear" w:color="auto" w:fill="F2F2F2" w:themeFill="background1" w:themeFillShade="F2"/>
            <w:vAlign w:val="center"/>
          </w:tcPr>
          <w:p w14:paraId="4309399F" w14:textId="77777777" w:rsidR="008A0447" w:rsidRPr="00AD3519" w:rsidRDefault="008A0447" w:rsidP="008B08E3">
            <w:pPr>
              <w:jc w:val="center"/>
              <w:rPr>
                <w:rFonts w:cs="Arial"/>
                <w:b/>
                <w:sz w:val="18"/>
                <w:szCs w:val="18"/>
              </w:rPr>
            </w:pPr>
            <w:r w:rsidRPr="00AD3519">
              <w:rPr>
                <w:rFonts w:cs="Arial"/>
                <w:b/>
                <w:sz w:val="18"/>
                <w:szCs w:val="18"/>
              </w:rPr>
              <w:t>Q3</w:t>
            </w:r>
          </w:p>
          <w:p w14:paraId="53F454F7" w14:textId="77777777" w:rsidR="008A0447" w:rsidRPr="00AD3519" w:rsidRDefault="008A0447" w:rsidP="008B08E3">
            <w:pPr>
              <w:jc w:val="center"/>
              <w:rPr>
                <w:rFonts w:cs="Arial"/>
                <w:b/>
                <w:sz w:val="18"/>
                <w:szCs w:val="18"/>
              </w:rPr>
            </w:pPr>
            <w:r w:rsidRPr="00AD3519">
              <w:rPr>
                <w:rFonts w:cs="Arial"/>
                <w:b/>
                <w:sz w:val="18"/>
                <w:szCs w:val="18"/>
              </w:rPr>
              <w:t>17/18</w:t>
            </w:r>
          </w:p>
        </w:tc>
        <w:tc>
          <w:tcPr>
            <w:tcW w:w="1276" w:type="dxa"/>
            <w:shd w:val="clear" w:color="auto" w:fill="F2F2F2" w:themeFill="background1" w:themeFillShade="F2"/>
            <w:vAlign w:val="center"/>
          </w:tcPr>
          <w:p w14:paraId="5F6C5727" w14:textId="77777777" w:rsidR="008A0447" w:rsidRPr="00AD3519" w:rsidRDefault="008A0447" w:rsidP="008B08E3">
            <w:pPr>
              <w:jc w:val="center"/>
              <w:rPr>
                <w:rFonts w:cs="Arial"/>
                <w:b/>
                <w:sz w:val="18"/>
                <w:szCs w:val="18"/>
              </w:rPr>
            </w:pPr>
            <w:r w:rsidRPr="00AD3519">
              <w:rPr>
                <w:rFonts w:cs="Arial"/>
                <w:b/>
                <w:sz w:val="18"/>
                <w:szCs w:val="18"/>
              </w:rPr>
              <w:t>Year to date (17/18)</w:t>
            </w:r>
          </w:p>
        </w:tc>
      </w:tr>
      <w:tr w:rsidR="008A0447" w:rsidRPr="008B08E3" w14:paraId="291A0D1B" w14:textId="77777777" w:rsidTr="00E53A2D">
        <w:tc>
          <w:tcPr>
            <w:tcW w:w="9776" w:type="dxa"/>
            <w:gridSpan w:val="7"/>
            <w:shd w:val="clear" w:color="auto" w:fill="D9D9D9" w:themeFill="background1" w:themeFillShade="D9"/>
          </w:tcPr>
          <w:p w14:paraId="0D69A636" w14:textId="77777777" w:rsidR="008A0447" w:rsidRPr="00AD3519" w:rsidRDefault="008A0447" w:rsidP="008B08E3">
            <w:pPr>
              <w:jc w:val="center"/>
              <w:rPr>
                <w:rFonts w:cs="Arial"/>
                <w:b/>
                <w:sz w:val="18"/>
                <w:szCs w:val="18"/>
              </w:rPr>
            </w:pPr>
            <w:r w:rsidRPr="00AD3519">
              <w:rPr>
                <w:rFonts w:cs="Arial"/>
                <w:b/>
                <w:sz w:val="18"/>
                <w:szCs w:val="18"/>
              </w:rPr>
              <w:t>Waste management</w:t>
            </w:r>
          </w:p>
        </w:tc>
      </w:tr>
      <w:tr w:rsidR="008A0447" w:rsidRPr="008B08E3" w14:paraId="084A13A1" w14:textId="77777777" w:rsidTr="00E53A2D">
        <w:tc>
          <w:tcPr>
            <w:tcW w:w="3216" w:type="dxa"/>
          </w:tcPr>
          <w:p w14:paraId="67759415" w14:textId="77777777" w:rsidR="008A0447" w:rsidRPr="00AD3519" w:rsidRDefault="008A0447" w:rsidP="008B08E3">
            <w:pPr>
              <w:rPr>
                <w:rFonts w:cs="Arial"/>
                <w:sz w:val="18"/>
                <w:szCs w:val="18"/>
              </w:rPr>
            </w:pPr>
            <w:r w:rsidRPr="00AD3519">
              <w:rPr>
                <w:rFonts w:cs="Arial"/>
                <w:sz w:val="18"/>
                <w:szCs w:val="18"/>
              </w:rPr>
              <w:t>% of recycling, re-use and composting</w:t>
            </w:r>
          </w:p>
        </w:tc>
        <w:tc>
          <w:tcPr>
            <w:tcW w:w="992" w:type="dxa"/>
            <w:vAlign w:val="center"/>
          </w:tcPr>
          <w:p w14:paraId="24BECA37"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vAlign w:val="center"/>
          </w:tcPr>
          <w:p w14:paraId="466058A0" w14:textId="77777777" w:rsidR="008A0447" w:rsidRPr="00AD3519" w:rsidRDefault="008A0447" w:rsidP="008B08E3">
            <w:pPr>
              <w:jc w:val="center"/>
              <w:rPr>
                <w:rFonts w:cs="Arial"/>
                <w:sz w:val="18"/>
                <w:szCs w:val="18"/>
              </w:rPr>
            </w:pPr>
            <w:r w:rsidRPr="00AD3519">
              <w:rPr>
                <w:rFonts w:cs="Arial"/>
                <w:sz w:val="18"/>
                <w:szCs w:val="18"/>
              </w:rPr>
              <w:t>45%</w:t>
            </w:r>
          </w:p>
        </w:tc>
        <w:tc>
          <w:tcPr>
            <w:tcW w:w="1134" w:type="dxa"/>
            <w:vAlign w:val="center"/>
          </w:tcPr>
          <w:p w14:paraId="7934D840" w14:textId="77777777" w:rsidR="008A0447" w:rsidRPr="00AD3519" w:rsidRDefault="008A0447" w:rsidP="008B08E3">
            <w:pPr>
              <w:jc w:val="center"/>
              <w:rPr>
                <w:rFonts w:cs="Arial"/>
                <w:sz w:val="18"/>
                <w:szCs w:val="18"/>
              </w:rPr>
            </w:pPr>
            <w:r w:rsidRPr="00AD3519">
              <w:rPr>
                <w:rFonts w:cs="Arial"/>
                <w:sz w:val="18"/>
                <w:szCs w:val="18"/>
              </w:rPr>
              <w:t>46%</w:t>
            </w:r>
          </w:p>
        </w:tc>
        <w:tc>
          <w:tcPr>
            <w:tcW w:w="992" w:type="dxa"/>
            <w:vAlign w:val="center"/>
          </w:tcPr>
          <w:p w14:paraId="7B58FF31" w14:textId="77777777" w:rsidR="008A0447" w:rsidRPr="00AD3519" w:rsidRDefault="008A0447" w:rsidP="008B08E3">
            <w:pPr>
              <w:jc w:val="center"/>
              <w:rPr>
                <w:rFonts w:cs="Arial"/>
                <w:sz w:val="18"/>
                <w:szCs w:val="18"/>
              </w:rPr>
            </w:pPr>
            <w:r w:rsidRPr="00AD3519">
              <w:rPr>
                <w:rFonts w:cs="Arial"/>
                <w:sz w:val="18"/>
                <w:szCs w:val="18"/>
              </w:rPr>
              <w:t>44%</w:t>
            </w:r>
          </w:p>
        </w:tc>
        <w:tc>
          <w:tcPr>
            <w:tcW w:w="1032" w:type="dxa"/>
            <w:vAlign w:val="center"/>
          </w:tcPr>
          <w:p w14:paraId="2042E307" w14:textId="77777777" w:rsidR="008A0447" w:rsidRPr="00AD3519" w:rsidRDefault="008A0447" w:rsidP="008B08E3">
            <w:pPr>
              <w:jc w:val="center"/>
              <w:rPr>
                <w:rFonts w:cs="Arial"/>
                <w:sz w:val="18"/>
                <w:szCs w:val="18"/>
                <w:highlight w:val="darkGreen"/>
              </w:rPr>
            </w:pPr>
            <w:r w:rsidRPr="00AD3519">
              <w:rPr>
                <w:rFonts w:cs="Arial"/>
                <w:sz w:val="18"/>
                <w:szCs w:val="18"/>
              </w:rPr>
              <w:t>43%</w:t>
            </w:r>
          </w:p>
        </w:tc>
        <w:tc>
          <w:tcPr>
            <w:tcW w:w="1276" w:type="dxa"/>
            <w:shd w:val="clear" w:color="auto" w:fill="F7CAAC" w:themeFill="accent2" w:themeFillTint="66"/>
            <w:vAlign w:val="center"/>
          </w:tcPr>
          <w:p w14:paraId="410C507F" w14:textId="77777777" w:rsidR="008A0447" w:rsidRPr="00AD3519" w:rsidRDefault="008A0447" w:rsidP="008B08E3">
            <w:pPr>
              <w:jc w:val="center"/>
              <w:rPr>
                <w:rFonts w:cs="Arial"/>
                <w:sz w:val="18"/>
                <w:szCs w:val="18"/>
              </w:rPr>
            </w:pPr>
            <w:r w:rsidRPr="00AD3519">
              <w:rPr>
                <w:rFonts w:cs="Arial"/>
                <w:sz w:val="18"/>
                <w:szCs w:val="18"/>
              </w:rPr>
              <w:t>43%</w:t>
            </w:r>
          </w:p>
          <w:p w14:paraId="1078E085" w14:textId="77777777" w:rsidR="008A0447" w:rsidRPr="00AD3519" w:rsidRDefault="008A0447" w:rsidP="008B08E3">
            <w:pPr>
              <w:jc w:val="center"/>
              <w:rPr>
                <w:rFonts w:cs="Arial"/>
                <w:sz w:val="18"/>
                <w:szCs w:val="18"/>
              </w:rPr>
            </w:pPr>
            <w:r w:rsidRPr="00AD3519">
              <w:rPr>
                <w:rFonts w:cs="Arial"/>
                <w:sz w:val="18"/>
                <w:szCs w:val="18"/>
              </w:rPr>
              <w:t>17/18 forecast</w:t>
            </w:r>
          </w:p>
        </w:tc>
      </w:tr>
      <w:tr w:rsidR="008A0447" w:rsidRPr="008B08E3" w14:paraId="0EE93FD7" w14:textId="77777777" w:rsidTr="00E53A2D">
        <w:tc>
          <w:tcPr>
            <w:tcW w:w="3216" w:type="dxa"/>
          </w:tcPr>
          <w:p w14:paraId="1CDFBBA4" w14:textId="77777777" w:rsidR="008A0447" w:rsidRPr="00AD3519" w:rsidRDefault="008A0447" w:rsidP="008B08E3">
            <w:pPr>
              <w:rPr>
                <w:rFonts w:cs="Arial"/>
                <w:sz w:val="18"/>
                <w:szCs w:val="18"/>
              </w:rPr>
            </w:pPr>
            <w:r w:rsidRPr="00AD3519">
              <w:rPr>
                <w:rFonts w:cs="Arial"/>
                <w:sz w:val="18"/>
                <w:szCs w:val="18"/>
              </w:rPr>
              <w:t>% diversion of municipal waste away from landfill (including recovery)</w:t>
            </w:r>
          </w:p>
        </w:tc>
        <w:tc>
          <w:tcPr>
            <w:tcW w:w="992" w:type="dxa"/>
            <w:vAlign w:val="center"/>
          </w:tcPr>
          <w:p w14:paraId="4E2E463D"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vAlign w:val="center"/>
          </w:tcPr>
          <w:p w14:paraId="60496CD2" w14:textId="77777777" w:rsidR="008A0447" w:rsidRPr="00AD3519" w:rsidRDefault="008A0447" w:rsidP="008B08E3">
            <w:pPr>
              <w:jc w:val="center"/>
              <w:rPr>
                <w:rFonts w:cs="Arial"/>
                <w:sz w:val="18"/>
                <w:szCs w:val="18"/>
              </w:rPr>
            </w:pPr>
            <w:r w:rsidRPr="00AD3519">
              <w:rPr>
                <w:rFonts w:cs="Arial"/>
                <w:sz w:val="18"/>
                <w:szCs w:val="18"/>
              </w:rPr>
              <w:t>49%</w:t>
            </w:r>
          </w:p>
        </w:tc>
        <w:tc>
          <w:tcPr>
            <w:tcW w:w="1134" w:type="dxa"/>
            <w:vAlign w:val="center"/>
          </w:tcPr>
          <w:p w14:paraId="7BE0AC3F" w14:textId="77777777" w:rsidR="008A0447" w:rsidRPr="00AD3519" w:rsidRDefault="008A0447" w:rsidP="008B08E3">
            <w:pPr>
              <w:jc w:val="center"/>
              <w:rPr>
                <w:rFonts w:cs="Arial"/>
                <w:sz w:val="18"/>
                <w:szCs w:val="18"/>
              </w:rPr>
            </w:pPr>
            <w:r w:rsidRPr="00AD3519">
              <w:rPr>
                <w:rFonts w:cs="Arial"/>
                <w:sz w:val="18"/>
                <w:szCs w:val="18"/>
              </w:rPr>
              <w:t>53%</w:t>
            </w:r>
          </w:p>
        </w:tc>
        <w:tc>
          <w:tcPr>
            <w:tcW w:w="992" w:type="dxa"/>
            <w:vAlign w:val="center"/>
          </w:tcPr>
          <w:p w14:paraId="753CE5AB" w14:textId="77777777" w:rsidR="008A0447" w:rsidRPr="00AD3519" w:rsidRDefault="008A0447" w:rsidP="008B08E3">
            <w:pPr>
              <w:jc w:val="center"/>
              <w:rPr>
                <w:rFonts w:cs="Arial"/>
                <w:sz w:val="18"/>
                <w:szCs w:val="18"/>
              </w:rPr>
            </w:pPr>
            <w:r w:rsidRPr="00AD3519">
              <w:rPr>
                <w:rFonts w:cs="Arial"/>
                <w:sz w:val="18"/>
                <w:szCs w:val="18"/>
              </w:rPr>
              <w:t>51%</w:t>
            </w:r>
          </w:p>
        </w:tc>
        <w:tc>
          <w:tcPr>
            <w:tcW w:w="1032" w:type="dxa"/>
            <w:vAlign w:val="center"/>
          </w:tcPr>
          <w:p w14:paraId="3C43C9D5" w14:textId="77777777" w:rsidR="008A0447" w:rsidRPr="00AD3519" w:rsidRDefault="008A0447" w:rsidP="008B08E3">
            <w:pPr>
              <w:jc w:val="center"/>
              <w:rPr>
                <w:rFonts w:cs="Arial"/>
                <w:sz w:val="18"/>
                <w:szCs w:val="18"/>
              </w:rPr>
            </w:pPr>
            <w:r w:rsidRPr="00AD3519">
              <w:rPr>
                <w:rFonts w:cs="Arial"/>
                <w:sz w:val="18"/>
                <w:szCs w:val="18"/>
              </w:rPr>
              <w:t>51%</w:t>
            </w:r>
          </w:p>
        </w:tc>
        <w:tc>
          <w:tcPr>
            <w:tcW w:w="1276" w:type="dxa"/>
            <w:shd w:val="clear" w:color="auto" w:fill="D8E4BC"/>
            <w:vAlign w:val="center"/>
          </w:tcPr>
          <w:p w14:paraId="0FA2BBD6" w14:textId="77777777" w:rsidR="008A0447" w:rsidRPr="00AD3519" w:rsidRDefault="008A0447" w:rsidP="008B08E3">
            <w:pPr>
              <w:jc w:val="center"/>
              <w:rPr>
                <w:rFonts w:cs="Arial"/>
                <w:sz w:val="18"/>
                <w:szCs w:val="18"/>
              </w:rPr>
            </w:pPr>
            <w:r w:rsidRPr="00AD3519">
              <w:rPr>
                <w:rFonts w:cs="Arial"/>
                <w:sz w:val="18"/>
                <w:szCs w:val="18"/>
              </w:rPr>
              <w:t>51%</w:t>
            </w:r>
          </w:p>
          <w:p w14:paraId="710CB0D8" w14:textId="77777777" w:rsidR="008A0447" w:rsidRPr="00AD3519" w:rsidRDefault="008A0447" w:rsidP="008B08E3">
            <w:pPr>
              <w:jc w:val="center"/>
              <w:rPr>
                <w:rFonts w:cs="Arial"/>
                <w:sz w:val="18"/>
                <w:szCs w:val="18"/>
              </w:rPr>
            </w:pPr>
            <w:r w:rsidRPr="00AD3519">
              <w:rPr>
                <w:rFonts w:cs="Arial"/>
                <w:sz w:val="18"/>
                <w:szCs w:val="18"/>
              </w:rPr>
              <w:t>17/18 forecast</w:t>
            </w:r>
          </w:p>
        </w:tc>
      </w:tr>
      <w:tr w:rsidR="008A0447" w:rsidRPr="008B08E3" w14:paraId="0DF94772" w14:textId="77777777" w:rsidTr="00E53A2D">
        <w:tc>
          <w:tcPr>
            <w:tcW w:w="9776" w:type="dxa"/>
            <w:gridSpan w:val="7"/>
            <w:shd w:val="clear" w:color="auto" w:fill="D9D9D9" w:themeFill="background1" w:themeFillShade="D9"/>
          </w:tcPr>
          <w:p w14:paraId="2542C7D7" w14:textId="77777777" w:rsidR="008A0447" w:rsidRPr="00AD3519" w:rsidRDefault="008A0447" w:rsidP="008B08E3">
            <w:pPr>
              <w:jc w:val="center"/>
              <w:rPr>
                <w:rFonts w:cs="Arial"/>
                <w:b/>
                <w:sz w:val="18"/>
                <w:szCs w:val="18"/>
              </w:rPr>
            </w:pPr>
            <w:r w:rsidRPr="00AD3519">
              <w:rPr>
                <w:rFonts w:cs="Arial"/>
                <w:b/>
                <w:sz w:val="18"/>
                <w:szCs w:val="18"/>
              </w:rPr>
              <w:t>Libraries and museums</w:t>
            </w:r>
          </w:p>
        </w:tc>
      </w:tr>
      <w:tr w:rsidR="008A0447" w:rsidRPr="008B08E3" w14:paraId="6C46C8A4" w14:textId="77777777" w:rsidTr="00E53A2D">
        <w:tc>
          <w:tcPr>
            <w:tcW w:w="3216" w:type="dxa"/>
          </w:tcPr>
          <w:p w14:paraId="2F3686B4" w14:textId="77777777" w:rsidR="008A0447" w:rsidRPr="00AD3519" w:rsidRDefault="008A0447" w:rsidP="008B08E3">
            <w:pPr>
              <w:rPr>
                <w:rFonts w:cs="Arial"/>
                <w:sz w:val="18"/>
                <w:szCs w:val="18"/>
              </w:rPr>
            </w:pPr>
            <w:r w:rsidRPr="00AD3519">
              <w:rPr>
                <w:rFonts w:cs="Arial"/>
                <w:sz w:val="18"/>
                <w:szCs w:val="18"/>
              </w:rPr>
              <w:t xml:space="preserve">Number </w:t>
            </w:r>
            <w:r w:rsidR="002C49AC">
              <w:rPr>
                <w:rFonts w:cs="Arial"/>
                <w:sz w:val="18"/>
                <w:szCs w:val="18"/>
              </w:rPr>
              <w:t>of visits to libraries each quarter</w:t>
            </w:r>
          </w:p>
        </w:tc>
        <w:tc>
          <w:tcPr>
            <w:tcW w:w="992" w:type="dxa"/>
            <w:vAlign w:val="center"/>
          </w:tcPr>
          <w:p w14:paraId="59DA7A43"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vAlign w:val="center"/>
          </w:tcPr>
          <w:p w14:paraId="2D913222" w14:textId="77777777" w:rsidR="008A0447" w:rsidRPr="00AD3519" w:rsidRDefault="008A0447" w:rsidP="008B08E3">
            <w:pPr>
              <w:jc w:val="center"/>
              <w:rPr>
                <w:rFonts w:cs="Arial"/>
                <w:sz w:val="18"/>
                <w:szCs w:val="18"/>
              </w:rPr>
            </w:pPr>
            <w:r w:rsidRPr="00AD3519">
              <w:rPr>
                <w:rFonts w:cs="Arial"/>
                <w:sz w:val="18"/>
                <w:szCs w:val="18"/>
              </w:rPr>
              <w:t>895,146</w:t>
            </w:r>
          </w:p>
        </w:tc>
        <w:tc>
          <w:tcPr>
            <w:tcW w:w="1134" w:type="dxa"/>
            <w:vAlign w:val="center"/>
          </w:tcPr>
          <w:p w14:paraId="363D1B5E" w14:textId="77777777" w:rsidR="008A0447" w:rsidRPr="00AD3519" w:rsidRDefault="008A0447" w:rsidP="008B08E3">
            <w:pPr>
              <w:jc w:val="center"/>
              <w:rPr>
                <w:rFonts w:cs="Arial"/>
                <w:sz w:val="18"/>
                <w:szCs w:val="18"/>
              </w:rPr>
            </w:pPr>
            <w:r w:rsidRPr="00AD3519">
              <w:rPr>
                <w:rFonts w:cs="Arial"/>
                <w:sz w:val="18"/>
                <w:szCs w:val="18"/>
              </w:rPr>
              <w:t>845,866</w:t>
            </w:r>
          </w:p>
        </w:tc>
        <w:tc>
          <w:tcPr>
            <w:tcW w:w="992" w:type="dxa"/>
            <w:vAlign w:val="center"/>
          </w:tcPr>
          <w:p w14:paraId="614FB6E5" w14:textId="77777777" w:rsidR="008A0447" w:rsidRPr="00AD3519" w:rsidRDefault="008A0447" w:rsidP="008B08E3">
            <w:pPr>
              <w:jc w:val="center"/>
              <w:rPr>
                <w:rFonts w:cs="Arial"/>
                <w:sz w:val="18"/>
                <w:szCs w:val="18"/>
              </w:rPr>
            </w:pPr>
            <w:r w:rsidRPr="00AD3519">
              <w:rPr>
                <w:rFonts w:cs="Arial"/>
                <w:sz w:val="18"/>
                <w:szCs w:val="18"/>
              </w:rPr>
              <w:t>913,329</w:t>
            </w:r>
          </w:p>
        </w:tc>
        <w:tc>
          <w:tcPr>
            <w:tcW w:w="1032" w:type="dxa"/>
            <w:vAlign w:val="center"/>
          </w:tcPr>
          <w:p w14:paraId="4A284F8D" w14:textId="77777777" w:rsidR="008A0447" w:rsidRPr="00AD3519" w:rsidRDefault="008A0447" w:rsidP="008B08E3">
            <w:pPr>
              <w:jc w:val="center"/>
              <w:rPr>
                <w:rFonts w:cs="Arial"/>
                <w:sz w:val="18"/>
                <w:szCs w:val="18"/>
                <w:highlight w:val="red"/>
              </w:rPr>
            </w:pPr>
            <w:r w:rsidRPr="00AD3519">
              <w:rPr>
                <w:rFonts w:cs="Arial"/>
                <w:sz w:val="18"/>
                <w:szCs w:val="18"/>
              </w:rPr>
              <w:t>866,398</w:t>
            </w:r>
          </w:p>
        </w:tc>
        <w:tc>
          <w:tcPr>
            <w:tcW w:w="1276" w:type="dxa"/>
            <w:shd w:val="clear" w:color="auto" w:fill="FCD5B4"/>
            <w:vAlign w:val="center"/>
          </w:tcPr>
          <w:p w14:paraId="07809E55" w14:textId="77777777" w:rsidR="008A0447" w:rsidRPr="00AD3519" w:rsidRDefault="008A0447" w:rsidP="008B08E3">
            <w:pPr>
              <w:jc w:val="center"/>
              <w:rPr>
                <w:rFonts w:cs="Arial"/>
                <w:sz w:val="18"/>
                <w:szCs w:val="18"/>
              </w:rPr>
            </w:pPr>
            <w:r w:rsidRPr="00AD3519">
              <w:rPr>
                <w:rFonts w:cs="Arial"/>
                <w:sz w:val="18"/>
                <w:szCs w:val="18"/>
              </w:rPr>
              <w:t>2,625,593</w:t>
            </w:r>
          </w:p>
        </w:tc>
      </w:tr>
      <w:tr w:rsidR="008A0447" w:rsidRPr="008B08E3" w14:paraId="2F2A19B7" w14:textId="77777777" w:rsidTr="00E53A2D">
        <w:tc>
          <w:tcPr>
            <w:tcW w:w="3216" w:type="dxa"/>
          </w:tcPr>
          <w:p w14:paraId="728C2A65" w14:textId="77777777" w:rsidR="008A0447" w:rsidRPr="00AD3519" w:rsidRDefault="008A0447" w:rsidP="008B08E3">
            <w:pPr>
              <w:rPr>
                <w:rFonts w:cs="Arial"/>
                <w:sz w:val="18"/>
                <w:szCs w:val="18"/>
              </w:rPr>
            </w:pPr>
            <w:r w:rsidRPr="00AD3519">
              <w:rPr>
                <w:rFonts w:cs="Arial"/>
                <w:sz w:val="18"/>
                <w:szCs w:val="18"/>
              </w:rPr>
              <w:t>Number of visits to museums each month</w:t>
            </w:r>
          </w:p>
        </w:tc>
        <w:tc>
          <w:tcPr>
            <w:tcW w:w="992" w:type="dxa"/>
            <w:vAlign w:val="center"/>
          </w:tcPr>
          <w:p w14:paraId="06435769"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vAlign w:val="center"/>
          </w:tcPr>
          <w:p w14:paraId="607D0E37" w14:textId="77777777" w:rsidR="008A0447" w:rsidRPr="00AD3519" w:rsidRDefault="008A0447" w:rsidP="008B08E3">
            <w:pPr>
              <w:jc w:val="center"/>
              <w:rPr>
                <w:rFonts w:cs="Arial"/>
                <w:sz w:val="18"/>
                <w:szCs w:val="18"/>
              </w:rPr>
            </w:pPr>
            <w:r w:rsidRPr="00AD3519">
              <w:rPr>
                <w:rFonts w:cs="Arial"/>
                <w:sz w:val="18"/>
                <w:szCs w:val="18"/>
              </w:rPr>
              <w:t>39,242</w:t>
            </w:r>
          </w:p>
        </w:tc>
        <w:tc>
          <w:tcPr>
            <w:tcW w:w="1134" w:type="dxa"/>
            <w:vAlign w:val="center"/>
          </w:tcPr>
          <w:p w14:paraId="3897413A" w14:textId="77777777" w:rsidR="008A0447" w:rsidRPr="00AD3519" w:rsidRDefault="008A0447" w:rsidP="008B08E3">
            <w:pPr>
              <w:jc w:val="center"/>
              <w:rPr>
                <w:rFonts w:cs="Arial"/>
                <w:sz w:val="18"/>
                <w:szCs w:val="18"/>
              </w:rPr>
            </w:pPr>
            <w:r w:rsidRPr="00AD3519">
              <w:rPr>
                <w:rFonts w:cs="Arial"/>
                <w:sz w:val="18"/>
                <w:szCs w:val="18"/>
              </w:rPr>
              <w:t>70,140</w:t>
            </w:r>
          </w:p>
        </w:tc>
        <w:tc>
          <w:tcPr>
            <w:tcW w:w="992" w:type="dxa"/>
            <w:vAlign w:val="center"/>
          </w:tcPr>
          <w:p w14:paraId="1DAE2178" w14:textId="77777777" w:rsidR="008A0447" w:rsidRPr="00AD3519" w:rsidRDefault="008A0447" w:rsidP="008B08E3">
            <w:pPr>
              <w:jc w:val="center"/>
              <w:rPr>
                <w:rFonts w:cs="Arial"/>
                <w:sz w:val="18"/>
                <w:szCs w:val="18"/>
              </w:rPr>
            </w:pPr>
            <w:r w:rsidRPr="00AD3519">
              <w:rPr>
                <w:rFonts w:cs="Arial"/>
                <w:sz w:val="18"/>
                <w:szCs w:val="18"/>
              </w:rPr>
              <w:t>89,013</w:t>
            </w:r>
          </w:p>
        </w:tc>
        <w:tc>
          <w:tcPr>
            <w:tcW w:w="1032" w:type="dxa"/>
            <w:vAlign w:val="center"/>
          </w:tcPr>
          <w:p w14:paraId="3C46B270" w14:textId="45F5AA5F" w:rsidR="008A0447" w:rsidRPr="00AD3519" w:rsidRDefault="00AE4157" w:rsidP="00AE4157">
            <w:pPr>
              <w:jc w:val="center"/>
              <w:rPr>
                <w:rFonts w:cs="Arial"/>
                <w:sz w:val="18"/>
                <w:szCs w:val="18"/>
                <w:highlight w:val="red"/>
              </w:rPr>
            </w:pPr>
            <w:r>
              <w:rPr>
                <w:rFonts w:cs="Arial"/>
                <w:sz w:val="18"/>
                <w:szCs w:val="18"/>
              </w:rPr>
              <w:t>41, 55</w:t>
            </w:r>
            <w:r w:rsidR="008A0447" w:rsidRPr="00AD3519">
              <w:rPr>
                <w:rFonts w:cs="Arial"/>
                <w:sz w:val="18"/>
                <w:szCs w:val="18"/>
              </w:rPr>
              <w:t>4</w:t>
            </w:r>
          </w:p>
        </w:tc>
        <w:tc>
          <w:tcPr>
            <w:tcW w:w="1276" w:type="dxa"/>
            <w:shd w:val="clear" w:color="auto" w:fill="FCD5B4"/>
            <w:vAlign w:val="center"/>
          </w:tcPr>
          <w:p w14:paraId="7F385537" w14:textId="1FF77D10" w:rsidR="008A0447" w:rsidRPr="00AD3519" w:rsidRDefault="00E63558" w:rsidP="00E63558">
            <w:pPr>
              <w:jc w:val="center"/>
              <w:rPr>
                <w:rFonts w:cs="Arial"/>
                <w:sz w:val="18"/>
                <w:szCs w:val="18"/>
              </w:rPr>
            </w:pPr>
            <w:r>
              <w:rPr>
                <w:rFonts w:cs="Arial"/>
                <w:sz w:val="18"/>
                <w:szCs w:val="18"/>
              </w:rPr>
              <w:t>200</w:t>
            </w:r>
            <w:r w:rsidR="008A0447" w:rsidRPr="00AD3519">
              <w:rPr>
                <w:rFonts w:cs="Arial"/>
                <w:sz w:val="18"/>
                <w:szCs w:val="18"/>
              </w:rPr>
              <w:t>,</w:t>
            </w:r>
            <w:r>
              <w:rPr>
                <w:rFonts w:cs="Arial"/>
                <w:sz w:val="18"/>
                <w:szCs w:val="18"/>
              </w:rPr>
              <w:t>70</w:t>
            </w:r>
            <w:r w:rsidR="008A0447" w:rsidRPr="00AD3519">
              <w:rPr>
                <w:rFonts w:cs="Arial"/>
                <w:sz w:val="18"/>
                <w:szCs w:val="18"/>
              </w:rPr>
              <w:t>7</w:t>
            </w:r>
          </w:p>
        </w:tc>
      </w:tr>
      <w:tr w:rsidR="008A0447" w:rsidRPr="008B08E3" w14:paraId="653601CE" w14:textId="77777777" w:rsidTr="00E53A2D">
        <w:tc>
          <w:tcPr>
            <w:tcW w:w="3216" w:type="dxa"/>
          </w:tcPr>
          <w:p w14:paraId="7D294955" w14:textId="77777777" w:rsidR="008A0447" w:rsidRPr="00AD3519" w:rsidRDefault="008A0447" w:rsidP="008B08E3">
            <w:pPr>
              <w:rPr>
                <w:rFonts w:cs="Arial"/>
                <w:sz w:val="18"/>
                <w:szCs w:val="18"/>
              </w:rPr>
            </w:pPr>
            <w:r w:rsidRPr="00AD3519">
              <w:rPr>
                <w:rFonts w:cs="Arial"/>
                <w:sz w:val="18"/>
                <w:szCs w:val="18"/>
              </w:rPr>
              <w:t>Number of E-Book downloads each month</w:t>
            </w:r>
          </w:p>
        </w:tc>
        <w:tc>
          <w:tcPr>
            <w:tcW w:w="992" w:type="dxa"/>
            <w:vAlign w:val="center"/>
          </w:tcPr>
          <w:p w14:paraId="33EF4980"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vAlign w:val="center"/>
          </w:tcPr>
          <w:p w14:paraId="7DE384A5" w14:textId="77777777" w:rsidR="008A0447" w:rsidRPr="00AD3519" w:rsidRDefault="008A0447" w:rsidP="008B08E3">
            <w:pPr>
              <w:jc w:val="center"/>
              <w:rPr>
                <w:rFonts w:cs="Arial"/>
                <w:sz w:val="18"/>
                <w:szCs w:val="18"/>
              </w:rPr>
            </w:pPr>
            <w:r w:rsidRPr="00AD3519">
              <w:rPr>
                <w:rFonts w:cs="Arial"/>
                <w:sz w:val="18"/>
                <w:szCs w:val="18"/>
              </w:rPr>
              <w:t>40,516</w:t>
            </w:r>
          </w:p>
        </w:tc>
        <w:tc>
          <w:tcPr>
            <w:tcW w:w="1134" w:type="dxa"/>
            <w:vAlign w:val="center"/>
          </w:tcPr>
          <w:p w14:paraId="1C64A348" w14:textId="77777777" w:rsidR="008A0447" w:rsidRPr="00AD3519" w:rsidRDefault="008A0447" w:rsidP="008B08E3">
            <w:pPr>
              <w:jc w:val="center"/>
              <w:rPr>
                <w:rFonts w:cs="Arial"/>
                <w:sz w:val="18"/>
                <w:szCs w:val="18"/>
              </w:rPr>
            </w:pPr>
            <w:r w:rsidRPr="00AD3519">
              <w:rPr>
                <w:rFonts w:cs="Arial"/>
                <w:sz w:val="18"/>
                <w:szCs w:val="18"/>
              </w:rPr>
              <w:t>49,249</w:t>
            </w:r>
          </w:p>
        </w:tc>
        <w:tc>
          <w:tcPr>
            <w:tcW w:w="992" w:type="dxa"/>
            <w:vAlign w:val="center"/>
          </w:tcPr>
          <w:p w14:paraId="5BD8C604" w14:textId="77777777" w:rsidR="008A0447" w:rsidRPr="00AD3519" w:rsidRDefault="008A0447" w:rsidP="008B08E3">
            <w:pPr>
              <w:jc w:val="center"/>
              <w:rPr>
                <w:rFonts w:cs="Arial"/>
                <w:sz w:val="18"/>
                <w:szCs w:val="18"/>
              </w:rPr>
            </w:pPr>
            <w:r w:rsidRPr="00AD3519">
              <w:rPr>
                <w:rFonts w:cs="Arial"/>
                <w:sz w:val="18"/>
                <w:szCs w:val="18"/>
              </w:rPr>
              <w:t>53,023</w:t>
            </w:r>
          </w:p>
        </w:tc>
        <w:tc>
          <w:tcPr>
            <w:tcW w:w="1032" w:type="dxa"/>
            <w:vAlign w:val="center"/>
          </w:tcPr>
          <w:p w14:paraId="26315E86" w14:textId="1D5A3232" w:rsidR="008A0447" w:rsidRPr="00AD3519" w:rsidRDefault="00AE4157" w:rsidP="008B08E3">
            <w:pPr>
              <w:jc w:val="center"/>
              <w:rPr>
                <w:rFonts w:cs="Arial"/>
                <w:sz w:val="18"/>
                <w:szCs w:val="18"/>
              </w:rPr>
            </w:pPr>
            <w:r>
              <w:rPr>
                <w:rFonts w:cs="Arial"/>
                <w:sz w:val="18"/>
                <w:szCs w:val="18"/>
              </w:rPr>
              <w:t>52</w:t>
            </w:r>
            <w:r w:rsidR="008A0447" w:rsidRPr="00AD3519">
              <w:rPr>
                <w:rFonts w:cs="Arial"/>
                <w:sz w:val="18"/>
                <w:szCs w:val="18"/>
              </w:rPr>
              <w:t>,492</w:t>
            </w:r>
          </w:p>
        </w:tc>
        <w:tc>
          <w:tcPr>
            <w:tcW w:w="1276" w:type="dxa"/>
            <w:shd w:val="clear" w:color="auto" w:fill="FCD5B4"/>
            <w:vAlign w:val="center"/>
          </w:tcPr>
          <w:p w14:paraId="4F03F0B4" w14:textId="55BBC814" w:rsidR="008A0447" w:rsidRPr="00AD3519" w:rsidRDefault="00E63558" w:rsidP="008B08E3">
            <w:pPr>
              <w:jc w:val="center"/>
              <w:rPr>
                <w:rFonts w:cs="Arial"/>
                <w:sz w:val="18"/>
                <w:szCs w:val="18"/>
              </w:rPr>
            </w:pPr>
            <w:r>
              <w:rPr>
                <w:rFonts w:cs="Arial"/>
                <w:sz w:val="18"/>
                <w:szCs w:val="18"/>
              </w:rPr>
              <w:t>154</w:t>
            </w:r>
            <w:r w:rsidR="008A0447" w:rsidRPr="00AD3519">
              <w:rPr>
                <w:rFonts w:cs="Arial"/>
                <w:sz w:val="18"/>
                <w:szCs w:val="18"/>
              </w:rPr>
              <w:t>,764</w:t>
            </w:r>
          </w:p>
        </w:tc>
      </w:tr>
      <w:tr w:rsidR="008A0447" w:rsidRPr="008B08E3" w14:paraId="1D5A8673" w14:textId="77777777" w:rsidTr="00E53A2D">
        <w:tc>
          <w:tcPr>
            <w:tcW w:w="3216" w:type="dxa"/>
          </w:tcPr>
          <w:p w14:paraId="63F02290" w14:textId="77777777" w:rsidR="008A0447" w:rsidRPr="00AD3519" w:rsidRDefault="008A0447" w:rsidP="008B08E3">
            <w:pPr>
              <w:rPr>
                <w:rFonts w:cs="Arial"/>
                <w:sz w:val="18"/>
                <w:szCs w:val="18"/>
              </w:rPr>
            </w:pPr>
            <w:r w:rsidRPr="00AD3519">
              <w:rPr>
                <w:rFonts w:cs="Arial"/>
                <w:sz w:val="18"/>
                <w:szCs w:val="18"/>
              </w:rPr>
              <w:t>Number of library real issues each month</w:t>
            </w:r>
          </w:p>
        </w:tc>
        <w:tc>
          <w:tcPr>
            <w:tcW w:w="992" w:type="dxa"/>
            <w:vAlign w:val="center"/>
          </w:tcPr>
          <w:p w14:paraId="0E6AC947"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vAlign w:val="center"/>
          </w:tcPr>
          <w:p w14:paraId="31B86FE7" w14:textId="77777777" w:rsidR="008A0447" w:rsidRPr="00AD3519" w:rsidRDefault="002C49AC" w:rsidP="008B08E3">
            <w:pPr>
              <w:jc w:val="center"/>
              <w:rPr>
                <w:rFonts w:cs="Arial"/>
                <w:sz w:val="18"/>
                <w:szCs w:val="18"/>
              </w:rPr>
            </w:pPr>
            <w:r>
              <w:rPr>
                <w:rFonts w:cs="Arial"/>
                <w:sz w:val="18"/>
                <w:szCs w:val="18"/>
              </w:rPr>
              <w:t>928,397</w:t>
            </w:r>
          </w:p>
        </w:tc>
        <w:tc>
          <w:tcPr>
            <w:tcW w:w="1134" w:type="dxa"/>
            <w:vAlign w:val="center"/>
          </w:tcPr>
          <w:p w14:paraId="0BA9B2DC" w14:textId="77777777" w:rsidR="008A0447" w:rsidRPr="00AD3519" w:rsidRDefault="008A0447" w:rsidP="008B08E3">
            <w:pPr>
              <w:jc w:val="center"/>
              <w:rPr>
                <w:rFonts w:cs="Arial"/>
                <w:sz w:val="18"/>
                <w:szCs w:val="18"/>
              </w:rPr>
            </w:pPr>
            <w:r w:rsidRPr="00AD3519">
              <w:rPr>
                <w:rFonts w:cs="Arial"/>
                <w:sz w:val="18"/>
                <w:szCs w:val="18"/>
              </w:rPr>
              <w:t>913,949</w:t>
            </w:r>
          </w:p>
        </w:tc>
        <w:tc>
          <w:tcPr>
            <w:tcW w:w="992" w:type="dxa"/>
            <w:vAlign w:val="center"/>
          </w:tcPr>
          <w:p w14:paraId="083F4F68" w14:textId="77777777" w:rsidR="008A0447" w:rsidRPr="00AD3519" w:rsidRDefault="008A0447" w:rsidP="008B08E3">
            <w:pPr>
              <w:jc w:val="center"/>
              <w:rPr>
                <w:rFonts w:cs="Arial"/>
                <w:sz w:val="18"/>
                <w:szCs w:val="18"/>
              </w:rPr>
            </w:pPr>
            <w:r w:rsidRPr="00AD3519">
              <w:rPr>
                <w:rFonts w:cs="Arial"/>
                <w:sz w:val="18"/>
                <w:szCs w:val="18"/>
              </w:rPr>
              <w:t>997,359</w:t>
            </w:r>
          </w:p>
        </w:tc>
        <w:tc>
          <w:tcPr>
            <w:tcW w:w="1032" w:type="dxa"/>
            <w:vAlign w:val="center"/>
          </w:tcPr>
          <w:p w14:paraId="7FD60612" w14:textId="77777777" w:rsidR="008A0447" w:rsidRPr="00AD3519" w:rsidRDefault="008A0447" w:rsidP="008B08E3">
            <w:pPr>
              <w:jc w:val="center"/>
              <w:rPr>
                <w:rFonts w:cs="Arial"/>
                <w:sz w:val="18"/>
                <w:szCs w:val="18"/>
              </w:rPr>
            </w:pPr>
            <w:r w:rsidRPr="00AD3519">
              <w:rPr>
                <w:rFonts w:cs="Arial"/>
                <w:sz w:val="18"/>
                <w:szCs w:val="18"/>
              </w:rPr>
              <w:t>857,734</w:t>
            </w:r>
          </w:p>
        </w:tc>
        <w:tc>
          <w:tcPr>
            <w:tcW w:w="1276" w:type="dxa"/>
            <w:shd w:val="clear" w:color="auto" w:fill="FCD5B4"/>
            <w:vAlign w:val="center"/>
          </w:tcPr>
          <w:p w14:paraId="50B3D0B5" w14:textId="77777777" w:rsidR="008A0447" w:rsidRPr="00AD3519" w:rsidRDefault="008A0447" w:rsidP="008B08E3">
            <w:pPr>
              <w:jc w:val="center"/>
              <w:rPr>
                <w:rFonts w:cs="Arial"/>
                <w:sz w:val="18"/>
                <w:szCs w:val="18"/>
              </w:rPr>
            </w:pPr>
            <w:r w:rsidRPr="00AD3519">
              <w:rPr>
                <w:rFonts w:cs="Arial"/>
                <w:sz w:val="18"/>
                <w:szCs w:val="18"/>
              </w:rPr>
              <w:t>2,769,042</w:t>
            </w:r>
          </w:p>
        </w:tc>
      </w:tr>
      <w:tr w:rsidR="00AD3519" w:rsidRPr="008B08E3" w14:paraId="425A6DCF" w14:textId="77777777" w:rsidTr="00E53A2D">
        <w:tc>
          <w:tcPr>
            <w:tcW w:w="9776" w:type="dxa"/>
            <w:gridSpan w:val="7"/>
            <w:shd w:val="clear" w:color="auto" w:fill="D9D9D9" w:themeFill="background1" w:themeFillShade="D9"/>
          </w:tcPr>
          <w:p w14:paraId="34E4A353" w14:textId="77777777" w:rsidR="00AD3519" w:rsidRPr="00AD3519" w:rsidRDefault="00AD3519" w:rsidP="008B08E3">
            <w:pPr>
              <w:jc w:val="center"/>
              <w:rPr>
                <w:rFonts w:cs="Arial"/>
                <w:b/>
                <w:sz w:val="18"/>
                <w:szCs w:val="18"/>
              </w:rPr>
            </w:pPr>
            <w:r w:rsidRPr="00AD3519">
              <w:rPr>
                <w:rFonts w:cs="Arial"/>
                <w:b/>
                <w:sz w:val="18"/>
                <w:szCs w:val="18"/>
              </w:rPr>
              <w:t>Planning applications</w:t>
            </w:r>
          </w:p>
        </w:tc>
      </w:tr>
      <w:tr w:rsidR="008A0447" w:rsidRPr="008B08E3" w14:paraId="433467EC" w14:textId="77777777" w:rsidTr="00E53A2D">
        <w:tc>
          <w:tcPr>
            <w:tcW w:w="3216" w:type="dxa"/>
            <w:tcBorders>
              <w:bottom w:val="single" w:sz="4" w:space="0" w:color="auto"/>
            </w:tcBorders>
          </w:tcPr>
          <w:p w14:paraId="2233830E" w14:textId="77777777" w:rsidR="008A0447" w:rsidRPr="00AD3519" w:rsidRDefault="008A0447" w:rsidP="008B08E3">
            <w:pPr>
              <w:rPr>
                <w:rFonts w:cs="Arial"/>
                <w:sz w:val="18"/>
                <w:szCs w:val="18"/>
              </w:rPr>
            </w:pPr>
            <w:r w:rsidRPr="00AD3519">
              <w:rPr>
                <w:rFonts w:cs="Arial"/>
                <w:sz w:val="18"/>
                <w:szCs w:val="18"/>
              </w:rPr>
              <w:t>% of minerals and waste planning applications determined within 13 weeks </w:t>
            </w:r>
          </w:p>
        </w:tc>
        <w:tc>
          <w:tcPr>
            <w:tcW w:w="992" w:type="dxa"/>
            <w:tcBorders>
              <w:top w:val="single" w:sz="4" w:space="0" w:color="auto"/>
              <w:bottom w:val="single" w:sz="4" w:space="0" w:color="auto"/>
            </w:tcBorders>
            <w:vAlign w:val="center"/>
          </w:tcPr>
          <w:p w14:paraId="2D37764C"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tcBorders>
              <w:top w:val="single" w:sz="4" w:space="0" w:color="auto"/>
              <w:bottom w:val="single" w:sz="4" w:space="0" w:color="auto"/>
            </w:tcBorders>
            <w:vAlign w:val="center"/>
          </w:tcPr>
          <w:p w14:paraId="43C1FCA7" w14:textId="77777777" w:rsidR="008A0447" w:rsidRPr="00AD3519" w:rsidRDefault="008A0447" w:rsidP="008B08E3">
            <w:pPr>
              <w:jc w:val="center"/>
              <w:rPr>
                <w:rFonts w:cs="Arial"/>
                <w:sz w:val="18"/>
                <w:szCs w:val="18"/>
              </w:rPr>
            </w:pPr>
            <w:r w:rsidRPr="00AD3519">
              <w:rPr>
                <w:rFonts w:cs="Arial"/>
                <w:sz w:val="18"/>
                <w:szCs w:val="18"/>
              </w:rPr>
              <w:t>44%</w:t>
            </w:r>
          </w:p>
        </w:tc>
        <w:tc>
          <w:tcPr>
            <w:tcW w:w="1134" w:type="dxa"/>
            <w:tcBorders>
              <w:top w:val="single" w:sz="4" w:space="0" w:color="auto"/>
              <w:bottom w:val="single" w:sz="4" w:space="0" w:color="auto"/>
            </w:tcBorders>
            <w:vAlign w:val="center"/>
          </w:tcPr>
          <w:p w14:paraId="0406719B" w14:textId="77777777" w:rsidR="008A0447" w:rsidRPr="00AD3519" w:rsidRDefault="008A0447" w:rsidP="008B08E3">
            <w:pPr>
              <w:jc w:val="center"/>
              <w:rPr>
                <w:rFonts w:cs="Arial"/>
                <w:sz w:val="18"/>
                <w:szCs w:val="18"/>
              </w:rPr>
            </w:pPr>
            <w:r w:rsidRPr="00AD3519">
              <w:rPr>
                <w:rFonts w:cs="Arial"/>
                <w:sz w:val="18"/>
                <w:szCs w:val="18"/>
              </w:rPr>
              <w:t>60%</w:t>
            </w:r>
          </w:p>
        </w:tc>
        <w:tc>
          <w:tcPr>
            <w:tcW w:w="992" w:type="dxa"/>
            <w:tcBorders>
              <w:top w:val="single" w:sz="4" w:space="0" w:color="auto"/>
              <w:bottom w:val="single" w:sz="4" w:space="0" w:color="auto"/>
            </w:tcBorders>
            <w:vAlign w:val="center"/>
          </w:tcPr>
          <w:p w14:paraId="0641001C" w14:textId="77777777" w:rsidR="008A0447" w:rsidRPr="00AD3519" w:rsidRDefault="008A0447" w:rsidP="008B08E3">
            <w:pPr>
              <w:jc w:val="center"/>
              <w:rPr>
                <w:rFonts w:cs="Arial"/>
                <w:sz w:val="18"/>
                <w:szCs w:val="18"/>
              </w:rPr>
            </w:pPr>
            <w:r w:rsidRPr="00AD3519">
              <w:rPr>
                <w:rFonts w:cs="Arial"/>
                <w:sz w:val="18"/>
                <w:szCs w:val="18"/>
              </w:rPr>
              <w:t>56%</w:t>
            </w:r>
          </w:p>
        </w:tc>
        <w:tc>
          <w:tcPr>
            <w:tcW w:w="1032" w:type="dxa"/>
            <w:tcBorders>
              <w:top w:val="single" w:sz="4" w:space="0" w:color="auto"/>
              <w:bottom w:val="single" w:sz="4" w:space="0" w:color="auto"/>
            </w:tcBorders>
            <w:shd w:val="clear" w:color="auto" w:fill="FFFFFF" w:themeFill="background1"/>
            <w:vAlign w:val="center"/>
          </w:tcPr>
          <w:p w14:paraId="06ADD983" w14:textId="77777777" w:rsidR="008A0447" w:rsidRPr="00AD3519" w:rsidRDefault="008A0447" w:rsidP="008B08E3">
            <w:pPr>
              <w:jc w:val="center"/>
              <w:rPr>
                <w:rFonts w:cs="Arial"/>
                <w:sz w:val="18"/>
                <w:szCs w:val="18"/>
                <w:highlight w:val="darkGreen"/>
              </w:rPr>
            </w:pPr>
            <w:r w:rsidRPr="00AD3519">
              <w:rPr>
                <w:rFonts w:cs="Arial"/>
                <w:sz w:val="18"/>
                <w:szCs w:val="18"/>
              </w:rPr>
              <w:t>90%</w:t>
            </w:r>
          </w:p>
        </w:tc>
        <w:tc>
          <w:tcPr>
            <w:tcW w:w="1276" w:type="dxa"/>
            <w:tcBorders>
              <w:top w:val="single" w:sz="4" w:space="0" w:color="auto"/>
              <w:bottom w:val="single" w:sz="4" w:space="0" w:color="auto"/>
            </w:tcBorders>
            <w:shd w:val="clear" w:color="auto" w:fill="F7CAAC" w:themeFill="accent2" w:themeFillTint="66"/>
            <w:vAlign w:val="center"/>
          </w:tcPr>
          <w:p w14:paraId="567E37ED" w14:textId="77777777" w:rsidR="008A0447" w:rsidRPr="00AD3519" w:rsidRDefault="008A0447" w:rsidP="008B08E3">
            <w:pPr>
              <w:jc w:val="center"/>
              <w:rPr>
                <w:rFonts w:cs="Arial"/>
                <w:sz w:val="18"/>
                <w:szCs w:val="18"/>
              </w:rPr>
            </w:pPr>
            <w:r w:rsidRPr="00AD3519">
              <w:rPr>
                <w:rFonts w:cs="Arial"/>
                <w:sz w:val="18"/>
                <w:szCs w:val="18"/>
              </w:rPr>
              <w:t>68%</w:t>
            </w:r>
          </w:p>
        </w:tc>
      </w:tr>
      <w:tr w:rsidR="008A0447" w:rsidRPr="008B08E3" w14:paraId="61079ACC" w14:textId="77777777" w:rsidTr="00E53A2D">
        <w:tc>
          <w:tcPr>
            <w:tcW w:w="3216" w:type="dxa"/>
            <w:tcBorders>
              <w:top w:val="single" w:sz="4" w:space="0" w:color="auto"/>
              <w:left w:val="single" w:sz="8" w:space="0" w:color="auto"/>
              <w:bottom w:val="single" w:sz="4" w:space="0" w:color="auto"/>
              <w:right w:val="single" w:sz="8" w:space="0" w:color="auto"/>
            </w:tcBorders>
            <w:shd w:val="clear" w:color="auto" w:fill="auto"/>
            <w:vAlign w:val="center"/>
          </w:tcPr>
          <w:p w14:paraId="4C83A6FE" w14:textId="77777777" w:rsidR="008A0447" w:rsidRPr="00AD3519" w:rsidRDefault="008A0447" w:rsidP="008B08E3">
            <w:pPr>
              <w:rPr>
                <w:rFonts w:cs="Arial"/>
                <w:sz w:val="18"/>
                <w:szCs w:val="18"/>
              </w:rPr>
            </w:pPr>
            <w:r w:rsidRPr="00AD3519">
              <w:rPr>
                <w:rFonts w:cs="Arial"/>
                <w:sz w:val="18"/>
                <w:szCs w:val="18"/>
              </w:rPr>
              <w:t>% of Regulation 3 planning applications determined within 8 weeks</w:t>
            </w:r>
          </w:p>
        </w:tc>
        <w:tc>
          <w:tcPr>
            <w:tcW w:w="992" w:type="dxa"/>
            <w:tcBorders>
              <w:top w:val="single" w:sz="4" w:space="0" w:color="auto"/>
              <w:bottom w:val="single" w:sz="4" w:space="0" w:color="auto"/>
            </w:tcBorders>
            <w:vAlign w:val="center"/>
          </w:tcPr>
          <w:p w14:paraId="71AA4B71" w14:textId="77777777" w:rsidR="008A0447" w:rsidRPr="00AD3519" w:rsidRDefault="008A0447" w:rsidP="008B08E3">
            <w:pPr>
              <w:jc w:val="center"/>
              <w:rPr>
                <w:rFonts w:cs="Arial"/>
                <w:sz w:val="18"/>
                <w:szCs w:val="18"/>
              </w:rPr>
            </w:pPr>
            <w:r w:rsidRPr="00AD3519">
              <w:rPr>
                <w:rFonts w:cs="Arial"/>
                <w:sz w:val="18"/>
                <w:szCs w:val="18"/>
              </w:rPr>
              <w:t>H</w:t>
            </w:r>
          </w:p>
        </w:tc>
        <w:tc>
          <w:tcPr>
            <w:tcW w:w="1134" w:type="dxa"/>
            <w:tcBorders>
              <w:top w:val="single" w:sz="4" w:space="0" w:color="auto"/>
              <w:bottom w:val="single" w:sz="4" w:space="0" w:color="auto"/>
            </w:tcBorders>
            <w:vAlign w:val="center"/>
          </w:tcPr>
          <w:p w14:paraId="2D1D20D8" w14:textId="77777777" w:rsidR="008A0447" w:rsidRPr="00AD3519" w:rsidRDefault="008A0447" w:rsidP="008B08E3">
            <w:pPr>
              <w:jc w:val="center"/>
              <w:rPr>
                <w:rFonts w:cs="Arial"/>
                <w:sz w:val="18"/>
                <w:szCs w:val="18"/>
              </w:rPr>
            </w:pPr>
            <w:r w:rsidRPr="00AD3519">
              <w:rPr>
                <w:rFonts w:cs="Arial"/>
                <w:sz w:val="18"/>
                <w:szCs w:val="18"/>
              </w:rPr>
              <w:t>67%</w:t>
            </w:r>
          </w:p>
        </w:tc>
        <w:tc>
          <w:tcPr>
            <w:tcW w:w="1134" w:type="dxa"/>
            <w:tcBorders>
              <w:top w:val="single" w:sz="4" w:space="0" w:color="auto"/>
              <w:bottom w:val="single" w:sz="4" w:space="0" w:color="auto"/>
            </w:tcBorders>
            <w:vAlign w:val="center"/>
          </w:tcPr>
          <w:p w14:paraId="5181BC6F" w14:textId="77777777" w:rsidR="008A0447" w:rsidRPr="00AD3519" w:rsidRDefault="008A0447" w:rsidP="008B08E3">
            <w:pPr>
              <w:jc w:val="center"/>
              <w:rPr>
                <w:rFonts w:cs="Arial"/>
                <w:sz w:val="18"/>
                <w:szCs w:val="18"/>
              </w:rPr>
            </w:pPr>
            <w:r w:rsidRPr="00AD3519">
              <w:rPr>
                <w:rFonts w:cs="Arial"/>
                <w:sz w:val="18"/>
                <w:szCs w:val="18"/>
              </w:rPr>
              <w:t>70%</w:t>
            </w:r>
          </w:p>
        </w:tc>
        <w:tc>
          <w:tcPr>
            <w:tcW w:w="992" w:type="dxa"/>
            <w:tcBorders>
              <w:top w:val="single" w:sz="4" w:space="0" w:color="auto"/>
              <w:bottom w:val="single" w:sz="4" w:space="0" w:color="auto"/>
            </w:tcBorders>
            <w:vAlign w:val="center"/>
          </w:tcPr>
          <w:p w14:paraId="7926D07A" w14:textId="77777777" w:rsidR="008A0447" w:rsidRPr="00AD3519" w:rsidRDefault="008A0447" w:rsidP="008B08E3">
            <w:pPr>
              <w:jc w:val="center"/>
              <w:rPr>
                <w:rFonts w:cs="Arial"/>
                <w:sz w:val="18"/>
                <w:szCs w:val="18"/>
              </w:rPr>
            </w:pPr>
            <w:r w:rsidRPr="00AD3519">
              <w:rPr>
                <w:rFonts w:cs="Arial"/>
                <w:sz w:val="18"/>
                <w:szCs w:val="18"/>
              </w:rPr>
              <w:t>91%</w:t>
            </w:r>
          </w:p>
        </w:tc>
        <w:tc>
          <w:tcPr>
            <w:tcW w:w="1032" w:type="dxa"/>
            <w:tcBorders>
              <w:top w:val="single" w:sz="4" w:space="0" w:color="auto"/>
              <w:bottom w:val="single" w:sz="4" w:space="0" w:color="auto"/>
            </w:tcBorders>
            <w:shd w:val="clear" w:color="auto" w:fill="FFFFFF" w:themeFill="background1"/>
            <w:vAlign w:val="center"/>
          </w:tcPr>
          <w:p w14:paraId="6118D693" w14:textId="77777777" w:rsidR="008A0447" w:rsidRPr="00AD3519" w:rsidRDefault="008A0447" w:rsidP="008B08E3">
            <w:pPr>
              <w:jc w:val="center"/>
              <w:rPr>
                <w:rFonts w:cs="Arial"/>
                <w:sz w:val="18"/>
                <w:szCs w:val="18"/>
              </w:rPr>
            </w:pPr>
            <w:r w:rsidRPr="00AD3519">
              <w:rPr>
                <w:rFonts w:cs="Arial"/>
                <w:sz w:val="18"/>
                <w:szCs w:val="18"/>
              </w:rPr>
              <w:t>75%</w:t>
            </w:r>
          </w:p>
        </w:tc>
        <w:tc>
          <w:tcPr>
            <w:tcW w:w="1276" w:type="dxa"/>
            <w:tcBorders>
              <w:top w:val="single" w:sz="4" w:space="0" w:color="auto"/>
              <w:bottom w:val="single" w:sz="4" w:space="0" w:color="auto"/>
            </w:tcBorders>
            <w:shd w:val="clear" w:color="auto" w:fill="F7CAAC" w:themeFill="accent2" w:themeFillTint="66"/>
            <w:vAlign w:val="center"/>
          </w:tcPr>
          <w:p w14:paraId="10ECA1CB" w14:textId="77777777" w:rsidR="008A0447" w:rsidRPr="00AD3519" w:rsidRDefault="008A0447" w:rsidP="008B08E3">
            <w:pPr>
              <w:jc w:val="center"/>
              <w:rPr>
                <w:rFonts w:cs="Arial"/>
                <w:sz w:val="18"/>
                <w:szCs w:val="18"/>
              </w:rPr>
            </w:pPr>
            <w:r w:rsidRPr="00AD3519">
              <w:rPr>
                <w:rFonts w:cs="Arial"/>
                <w:sz w:val="18"/>
                <w:szCs w:val="18"/>
              </w:rPr>
              <w:t>79%</w:t>
            </w:r>
          </w:p>
        </w:tc>
      </w:tr>
    </w:tbl>
    <w:p w14:paraId="651B8BF6" w14:textId="77777777" w:rsidR="003F7CFF" w:rsidRPr="00B47E3A" w:rsidRDefault="003F7CFF" w:rsidP="00E46CCF">
      <w:pPr>
        <w:jc w:val="both"/>
        <w:rPr>
          <w:rFonts w:asciiTheme="minorHAnsi" w:eastAsiaTheme="minorHAnsi" w:hAnsiTheme="minorHAnsi" w:cstheme="minorBidi"/>
          <w:szCs w:val="24"/>
          <w:lang w:eastAsia="en-US"/>
        </w:rPr>
      </w:pPr>
    </w:p>
    <w:p w14:paraId="6CD54E55" w14:textId="77777777" w:rsidR="003F7CFF" w:rsidRPr="001F7C9E" w:rsidRDefault="003F7CFF" w:rsidP="001F7C9E">
      <w:pPr>
        <w:jc w:val="both"/>
        <w:rPr>
          <w:rFonts w:eastAsiaTheme="minorHAnsi" w:cs="Arial"/>
          <w:i/>
          <w:sz w:val="22"/>
          <w:szCs w:val="22"/>
          <w:lang w:eastAsia="en-US"/>
        </w:rPr>
      </w:pPr>
      <w:r w:rsidRPr="001F7C9E">
        <w:rPr>
          <w:rFonts w:eastAsiaTheme="minorHAnsi" w:cs="Arial"/>
          <w:i/>
          <w:sz w:val="22"/>
          <w:szCs w:val="22"/>
          <w:lang w:eastAsia="en-US"/>
        </w:rPr>
        <w:t>Waste</w:t>
      </w:r>
    </w:p>
    <w:p w14:paraId="4E2AF748" w14:textId="77777777" w:rsidR="00170CBD" w:rsidRPr="001F7C9E" w:rsidRDefault="00170CBD" w:rsidP="00E46CCF">
      <w:pPr>
        <w:jc w:val="both"/>
        <w:rPr>
          <w:rFonts w:eastAsiaTheme="minorHAnsi" w:cs="Arial"/>
          <w:sz w:val="22"/>
          <w:szCs w:val="22"/>
        </w:rPr>
      </w:pPr>
      <w:r w:rsidRPr="001F7C9E">
        <w:rPr>
          <w:rFonts w:eastAsiaTheme="minorHAnsi" w:cs="Arial"/>
          <w:sz w:val="22"/>
          <w:szCs w:val="22"/>
        </w:rPr>
        <w:t xml:space="preserve">The reduction in recycling, re-use and composting is due to </w:t>
      </w:r>
      <w:r w:rsidR="00A12730" w:rsidRPr="001F7C9E">
        <w:rPr>
          <w:rFonts w:eastAsiaTheme="minorHAnsi" w:cs="Arial"/>
          <w:sz w:val="22"/>
          <w:szCs w:val="22"/>
        </w:rPr>
        <w:t xml:space="preserve">increased residual waste </w:t>
      </w:r>
      <w:r w:rsidRPr="001F7C9E">
        <w:rPr>
          <w:rFonts w:eastAsiaTheme="minorHAnsi" w:cs="Arial"/>
          <w:sz w:val="22"/>
          <w:szCs w:val="22"/>
        </w:rPr>
        <w:t xml:space="preserve">at both kerbside and Household Waste Recycling Centres alongside reductions in the amount of green waste collected at kerbside following the introduction of charges for its collection by many district councils.  </w:t>
      </w:r>
      <w:r w:rsidR="00A12730" w:rsidRPr="001F7C9E">
        <w:rPr>
          <w:rFonts w:eastAsiaTheme="minorHAnsi" w:cs="Arial"/>
          <w:sz w:val="22"/>
          <w:szCs w:val="22"/>
        </w:rPr>
        <w:t>T</w:t>
      </w:r>
      <w:r w:rsidRPr="001F7C9E">
        <w:rPr>
          <w:rFonts w:eastAsiaTheme="minorHAnsi" w:cs="Arial"/>
          <w:sz w:val="22"/>
          <w:szCs w:val="22"/>
        </w:rPr>
        <w:t>he amount of recycling collected has seen little change.</w:t>
      </w:r>
    </w:p>
    <w:p w14:paraId="585C93ED" w14:textId="77777777" w:rsidR="0061353A" w:rsidRPr="00B47E3A" w:rsidRDefault="0061353A" w:rsidP="003F7CFF">
      <w:pPr>
        <w:rPr>
          <w:rFonts w:eastAsiaTheme="minorHAnsi" w:cs="Arial"/>
          <w:szCs w:val="24"/>
        </w:rPr>
      </w:pPr>
    </w:p>
    <w:p w14:paraId="0B91D669" w14:textId="77777777" w:rsidR="008A3A4C" w:rsidRDefault="008A3A4C" w:rsidP="003F7CFF">
      <w:pPr>
        <w:rPr>
          <w:rFonts w:eastAsiaTheme="minorHAnsi" w:cs="Arial"/>
          <w:i/>
          <w:sz w:val="22"/>
          <w:szCs w:val="22"/>
        </w:rPr>
      </w:pPr>
    </w:p>
    <w:p w14:paraId="74DB2C1E" w14:textId="77777777" w:rsidR="008A3A4C" w:rsidRDefault="008A3A4C" w:rsidP="003F7CFF">
      <w:pPr>
        <w:rPr>
          <w:rFonts w:eastAsiaTheme="minorHAnsi" w:cs="Arial"/>
          <w:i/>
          <w:sz w:val="22"/>
          <w:szCs w:val="22"/>
        </w:rPr>
      </w:pPr>
    </w:p>
    <w:p w14:paraId="72A3C7C8" w14:textId="77777777" w:rsidR="003F7CFF" w:rsidRDefault="003F7CFF" w:rsidP="003F7CFF">
      <w:pPr>
        <w:rPr>
          <w:rFonts w:eastAsiaTheme="minorHAnsi" w:cs="Arial"/>
          <w:i/>
          <w:sz w:val="22"/>
          <w:szCs w:val="22"/>
        </w:rPr>
      </w:pPr>
      <w:r w:rsidRPr="00274EE4">
        <w:rPr>
          <w:rFonts w:eastAsiaTheme="minorHAnsi" w:cs="Arial"/>
          <w:i/>
          <w:sz w:val="22"/>
          <w:szCs w:val="22"/>
        </w:rPr>
        <w:t>Libraries</w:t>
      </w:r>
    </w:p>
    <w:p w14:paraId="668A82E1" w14:textId="77777777" w:rsidR="00AA0106" w:rsidRDefault="00AA0106" w:rsidP="00AA0106">
      <w:pPr>
        <w:rPr>
          <w:rFonts w:ascii="Calibri" w:hAnsi="Calibri"/>
          <w:sz w:val="22"/>
        </w:rPr>
      </w:pPr>
      <w:r>
        <w:lastRenderedPageBreak/>
        <w:t>There is a national trend of a decrease in the volume of loans from libraries. It is generally recognised that libraries should not be measured on the volume of book loans alone, a point recently reiterated by the Minister with responsibility for Public Libraries in England and Wales.</w:t>
      </w:r>
    </w:p>
    <w:p w14:paraId="6ACBE474" w14:textId="5ED5A983" w:rsidR="00AA0106" w:rsidRDefault="00AA0106" w:rsidP="00AA0106"/>
    <w:p w14:paraId="2B081381" w14:textId="40FB9F0A" w:rsidR="00AA0106" w:rsidRDefault="00AA0106" w:rsidP="00AA0106">
      <w:r>
        <w:t>Many citizens use their library for other reasons. Some library users rarely borrow a book or don't borrow in high numbers but regard their library as enabling them to use a community space, have digital access, feel less isolated and have access</w:t>
      </w:r>
      <w:r w:rsidR="005309DB">
        <w:t xml:space="preserve"> to</w:t>
      </w:r>
      <w:r>
        <w:t xml:space="preserve"> information and community activity. Libraries provide cultural venues with activity that brings enjoyment and supports the health and wellbeing of those citizens who visit them.</w:t>
      </w:r>
    </w:p>
    <w:p w14:paraId="6FE0FBED" w14:textId="5A53E06D" w:rsidR="00AA0106" w:rsidRDefault="00AA0106" w:rsidP="00AA0106"/>
    <w:p w14:paraId="5A0CBCE3" w14:textId="252D988D" w:rsidR="00AA0106" w:rsidRDefault="00AA0106" w:rsidP="00AA0106">
      <w:r>
        <w:t>The service is developing a range of new indicators to cover the Society of Chief Librarians 6 offers which the service is required to deliver and are featured in the library strategy.</w:t>
      </w:r>
    </w:p>
    <w:p w14:paraId="6E33F53C" w14:textId="77777777" w:rsidR="00AA0106" w:rsidRPr="00274EE4" w:rsidRDefault="00AA0106" w:rsidP="00AA0106">
      <w:pPr>
        <w:rPr>
          <w:rFonts w:eastAsiaTheme="minorHAnsi" w:cs="Arial"/>
          <w:i/>
          <w:sz w:val="22"/>
          <w:szCs w:val="22"/>
        </w:rPr>
      </w:pPr>
    </w:p>
    <w:p w14:paraId="4DE775A3" w14:textId="77777777" w:rsidR="003F7CFF" w:rsidRPr="00CD71F5" w:rsidRDefault="003F7CFF" w:rsidP="00CD71F5">
      <w:pPr>
        <w:rPr>
          <w:rFonts w:eastAsiaTheme="minorHAnsi" w:cs="Arial"/>
          <w:color w:val="FF0000"/>
          <w:sz w:val="22"/>
          <w:szCs w:val="22"/>
          <w:lang w:eastAsia="en-US"/>
        </w:rPr>
      </w:pPr>
      <w:r w:rsidRPr="00CD71F5">
        <w:rPr>
          <w:rFonts w:eastAsiaTheme="minorHAnsi" w:cs="Arial"/>
          <w:i/>
          <w:lang w:eastAsia="en-US"/>
        </w:rPr>
        <w:t>Planning</w:t>
      </w:r>
    </w:p>
    <w:p w14:paraId="4398C98D" w14:textId="77777777" w:rsidR="003F7CFF" w:rsidRPr="001F7C9E" w:rsidRDefault="003F7CFF" w:rsidP="00E46CCF">
      <w:pPr>
        <w:pStyle w:val="NoSpacing"/>
        <w:jc w:val="both"/>
        <w:rPr>
          <w:rFonts w:ascii="Arial" w:eastAsiaTheme="minorHAnsi" w:hAnsi="Arial" w:cs="Arial"/>
          <w:lang w:eastAsia="en-US"/>
        </w:rPr>
      </w:pPr>
      <w:r w:rsidRPr="001F7C9E">
        <w:rPr>
          <w:rFonts w:ascii="Arial" w:eastAsiaTheme="minorHAnsi" w:hAnsi="Arial" w:cs="Arial"/>
          <w:lang w:eastAsia="en-US"/>
        </w:rPr>
        <w:t xml:space="preserve">10 County Matter minerals and waste (i.e. major) applications were determined within quarter 3, of which 9 (90%) received a decision within the 13 week decision period.  The other application was determined within an agreed time extension.  </w:t>
      </w:r>
    </w:p>
    <w:p w14:paraId="5779102C" w14:textId="77777777" w:rsidR="003F7CFF" w:rsidRPr="00E97E9F" w:rsidRDefault="003F7CFF" w:rsidP="00E97E9F">
      <w:pPr>
        <w:jc w:val="center"/>
        <w:rPr>
          <w:rFonts w:eastAsiaTheme="minorHAnsi" w:cs="Arial"/>
          <w:sz w:val="18"/>
          <w:szCs w:val="18"/>
          <w:lang w:eastAsia="en-US"/>
        </w:rPr>
      </w:pPr>
      <w:r w:rsidRPr="00E97E9F">
        <w:rPr>
          <w:rFonts w:eastAsiaTheme="minorHAnsi" w:cs="Arial"/>
          <w:sz w:val="18"/>
          <w:szCs w:val="18"/>
          <w:lang w:eastAsia="en-US"/>
        </w:rPr>
        <w:t xml:space="preserve">  </w:t>
      </w:r>
    </w:p>
    <w:p w14:paraId="51F457EE" w14:textId="45D4E05B" w:rsidR="00A12730" w:rsidRPr="00AA0106" w:rsidRDefault="003F7CFF" w:rsidP="00E46CCF">
      <w:pPr>
        <w:pStyle w:val="NoSpacing"/>
        <w:jc w:val="both"/>
        <w:rPr>
          <w:rFonts w:ascii="Arial" w:eastAsiaTheme="minorHAnsi" w:hAnsi="Arial" w:cs="Arial"/>
          <w:lang w:eastAsia="en-US"/>
        </w:rPr>
      </w:pPr>
      <w:r w:rsidRPr="001F7C9E">
        <w:rPr>
          <w:rFonts w:ascii="Arial" w:eastAsiaTheme="minorHAnsi" w:hAnsi="Arial" w:cs="Arial"/>
          <w:lang w:eastAsia="en-US"/>
        </w:rPr>
        <w:t>8 applications for LCC's own Regulation 3 development were determined in quarter 3.  6 (75%) of these were determined within 8 weeks (there is no national standard in respect of this indicator, but 8 weeks is the standard set for district council applications of a similar scale).</w:t>
      </w:r>
    </w:p>
    <w:p w14:paraId="25DE1782" w14:textId="77777777" w:rsidR="003F7CFF" w:rsidRPr="00C123B0" w:rsidRDefault="003F7CFF" w:rsidP="00C123B0">
      <w:pPr>
        <w:pStyle w:val="NoSpacing"/>
        <w:rPr>
          <w:rFonts w:ascii="Arial" w:eastAsiaTheme="minorHAnsi" w:hAnsi="Arial" w:cs="Arial"/>
          <w:sz w:val="24"/>
          <w:szCs w:val="24"/>
          <w:lang w:eastAsia="en-US"/>
        </w:rPr>
      </w:pPr>
    </w:p>
    <w:tbl>
      <w:tblPr>
        <w:tblStyle w:val="TableGrid"/>
        <w:tblW w:w="9776" w:type="dxa"/>
        <w:tblLayout w:type="fixed"/>
        <w:tblLook w:val="04A0" w:firstRow="1" w:lastRow="0" w:firstColumn="1" w:lastColumn="0" w:noHBand="0" w:noVBand="1"/>
      </w:tblPr>
      <w:tblGrid>
        <w:gridCol w:w="3397"/>
        <w:gridCol w:w="1134"/>
        <w:gridCol w:w="1134"/>
        <w:gridCol w:w="993"/>
        <w:gridCol w:w="992"/>
        <w:gridCol w:w="1134"/>
        <w:gridCol w:w="992"/>
      </w:tblGrid>
      <w:tr w:rsidR="003539C5" w:rsidRPr="003F7CFF" w14:paraId="2A9E4DDB" w14:textId="77777777" w:rsidTr="00115FB5">
        <w:tc>
          <w:tcPr>
            <w:tcW w:w="3397" w:type="dxa"/>
            <w:tcBorders>
              <w:top w:val="single" w:sz="4" w:space="0" w:color="auto"/>
            </w:tcBorders>
            <w:shd w:val="clear" w:color="auto" w:fill="F2F2F2" w:themeFill="background1" w:themeFillShade="F2"/>
            <w:vAlign w:val="center"/>
          </w:tcPr>
          <w:p w14:paraId="5438AC18" w14:textId="77777777" w:rsidR="003539C5" w:rsidRPr="005F1183" w:rsidRDefault="003539C5" w:rsidP="003F7CFF">
            <w:pPr>
              <w:jc w:val="center"/>
              <w:rPr>
                <w:rFonts w:cs="Arial"/>
                <w:b/>
                <w:sz w:val="18"/>
                <w:szCs w:val="18"/>
              </w:rPr>
            </w:pPr>
            <w:r w:rsidRPr="005F1183">
              <w:rPr>
                <w:rFonts w:cs="Arial"/>
                <w:b/>
                <w:sz w:val="18"/>
                <w:szCs w:val="18"/>
              </w:rPr>
              <w:t>Performance Measure</w:t>
            </w:r>
          </w:p>
        </w:tc>
        <w:tc>
          <w:tcPr>
            <w:tcW w:w="1134" w:type="dxa"/>
            <w:tcBorders>
              <w:top w:val="single" w:sz="4" w:space="0" w:color="auto"/>
            </w:tcBorders>
            <w:shd w:val="clear" w:color="auto" w:fill="F2F2F2" w:themeFill="background1" w:themeFillShade="F2"/>
            <w:vAlign w:val="center"/>
          </w:tcPr>
          <w:p w14:paraId="1D2EF4B4" w14:textId="77777777" w:rsidR="003539C5" w:rsidRPr="005F1183" w:rsidRDefault="003539C5" w:rsidP="003F7CFF">
            <w:pPr>
              <w:jc w:val="center"/>
              <w:rPr>
                <w:rFonts w:cs="Arial"/>
                <w:b/>
                <w:color w:val="000000"/>
                <w:sz w:val="18"/>
                <w:szCs w:val="18"/>
              </w:rPr>
            </w:pPr>
            <w:r w:rsidRPr="005F1183">
              <w:rPr>
                <w:rFonts w:cs="Arial"/>
                <w:b/>
                <w:color w:val="000000"/>
                <w:sz w:val="18"/>
                <w:szCs w:val="18"/>
              </w:rPr>
              <w:t>Good is</w:t>
            </w:r>
          </w:p>
          <w:p w14:paraId="2D6E6B05" w14:textId="77777777" w:rsidR="003539C5" w:rsidRPr="005F1183" w:rsidRDefault="003539C5" w:rsidP="003F7CFF">
            <w:pPr>
              <w:jc w:val="center"/>
              <w:rPr>
                <w:rFonts w:cs="Arial"/>
                <w:b/>
                <w:sz w:val="18"/>
                <w:szCs w:val="18"/>
              </w:rPr>
            </w:pPr>
            <w:r w:rsidRPr="005F1183">
              <w:rPr>
                <w:rFonts w:cs="Arial"/>
                <w:b/>
                <w:color w:val="000000"/>
                <w:sz w:val="18"/>
                <w:szCs w:val="18"/>
              </w:rPr>
              <w:t>High or Low</w:t>
            </w:r>
          </w:p>
        </w:tc>
        <w:tc>
          <w:tcPr>
            <w:tcW w:w="1134" w:type="dxa"/>
            <w:tcBorders>
              <w:top w:val="single" w:sz="4" w:space="0" w:color="auto"/>
            </w:tcBorders>
            <w:shd w:val="clear" w:color="auto" w:fill="F2F2F2" w:themeFill="background1" w:themeFillShade="F2"/>
            <w:vAlign w:val="center"/>
          </w:tcPr>
          <w:p w14:paraId="000C5931" w14:textId="77777777" w:rsidR="003539C5" w:rsidRPr="005F1183" w:rsidRDefault="003539C5" w:rsidP="003F7CFF">
            <w:pPr>
              <w:jc w:val="center"/>
              <w:rPr>
                <w:rFonts w:cs="Arial"/>
                <w:b/>
                <w:sz w:val="18"/>
                <w:szCs w:val="18"/>
              </w:rPr>
            </w:pPr>
            <w:r>
              <w:rPr>
                <w:rFonts w:cs="Arial"/>
                <w:b/>
                <w:sz w:val="18"/>
                <w:szCs w:val="18"/>
              </w:rPr>
              <w:t>2016/17</w:t>
            </w:r>
          </w:p>
        </w:tc>
        <w:tc>
          <w:tcPr>
            <w:tcW w:w="993" w:type="dxa"/>
            <w:tcBorders>
              <w:top w:val="single" w:sz="4" w:space="0" w:color="auto"/>
            </w:tcBorders>
            <w:shd w:val="clear" w:color="auto" w:fill="F2F2F2" w:themeFill="background1" w:themeFillShade="F2"/>
            <w:vAlign w:val="center"/>
          </w:tcPr>
          <w:p w14:paraId="74C64D04" w14:textId="77777777" w:rsidR="003539C5" w:rsidRPr="005F1183" w:rsidRDefault="003539C5" w:rsidP="003F7CFF">
            <w:pPr>
              <w:jc w:val="center"/>
              <w:rPr>
                <w:rFonts w:cs="Arial"/>
                <w:b/>
                <w:sz w:val="18"/>
                <w:szCs w:val="18"/>
              </w:rPr>
            </w:pPr>
            <w:r w:rsidRPr="005F1183">
              <w:rPr>
                <w:rFonts w:cs="Arial"/>
                <w:b/>
                <w:sz w:val="18"/>
                <w:szCs w:val="18"/>
              </w:rPr>
              <w:t>Q1</w:t>
            </w:r>
          </w:p>
          <w:p w14:paraId="768596B3" w14:textId="77777777" w:rsidR="003539C5" w:rsidRPr="005F1183" w:rsidRDefault="003539C5" w:rsidP="003F7CFF">
            <w:pPr>
              <w:jc w:val="center"/>
              <w:rPr>
                <w:rFonts w:cs="Arial"/>
                <w:b/>
                <w:sz w:val="18"/>
                <w:szCs w:val="18"/>
              </w:rPr>
            </w:pPr>
            <w:r w:rsidRPr="005F1183">
              <w:rPr>
                <w:rFonts w:cs="Arial"/>
                <w:b/>
                <w:sz w:val="18"/>
                <w:szCs w:val="18"/>
              </w:rPr>
              <w:t>17/18</w:t>
            </w:r>
          </w:p>
        </w:tc>
        <w:tc>
          <w:tcPr>
            <w:tcW w:w="992" w:type="dxa"/>
            <w:tcBorders>
              <w:top w:val="single" w:sz="4" w:space="0" w:color="auto"/>
            </w:tcBorders>
            <w:shd w:val="clear" w:color="auto" w:fill="F2F2F2" w:themeFill="background1" w:themeFillShade="F2"/>
            <w:vAlign w:val="center"/>
          </w:tcPr>
          <w:p w14:paraId="7DF34F6E" w14:textId="77777777" w:rsidR="003539C5" w:rsidRPr="005F1183" w:rsidRDefault="003539C5" w:rsidP="003F7CFF">
            <w:pPr>
              <w:jc w:val="center"/>
              <w:rPr>
                <w:rFonts w:cs="Arial"/>
                <w:b/>
                <w:sz w:val="18"/>
                <w:szCs w:val="18"/>
              </w:rPr>
            </w:pPr>
            <w:r w:rsidRPr="005F1183">
              <w:rPr>
                <w:rFonts w:cs="Arial"/>
                <w:b/>
                <w:sz w:val="18"/>
                <w:szCs w:val="18"/>
              </w:rPr>
              <w:t>Q2</w:t>
            </w:r>
          </w:p>
          <w:p w14:paraId="7A3B1948" w14:textId="77777777" w:rsidR="003539C5" w:rsidRPr="005F1183" w:rsidRDefault="003539C5" w:rsidP="003F7CFF">
            <w:pPr>
              <w:jc w:val="center"/>
              <w:rPr>
                <w:rFonts w:cs="Arial"/>
                <w:b/>
                <w:sz w:val="18"/>
                <w:szCs w:val="18"/>
              </w:rPr>
            </w:pPr>
            <w:r w:rsidRPr="005F1183">
              <w:rPr>
                <w:rFonts w:cs="Arial"/>
                <w:b/>
                <w:sz w:val="18"/>
                <w:szCs w:val="18"/>
              </w:rPr>
              <w:t>17/18</w:t>
            </w:r>
          </w:p>
        </w:tc>
        <w:tc>
          <w:tcPr>
            <w:tcW w:w="1134" w:type="dxa"/>
            <w:tcBorders>
              <w:top w:val="single" w:sz="4" w:space="0" w:color="auto"/>
            </w:tcBorders>
            <w:shd w:val="clear" w:color="auto" w:fill="F2F2F2" w:themeFill="background1" w:themeFillShade="F2"/>
            <w:vAlign w:val="center"/>
          </w:tcPr>
          <w:p w14:paraId="4845D5C4" w14:textId="77777777" w:rsidR="003539C5" w:rsidRPr="005F1183" w:rsidRDefault="003539C5" w:rsidP="003F7CFF">
            <w:pPr>
              <w:jc w:val="center"/>
              <w:rPr>
                <w:rFonts w:cs="Arial"/>
                <w:b/>
                <w:sz w:val="18"/>
                <w:szCs w:val="18"/>
              </w:rPr>
            </w:pPr>
            <w:r w:rsidRPr="005F1183">
              <w:rPr>
                <w:rFonts w:cs="Arial"/>
                <w:b/>
                <w:sz w:val="18"/>
                <w:szCs w:val="18"/>
              </w:rPr>
              <w:t>Q3</w:t>
            </w:r>
          </w:p>
          <w:p w14:paraId="3A26AEB9" w14:textId="77777777" w:rsidR="003539C5" w:rsidRPr="005F1183" w:rsidRDefault="003539C5" w:rsidP="003F7CFF">
            <w:pPr>
              <w:jc w:val="center"/>
              <w:rPr>
                <w:rFonts w:cs="Arial"/>
                <w:b/>
                <w:sz w:val="18"/>
                <w:szCs w:val="18"/>
              </w:rPr>
            </w:pPr>
            <w:r w:rsidRPr="005F1183">
              <w:rPr>
                <w:rFonts w:cs="Arial"/>
                <w:b/>
                <w:sz w:val="18"/>
                <w:szCs w:val="18"/>
              </w:rPr>
              <w:t>17/18</w:t>
            </w:r>
          </w:p>
        </w:tc>
        <w:tc>
          <w:tcPr>
            <w:tcW w:w="992" w:type="dxa"/>
            <w:tcBorders>
              <w:top w:val="single" w:sz="4" w:space="0" w:color="auto"/>
            </w:tcBorders>
            <w:shd w:val="clear" w:color="auto" w:fill="F2F2F2" w:themeFill="background1" w:themeFillShade="F2"/>
            <w:vAlign w:val="center"/>
          </w:tcPr>
          <w:p w14:paraId="7909C5F9" w14:textId="77777777" w:rsidR="003539C5" w:rsidRPr="005F1183" w:rsidRDefault="003539C5" w:rsidP="003F7CFF">
            <w:pPr>
              <w:jc w:val="center"/>
              <w:rPr>
                <w:rFonts w:cs="Arial"/>
                <w:b/>
                <w:sz w:val="18"/>
                <w:szCs w:val="18"/>
              </w:rPr>
            </w:pPr>
            <w:r w:rsidRPr="005F1183">
              <w:rPr>
                <w:rFonts w:cs="Arial"/>
                <w:b/>
                <w:sz w:val="18"/>
                <w:szCs w:val="18"/>
              </w:rPr>
              <w:t>17/18</w:t>
            </w:r>
          </w:p>
          <w:p w14:paraId="06FCC856" w14:textId="77777777" w:rsidR="003539C5" w:rsidRPr="005F1183" w:rsidRDefault="003539C5" w:rsidP="003F7CFF">
            <w:pPr>
              <w:jc w:val="center"/>
              <w:rPr>
                <w:rFonts w:cs="Arial"/>
                <w:b/>
                <w:sz w:val="18"/>
                <w:szCs w:val="18"/>
              </w:rPr>
            </w:pPr>
            <w:r w:rsidRPr="005F1183">
              <w:rPr>
                <w:rFonts w:cs="Arial"/>
                <w:b/>
                <w:sz w:val="18"/>
                <w:szCs w:val="18"/>
              </w:rPr>
              <w:t>year to date</w:t>
            </w:r>
          </w:p>
        </w:tc>
      </w:tr>
      <w:tr w:rsidR="001F7C9E" w:rsidRPr="003F7CFF" w14:paraId="07393143" w14:textId="77777777" w:rsidTr="00A71235">
        <w:tc>
          <w:tcPr>
            <w:tcW w:w="9776" w:type="dxa"/>
            <w:gridSpan w:val="7"/>
            <w:tcBorders>
              <w:top w:val="single" w:sz="4" w:space="0" w:color="auto"/>
            </w:tcBorders>
            <w:shd w:val="clear" w:color="auto" w:fill="F2F2F2" w:themeFill="background1" w:themeFillShade="F2"/>
          </w:tcPr>
          <w:p w14:paraId="161D9065" w14:textId="77777777" w:rsidR="001F7C9E" w:rsidRPr="005F1183" w:rsidRDefault="001F7C9E" w:rsidP="003F7CFF">
            <w:pPr>
              <w:jc w:val="center"/>
              <w:rPr>
                <w:rFonts w:cs="Arial"/>
                <w:sz w:val="18"/>
                <w:szCs w:val="18"/>
              </w:rPr>
            </w:pPr>
            <w:r w:rsidRPr="005F1183">
              <w:rPr>
                <w:rFonts w:cs="Arial"/>
                <w:b/>
                <w:sz w:val="18"/>
                <w:szCs w:val="18"/>
              </w:rPr>
              <w:t>Public Health</w:t>
            </w:r>
          </w:p>
        </w:tc>
      </w:tr>
      <w:tr w:rsidR="003539C5" w:rsidRPr="003F7CFF" w14:paraId="2A5EE46F" w14:textId="77777777" w:rsidTr="00A27E23">
        <w:tc>
          <w:tcPr>
            <w:tcW w:w="3397" w:type="dxa"/>
          </w:tcPr>
          <w:p w14:paraId="38237E27" w14:textId="77777777" w:rsidR="003539C5" w:rsidRPr="005F1183" w:rsidRDefault="003539C5" w:rsidP="003F7CFF">
            <w:pPr>
              <w:rPr>
                <w:rFonts w:cs="Arial"/>
                <w:sz w:val="18"/>
                <w:szCs w:val="18"/>
              </w:rPr>
            </w:pPr>
            <w:r w:rsidRPr="005F1183">
              <w:rPr>
                <w:rFonts w:cs="Arial"/>
                <w:sz w:val="18"/>
                <w:szCs w:val="18"/>
              </w:rPr>
              <w:t>The proportion of babies</w:t>
            </w:r>
            <w:r w:rsidR="00C82168">
              <w:rPr>
                <w:rFonts w:cs="Arial"/>
                <w:sz w:val="18"/>
                <w:szCs w:val="18"/>
              </w:rPr>
              <w:t xml:space="preserve"> (at 12 months age) </w:t>
            </w:r>
            <w:r w:rsidRPr="005F1183">
              <w:rPr>
                <w:rFonts w:cs="Arial"/>
                <w:sz w:val="18"/>
                <w:szCs w:val="18"/>
              </w:rPr>
              <w:t xml:space="preserve"> immunised with the </w:t>
            </w:r>
            <w:proofErr w:type="spellStart"/>
            <w:r w:rsidRPr="005F1183">
              <w:rPr>
                <w:rFonts w:cs="Arial"/>
                <w:sz w:val="18"/>
                <w:szCs w:val="18"/>
              </w:rPr>
              <w:t>DTaP</w:t>
            </w:r>
            <w:proofErr w:type="spellEnd"/>
            <w:r w:rsidRPr="005F1183">
              <w:rPr>
                <w:rFonts w:cs="Arial"/>
                <w:sz w:val="18"/>
                <w:szCs w:val="18"/>
              </w:rPr>
              <w:t>/IPV/Hib vaccine</w:t>
            </w:r>
          </w:p>
        </w:tc>
        <w:tc>
          <w:tcPr>
            <w:tcW w:w="1134" w:type="dxa"/>
            <w:vAlign w:val="center"/>
          </w:tcPr>
          <w:p w14:paraId="44AB7B74" w14:textId="77777777" w:rsidR="003539C5" w:rsidRPr="005F1183" w:rsidRDefault="003539C5" w:rsidP="003F7CFF">
            <w:pPr>
              <w:jc w:val="center"/>
              <w:rPr>
                <w:rFonts w:cs="Arial"/>
                <w:sz w:val="18"/>
                <w:szCs w:val="18"/>
              </w:rPr>
            </w:pPr>
            <w:r w:rsidRPr="005F1183">
              <w:rPr>
                <w:rFonts w:cs="Arial"/>
                <w:sz w:val="18"/>
                <w:szCs w:val="18"/>
              </w:rPr>
              <w:t>H</w:t>
            </w:r>
          </w:p>
          <w:p w14:paraId="01ABF074" w14:textId="77777777" w:rsidR="003539C5" w:rsidRPr="005F1183" w:rsidRDefault="003539C5" w:rsidP="003F7CFF">
            <w:pPr>
              <w:jc w:val="center"/>
              <w:rPr>
                <w:rFonts w:cs="Arial"/>
                <w:sz w:val="18"/>
                <w:szCs w:val="18"/>
              </w:rPr>
            </w:pPr>
            <w:r w:rsidRPr="005F1183">
              <w:rPr>
                <w:rFonts w:cs="Arial"/>
                <w:sz w:val="18"/>
                <w:szCs w:val="18"/>
              </w:rPr>
              <w:t>(quarter in arrears)</w:t>
            </w:r>
          </w:p>
        </w:tc>
        <w:tc>
          <w:tcPr>
            <w:tcW w:w="1134" w:type="dxa"/>
            <w:vAlign w:val="center"/>
          </w:tcPr>
          <w:p w14:paraId="3C34476A" w14:textId="77777777" w:rsidR="003539C5" w:rsidRPr="005F1183" w:rsidRDefault="00C82168" w:rsidP="003F7CFF">
            <w:pPr>
              <w:jc w:val="center"/>
              <w:rPr>
                <w:rFonts w:cs="Arial"/>
                <w:sz w:val="18"/>
                <w:szCs w:val="18"/>
              </w:rPr>
            </w:pPr>
            <w:r>
              <w:rPr>
                <w:rFonts w:cs="Arial"/>
                <w:sz w:val="18"/>
                <w:szCs w:val="18"/>
              </w:rPr>
              <w:t xml:space="preserve"> 89.4% </w:t>
            </w:r>
          </w:p>
        </w:tc>
        <w:tc>
          <w:tcPr>
            <w:tcW w:w="993" w:type="dxa"/>
            <w:vAlign w:val="center"/>
          </w:tcPr>
          <w:p w14:paraId="3CA48CF8" w14:textId="77777777" w:rsidR="003539C5" w:rsidRPr="005F1183" w:rsidRDefault="003539C5" w:rsidP="001F7C9E">
            <w:pPr>
              <w:jc w:val="center"/>
              <w:rPr>
                <w:rFonts w:cs="Arial"/>
                <w:sz w:val="18"/>
                <w:szCs w:val="18"/>
              </w:rPr>
            </w:pPr>
            <w:r w:rsidRPr="005F1183">
              <w:rPr>
                <w:rFonts w:cs="Arial"/>
                <w:sz w:val="18"/>
                <w:szCs w:val="18"/>
              </w:rPr>
              <w:t>87.6%</w:t>
            </w:r>
          </w:p>
        </w:tc>
        <w:tc>
          <w:tcPr>
            <w:tcW w:w="992" w:type="dxa"/>
            <w:vAlign w:val="center"/>
          </w:tcPr>
          <w:p w14:paraId="0FC0E050" w14:textId="77777777" w:rsidR="003539C5" w:rsidRPr="005F1183" w:rsidRDefault="003539C5" w:rsidP="003F7CFF">
            <w:pPr>
              <w:jc w:val="center"/>
              <w:rPr>
                <w:rFonts w:cs="Arial"/>
                <w:sz w:val="18"/>
                <w:szCs w:val="18"/>
              </w:rPr>
            </w:pPr>
            <w:r w:rsidRPr="005F1183">
              <w:rPr>
                <w:rFonts w:cs="Arial"/>
                <w:sz w:val="18"/>
                <w:szCs w:val="18"/>
              </w:rPr>
              <w:t>88.8%</w:t>
            </w:r>
          </w:p>
        </w:tc>
        <w:tc>
          <w:tcPr>
            <w:tcW w:w="1134" w:type="dxa"/>
            <w:vAlign w:val="center"/>
          </w:tcPr>
          <w:p w14:paraId="756A04D9" w14:textId="77777777" w:rsidR="003539C5" w:rsidRPr="005F1183" w:rsidRDefault="003539C5" w:rsidP="003F7CFF">
            <w:pPr>
              <w:jc w:val="center"/>
              <w:rPr>
                <w:rFonts w:cs="Arial"/>
                <w:sz w:val="18"/>
                <w:szCs w:val="18"/>
              </w:rPr>
            </w:pPr>
            <w:r w:rsidRPr="005F1183">
              <w:rPr>
                <w:rFonts w:cs="Arial"/>
                <w:sz w:val="18"/>
                <w:szCs w:val="18"/>
              </w:rPr>
              <w:t>Available in Q4</w:t>
            </w:r>
          </w:p>
        </w:tc>
        <w:tc>
          <w:tcPr>
            <w:tcW w:w="992" w:type="dxa"/>
            <w:shd w:val="clear" w:color="auto" w:fill="F7CAAC" w:themeFill="accent2" w:themeFillTint="66"/>
            <w:vAlign w:val="center"/>
          </w:tcPr>
          <w:p w14:paraId="7F48E3FA" w14:textId="77777777" w:rsidR="003539C5" w:rsidRPr="005F1183" w:rsidRDefault="003539C5" w:rsidP="003F7CFF">
            <w:pPr>
              <w:jc w:val="center"/>
              <w:rPr>
                <w:rFonts w:cs="Arial"/>
                <w:sz w:val="18"/>
                <w:szCs w:val="18"/>
              </w:rPr>
            </w:pPr>
            <w:r w:rsidRPr="005F1183">
              <w:rPr>
                <w:rFonts w:cs="Arial"/>
                <w:sz w:val="18"/>
                <w:szCs w:val="18"/>
              </w:rPr>
              <w:t>88.2%</w:t>
            </w:r>
          </w:p>
        </w:tc>
      </w:tr>
      <w:tr w:rsidR="00D41806" w:rsidRPr="003F7CFF" w14:paraId="415FCB73" w14:textId="77777777" w:rsidTr="00D41806">
        <w:tc>
          <w:tcPr>
            <w:tcW w:w="9776" w:type="dxa"/>
            <w:gridSpan w:val="7"/>
            <w:shd w:val="clear" w:color="auto" w:fill="F2F2F2" w:themeFill="background1" w:themeFillShade="F2"/>
          </w:tcPr>
          <w:p w14:paraId="156E3E7C" w14:textId="77777777" w:rsidR="00D41806" w:rsidRPr="00D41806" w:rsidRDefault="00D41806" w:rsidP="003F7CFF">
            <w:pPr>
              <w:jc w:val="center"/>
              <w:rPr>
                <w:rFonts w:cs="Arial"/>
                <w:b/>
                <w:sz w:val="18"/>
                <w:szCs w:val="18"/>
              </w:rPr>
            </w:pPr>
            <w:r w:rsidRPr="00D41806">
              <w:rPr>
                <w:rFonts w:cs="Arial"/>
                <w:b/>
                <w:sz w:val="18"/>
                <w:szCs w:val="18"/>
              </w:rPr>
              <w:t>Health Checks</w:t>
            </w:r>
          </w:p>
        </w:tc>
      </w:tr>
      <w:tr w:rsidR="003539C5" w:rsidRPr="003F7CFF" w14:paraId="279B16E4" w14:textId="77777777" w:rsidTr="00E04831">
        <w:tc>
          <w:tcPr>
            <w:tcW w:w="3397" w:type="dxa"/>
          </w:tcPr>
          <w:p w14:paraId="130CE1A8" w14:textId="77777777" w:rsidR="003539C5" w:rsidRPr="005F1183" w:rsidRDefault="003539C5" w:rsidP="003F7CFF">
            <w:pPr>
              <w:rPr>
                <w:rFonts w:cs="Arial"/>
                <w:sz w:val="18"/>
                <w:szCs w:val="18"/>
              </w:rPr>
            </w:pPr>
            <w:r w:rsidRPr="005F1183">
              <w:rPr>
                <w:rFonts w:cs="Arial"/>
                <w:sz w:val="18"/>
                <w:szCs w:val="18"/>
              </w:rPr>
              <w:lastRenderedPageBreak/>
              <w:t>Number of NHS Health Checks offered to eligible population</w:t>
            </w:r>
          </w:p>
        </w:tc>
        <w:tc>
          <w:tcPr>
            <w:tcW w:w="1134" w:type="dxa"/>
            <w:vAlign w:val="center"/>
          </w:tcPr>
          <w:p w14:paraId="7039AC91" w14:textId="77777777" w:rsidR="003539C5" w:rsidRPr="005F1183" w:rsidRDefault="003539C5" w:rsidP="003F7CFF">
            <w:pPr>
              <w:jc w:val="center"/>
              <w:rPr>
                <w:rFonts w:cs="Arial"/>
                <w:sz w:val="18"/>
                <w:szCs w:val="18"/>
              </w:rPr>
            </w:pPr>
            <w:r w:rsidRPr="005F1183">
              <w:rPr>
                <w:rFonts w:cs="Arial"/>
                <w:sz w:val="18"/>
                <w:szCs w:val="18"/>
              </w:rPr>
              <w:t>H</w:t>
            </w:r>
          </w:p>
        </w:tc>
        <w:tc>
          <w:tcPr>
            <w:tcW w:w="1134" w:type="dxa"/>
            <w:vAlign w:val="center"/>
          </w:tcPr>
          <w:p w14:paraId="6F9E1BE7" w14:textId="77777777" w:rsidR="003539C5" w:rsidRPr="005F1183" w:rsidRDefault="003539C5" w:rsidP="003F7CFF">
            <w:pPr>
              <w:jc w:val="center"/>
              <w:rPr>
                <w:rFonts w:cs="Arial"/>
                <w:sz w:val="18"/>
                <w:szCs w:val="18"/>
              </w:rPr>
            </w:pPr>
            <w:r>
              <w:rPr>
                <w:rFonts w:cs="Arial"/>
                <w:sz w:val="18"/>
                <w:szCs w:val="18"/>
              </w:rPr>
              <w:t>75,892</w:t>
            </w:r>
          </w:p>
        </w:tc>
        <w:tc>
          <w:tcPr>
            <w:tcW w:w="993" w:type="dxa"/>
            <w:vAlign w:val="center"/>
          </w:tcPr>
          <w:p w14:paraId="1FA1560B" w14:textId="77777777" w:rsidR="003539C5" w:rsidRPr="005F1183" w:rsidRDefault="003539C5" w:rsidP="003F7CFF">
            <w:pPr>
              <w:jc w:val="center"/>
              <w:rPr>
                <w:rFonts w:cs="Arial"/>
                <w:sz w:val="18"/>
                <w:szCs w:val="18"/>
              </w:rPr>
            </w:pPr>
            <w:r w:rsidRPr="005F1183">
              <w:rPr>
                <w:rFonts w:cs="Arial"/>
                <w:sz w:val="18"/>
                <w:szCs w:val="18"/>
              </w:rPr>
              <w:t>23,409</w:t>
            </w:r>
          </w:p>
        </w:tc>
        <w:tc>
          <w:tcPr>
            <w:tcW w:w="992" w:type="dxa"/>
            <w:vAlign w:val="center"/>
          </w:tcPr>
          <w:p w14:paraId="0B6EB7D8" w14:textId="77777777" w:rsidR="003539C5" w:rsidRPr="005F1183" w:rsidRDefault="003539C5" w:rsidP="003F7CFF">
            <w:pPr>
              <w:jc w:val="center"/>
              <w:rPr>
                <w:rFonts w:cs="Arial"/>
                <w:sz w:val="18"/>
                <w:szCs w:val="18"/>
              </w:rPr>
            </w:pPr>
            <w:r w:rsidRPr="005F1183">
              <w:rPr>
                <w:rFonts w:cs="Arial"/>
                <w:sz w:val="18"/>
                <w:szCs w:val="18"/>
              </w:rPr>
              <w:t>22,846</w:t>
            </w:r>
          </w:p>
        </w:tc>
        <w:tc>
          <w:tcPr>
            <w:tcW w:w="1134" w:type="dxa"/>
            <w:vAlign w:val="center"/>
          </w:tcPr>
          <w:p w14:paraId="318F96C3" w14:textId="77777777" w:rsidR="003539C5" w:rsidRPr="005F1183" w:rsidRDefault="00B053E8" w:rsidP="00B053E8">
            <w:pPr>
              <w:jc w:val="center"/>
              <w:rPr>
                <w:rFonts w:cs="Arial"/>
                <w:sz w:val="18"/>
                <w:szCs w:val="18"/>
              </w:rPr>
            </w:pPr>
            <w:r>
              <w:rPr>
                <w:rFonts w:cs="Arial"/>
                <w:sz w:val="18"/>
                <w:szCs w:val="18"/>
              </w:rPr>
              <w:t>21,185</w:t>
            </w:r>
          </w:p>
        </w:tc>
        <w:tc>
          <w:tcPr>
            <w:tcW w:w="992" w:type="dxa"/>
            <w:shd w:val="clear" w:color="auto" w:fill="C5E0B3" w:themeFill="accent6" w:themeFillTint="66"/>
            <w:vAlign w:val="center"/>
          </w:tcPr>
          <w:p w14:paraId="0B2F1090" w14:textId="77777777" w:rsidR="003539C5" w:rsidRPr="005F1183" w:rsidRDefault="00B053E8" w:rsidP="00E97E9F">
            <w:pPr>
              <w:jc w:val="center"/>
              <w:rPr>
                <w:rFonts w:cs="Arial"/>
                <w:sz w:val="18"/>
                <w:szCs w:val="18"/>
              </w:rPr>
            </w:pPr>
            <w:r>
              <w:rPr>
                <w:rFonts w:cs="Arial"/>
                <w:sz w:val="18"/>
                <w:szCs w:val="18"/>
              </w:rPr>
              <w:t>67,440</w:t>
            </w:r>
          </w:p>
        </w:tc>
      </w:tr>
      <w:tr w:rsidR="003539C5" w:rsidRPr="003F7CFF" w14:paraId="3CDEA91C" w14:textId="77777777" w:rsidTr="00E04831">
        <w:tc>
          <w:tcPr>
            <w:tcW w:w="3397" w:type="dxa"/>
          </w:tcPr>
          <w:p w14:paraId="03C9F39C" w14:textId="77777777" w:rsidR="003539C5" w:rsidRPr="005F1183" w:rsidRDefault="003539C5" w:rsidP="003F7CFF">
            <w:pPr>
              <w:rPr>
                <w:rFonts w:cs="Arial"/>
                <w:sz w:val="18"/>
                <w:szCs w:val="18"/>
              </w:rPr>
            </w:pPr>
            <w:r w:rsidRPr="005F1183">
              <w:rPr>
                <w:rFonts w:cs="Arial"/>
                <w:sz w:val="18"/>
                <w:szCs w:val="18"/>
              </w:rPr>
              <w:t>Number of NHS Health Checks completed</w:t>
            </w:r>
          </w:p>
        </w:tc>
        <w:tc>
          <w:tcPr>
            <w:tcW w:w="1134" w:type="dxa"/>
            <w:vAlign w:val="center"/>
          </w:tcPr>
          <w:p w14:paraId="759365C9" w14:textId="77777777" w:rsidR="003539C5" w:rsidRPr="005F1183" w:rsidRDefault="003539C5" w:rsidP="003F7CFF">
            <w:pPr>
              <w:jc w:val="center"/>
              <w:rPr>
                <w:rFonts w:cs="Arial"/>
                <w:sz w:val="18"/>
                <w:szCs w:val="18"/>
              </w:rPr>
            </w:pPr>
            <w:r w:rsidRPr="005F1183">
              <w:rPr>
                <w:rFonts w:cs="Arial"/>
                <w:sz w:val="18"/>
                <w:szCs w:val="18"/>
              </w:rPr>
              <w:t>H</w:t>
            </w:r>
          </w:p>
        </w:tc>
        <w:tc>
          <w:tcPr>
            <w:tcW w:w="1134" w:type="dxa"/>
            <w:vAlign w:val="center"/>
          </w:tcPr>
          <w:p w14:paraId="32B4C01D" w14:textId="77777777" w:rsidR="003539C5" w:rsidRPr="005F1183" w:rsidRDefault="003539C5" w:rsidP="003F7CFF">
            <w:pPr>
              <w:jc w:val="center"/>
              <w:rPr>
                <w:rFonts w:cs="Arial"/>
                <w:sz w:val="18"/>
                <w:szCs w:val="18"/>
              </w:rPr>
            </w:pPr>
            <w:r>
              <w:rPr>
                <w:rFonts w:cs="Arial"/>
                <w:sz w:val="18"/>
                <w:szCs w:val="18"/>
              </w:rPr>
              <w:t>47,107</w:t>
            </w:r>
          </w:p>
        </w:tc>
        <w:tc>
          <w:tcPr>
            <w:tcW w:w="993" w:type="dxa"/>
            <w:vAlign w:val="center"/>
          </w:tcPr>
          <w:p w14:paraId="7DEA3022" w14:textId="77777777" w:rsidR="003539C5" w:rsidRPr="005F1183" w:rsidRDefault="00B053E8" w:rsidP="00E97E9F">
            <w:pPr>
              <w:jc w:val="center"/>
              <w:rPr>
                <w:rFonts w:cs="Arial"/>
                <w:sz w:val="18"/>
                <w:szCs w:val="18"/>
              </w:rPr>
            </w:pPr>
            <w:r>
              <w:rPr>
                <w:rFonts w:cs="Arial"/>
                <w:sz w:val="18"/>
                <w:szCs w:val="18"/>
              </w:rPr>
              <w:t>9,172</w:t>
            </w:r>
          </w:p>
        </w:tc>
        <w:tc>
          <w:tcPr>
            <w:tcW w:w="992" w:type="dxa"/>
            <w:vAlign w:val="center"/>
          </w:tcPr>
          <w:p w14:paraId="1C45791F" w14:textId="77777777" w:rsidR="003539C5" w:rsidRPr="005F1183" w:rsidRDefault="003539C5" w:rsidP="003F7CFF">
            <w:pPr>
              <w:jc w:val="center"/>
              <w:rPr>
                <w:rFonts w:cs="Arial"/>
                <w:sz w:val="18"/>
                <w:szCs w:val="18"/>
              </w:rPr>
            </w:pPr>
            <w:r w:rsidRPr="005F1183">
              <w:rPr>
                <w:rFonts w:cs="Arial"/>
                <w:sz w:val="18"/>
                <w:szCs w:val="18"/>
              </w:rPr>
              <w:t>10,020</w:t>
            </w:r>
          </w:p>
        </w:tc>
        <w:tc>
          <w:tcPr>
            <w:tcW w:w="1134" w:type="dxa"/>
            <w:vAlign w:val="center"/>
          </w:tcPr>
          <w:p w14:paraId="498944C3" w14:textId="77777777" w:rsidR="003539C5" w:rsidRPr="005F1183" w:rsidRDefault="00B053E8" w:rsidP="00E97E9F">
            <w:pPr>
              <w:jc w:val="center"/>
              <w:rPr>
                <w:rFonts w:cs="Arial"/>
                <w:sz w:val="18"/>
                <w:szCs w:val="18"/>
                <w:highlight w:val="darkGreen"/>
              </w:rPr>
            </w:pPr>
            <w:r>
              <w:rPr>
                <w:rFonts w:cs="Arial"/>
                <w:sz w:val="18"/>
                <w:szCs w:val="18"/>
              </w:rPr>
              <w:t>14,958</w:t>
            </w:r>
          </w:p>
        </w:tc>
        <w:tc>
          <w:tcPr>
            <w:tcW w:w="992" w:type="dxa"/>
            <w:shd w:val="clear" w:color="auto" w:fill="C5E0B3" w:themeFill="accent6" w:themeFillTint="66"/>
            <w:vAlign w:val="center"/>
          </w:tcPr>
          <w:p w14:paraId="05A8EED2" w14:textId="77777777" w:rsidR="00B053E8" w:rsidRPr="005F1183" w:rsidRDefault="00B053E8" w:rsidP="00E97E9F">
            <w:pPr>
              <w:jc w:val="center"/>
              <w:rPr>
                <w:rFonts w:cs="Arial"/>
                <w:sz w:val="18"/>
                <w:szCs w:val="18"/>
              </w:rPr>
            </w:pPr>
            <w:r>
              <w:rPr>
                <w:rFonts w:cs="Arial"/>
                <w:sz w:val="18"/>
                <w:szCs w:val="18"/>
              </w:rPr>
              <w:t>34,150</w:t>
            </w:r>
          </w:p>
        </w:tc>
      </w:tr>
      <w:tr w:rsidR="003539C5" w:rsidRPr="003F7CFF" w14:paraId="06A721C6" w14:textId="77777777" w:rsidTr="00A27E23">
        <w:tc>
          <w:tcPr>
            <w:tcW w:w="3397" w:type="dxa"/>
            <w:tcBorders>
              <w:bottom w:val="single" w:sz="4" w:space="0" w:color="auto"/>
            </w:tcBorders>
          </w:tcPr>
          <w:p w14:paraId="450A6133" w14:textId="77777777" w:rsidR="003539C5" w:rsidRPr="005F1183" w:rsidRDefault="003539C5" w:rsidP="003F7CFF">
            <w:pPr>
              <w:rPr>
                <w:rFonts w:cs="Arial"/>
                <w:sz w:val="18"/>
                <w:szCs w:val="18"/>
              </w:rPr>
            </w:pPr>
            <w:r w:rsidRPr="005F1183">
              <w:rPr>
                <w:rFonts w:cs="Arial"/>
                <w:sz w:val="18"/>
                <w:szCs w:val="18"/>
              </w:rPr>
              <w:t>% completed of NHS Health Checks offered (Cumulative)</w:t>
            </w:r>
          </w:p>
        </w:tc>
        <w:tc>
          <w:tcPr>
            <w:tcW w:w="1134" w:type="dxa"/>
            <w:tcBorders>
              <w:bottom w:val="single" w:sz="4" w:space="0" w:color="auto"/>
            </w:tcBorders>
            <w:vAlign w:val="center"/>
          </w:tcPr>
          <w:p w14:paraId="3A3FCD0D" w14:textId="77777777" w:rsidR="003539C5" w:rsidRPr="005F1183" w:rsidRDefault="003539C5" w:rsidP="003F7CFF">
            <w:pPr>
              <w:jc w:val="center"/>
              <w:rPr>
                <w:rFonts w:cs="Arial"/>
                <w:sz w:val="18"/>
                <w:szCs w:val="18"/>
              </w:rPr>
            </w:pPr>
            <w:r w:rsidRPr="005F1183">
              <w:rPr>
                <w:rFonts w:cs="Arial"/>
                <w:sz w:val="18"/>
                <w:szCs w:val="18"/>
              </w:rPr>
              <w:t>H</w:t>
            </w:r>
          </w:p>
        </w:tc>
        <w:tc>
          <w:tcPr>
            <w:tcW w:w="1134" w:type="dxa"/>
            <w:tcBorders>
              <w:bottom w:val="single" w:sz="4" w:space="0" w:color="auto"/>
            </w:tcBorders>
            <w:vAlign w:val="center"/>
          </w:tcPr>
          <w:p w14:paraId="3CAA384D" w14:textId="77777777" w:rsidR="003539C5" w:rsidRPr="005F1183" w:rsidRDefault="003539C5" w:rsidP="003F7CFF">
            <w:pPr>
              <w:jc w:val="center"/>
              <w:rPr>
                <w:rFonts w:cs="Arial"/>
                <w:sz w:val="18"/>
                <w:szCs w:val="18"/>
              </w:rPr>
            </w:pPr>
            <w:r>
              <w:rPr>
                <w:rFonts w:cs="Arial"/>
                <w:sz w:val="18"/>
                <w:szCs w:val="18"/>
              </w:rPr>
              <w:t>62.1%</w:t>
            </w:r>
          </w:p>
        </w:tc>
        <w:tc>
          <w:tcPr>
            <w:tcW w:w="993" w:type="dxa"/>
            <w:tcBorders>
              <w:bottom w:val="single" w:sz="4" w:space="0" w:color="auto"/>
            </w:tcBorders>
            <w:vAlign w:val="center"/>
          </w:tcPr>
          <w:p w14:paraId="693EADDF" w14:textId="77777777" w:rsidR="003539C5" w:rsidRPr="005F1183" w:rsidRDefault="003539C5" w:rsidP="003F7CFF">
            <w:pPr>
              <w:jc w:val="center"/>
              <w:rPr>
                <w:rFonts w:cs="Arial"/>
                <w:sz w:val="18"/>
                <w:szCs w:val="18"/>
              </w:rPr>
            </w:pPr>
            <w:r w:rsidRPr="005F1183">
              <w:rPr>
                <w:rFonts w:cs="Arial"/>
                <w:sz w:val="18"/>
                <w:szCs w:val="18"/>
              </w:rPr>
              <w:t>39.2%</w:t>
            </w:r>
          </w:p>
        </w:tc>
        <w:tc>
          <w:tcPr>
            <w:tcW w:w="992" w:type="dxa"/>
            <w:tcBorders>
              <w:bottom w:val="single" w:sz="4" w:space="0" w:color="auto"/>
            </w:tcBorders>
            <w:vAlign w:val="center"/>
          </w:tcPr>
          <w:p w14:paraId="59C5A386" w14:textId="77777777" w:rsidR="00B053E8" w:rsidRPr="005F1183" w:rsidRDefault="00B053E8" w:rsidP="00E97E9F">
            <w:pPr>
              <w:jc w:val="center"/>
              <w:rPr>
                <w:rFonts w:cs="Arial"/>
                <w:sz w:val="18"/>
                <w:szCs w:val="18"/>
              </w:rPr>
            </w:pPr>
            <w:r>
              <w:rPr>
                <w:rFonts w:cs="Arial"/>
                <w:sz w:val="18"/>
                <w:szCs w:val="18"/>
              </w:rPr>
              <w:t>43.9%</w:t>
            </w:r>
          </w:p>
        </w:tc>
        <w:tc>
          <w:tcPr>
            <w:tcW w:w="1134" w:type="dxa"/>
            <w:tcBorders>
              <w:bottom w:val="single" w:sz="4" w:space="0" w:color="auto"/>
            </w:tcBorders>
            <w:vAlign w:val="center"/>
          </w:tcPr>
          <w:p w14:paraId="5B3FD8E0" w14:textId="77777777" w:rsidR="00B053E8" w:rsidRPr="005F1183" w:rsidRDefault="00B053E8" w:rsidP="00E97E9F">
            <w:pPr>
              <w:jc w:val="center"/>
              <w:rPr>
                <w:rFonts w:cs="Arial"/>
                <w:sz w:val="18"/>
                <w:szCs w:val="18"/>
                <w:highlight w:val="darkGreen"/>
              </w:rPr>
            </w:pPr>
            <w:r>
              <w:rPr>
                <w:rFonts w:cs="Arial"/>
                <w:sz w:val="18"/>
                <w:szCs w:val="18"/>
              </w:rPr>
              <w:t>70.6%</w:t>
            </w:r>
          </w:p>
        </w:tc>
        <w:tc>
          <w:tcPr>
            <w:tcW w:w="992" w:type="dxa"/>
            <w:tcBorders>
              <w:bottom w:val="single" w:sz="4" w:space="0" w:color="auto"/>
            </w:tcBorders>
            <w:shd w:val="clear" w:color="auto" w:fill="C5E0B3" w:themeFill="accent6" w:themeFillTint="66"/>
            <w:vAlign w:val="center"/>
          </w:tcPr>
          <w:p w14:paraId="5188C2D4" w14:textId="77777777" w:rsidR="00B053E8" w:rsidRPr="005F1183" w:rsidRDefault="00797775" w:rsidP="00E97E9F">
            <w:pPr>
              <w:jc w:val="center"/>
              <w:rPr>
                <w:rFonts w:cs="Arial"/>
                <w:sz w:val="18"/>
                <w:szCs w:val="18"/>
              </w:rPr>
            </w:pPr>
            <w:r>
              <w:rPr>
                <w:rFonts w:cs="Arial"/>
                <w:sz w:val="18"/>
                <w:szCs w:val="18"/>
              </w:rPr>
              <w:t>50.6%</w:t>
            </w:r>
          </w:p>
        </w:tc>
      </w:tr>
      <w:tr w:rsidR="001F7C9E" w:rsidRPr="003F7CFF" w14:paraId="0180F8D1" w14:textId="77777777" w:rsidTr="001F7C9E">
        <w:tc>
          <w:tcPr>
            <w:tcW w:w="9776" w:type="dxa"/>
            <w:gridSpan w:val="7"/>
            <w:tcBorders>
              <w:bottom w:val="single" w:sz="4" w:space="0" w:color="auto"/>
            </w:tcBorders>
            <w:shd w:val="clear" w:color="auto" w:fill="F2F2F2" w:themeFill="background1" w:themeFillShade="F2"/>
          </w:tcPr>
          <w:p w14:paraId="54C76BD7" w14:textId="77777777" w:rsidR="001F7C9E" w:rsidRPr="005F1183" w:rsidRDefault="001F7C9E" w:rsidP="003F7CFF">
            <w:pPr>
              <w:jc w:val="center"/>
              <w:rPr>
                <w:rFonts w:cs="Arial"/>
                <w:b/>
                <w:sz w:val="18"/>
                <w:szCs w:val="18"/>
              </w:rPr>
            </w:pPr>
            <w:r w:rsidRPr="005F1183">
              <w:rPr>
                <w:rFonts w:cs="Arial"/>
                <w:b/>
                <w:sz w:val="18"/>
                <w:szCs w:val="18"/>
              </w:rPr>
              <w:t>Troubled Families Unit</w:t>
            </w:r>
          </w:p>
        </w:tc>
      </w:tr>
      <w:tr w:rsidR="003539C5" w:rsidRPr="003F7CFF" w14:paraId="6BDE047A" w14:textId="77777777" w:rsidTr="00115FB5">
        <w:tc>
          <w:tcPr>
            <w:tcW w:w="3397" w:type="dxa"/>
            <w:tcBorders>
              <w:bottom w:val="single" w:sz="4" w:space="0" w:color="auto"/>
            </w:tcBorders>
          </w:tcPr>
          <w:p w14:paraId="44CE8391" w14:textId="1B12B84F" w:rsidR="00E97E9F" w:rsidRDefault="003539C5" w:rsidP="003F7CFF">
            <w:pPr>
              <w:rPr>
                <w:rFonts w:cs="Arial"/>
                <w:sz w:val="18"/>
                <w:szCs w:val="18"/>
              </w:rPr>
            </w:pPr>
            <w:r w:rsidRPr="005F1183">
              <w:rPr>
                <w:rFonts w:cs="Arial"/>
                <w:sz w:val="18"/>
                <w:szCs w:val="18"/>
              </w:rPr>
              <w:t xml:space="preserve">Troubled Families Unit (TFU)  </w:t>
            </w:r>
          </w:p>
          <w:p w14:paraId="4BD61802" w14:textId="38C28FC8" w:rsidR="003539C5" w:rsidRDefault="003539C5" w:rsidP="003F7CFF">
            <w:pPr>
              <w:rPr>
                <w:rFonts w:cs="Arial"/>
                <w:sz w:val="18"/>
                <w:szCs w:val="18"/>
              </w:rPr>
            </w:pPr>
            <w:r w:rsidRPr="005F1183">
              <w:rPr>
                <w:rFonts w:cs="Arial"/>
                <w:sz w:val="18"/>
                <w:szCs w:val="18"/>
              </w:rPr>
              <w:t>- Number of families attached to the programme</w:t>
            </w:r>
          </w:p>
          <w:p w14:paraId="38358192" w14:textId="77777777" w:rsidR="00B45092" w:rsidRPr="005F1183" w:rsidRDefault="00B45092" w:rsidP="003F7CFF">
            <w:pPr>
              <w:rPr>
                <w:rFonts w:cs="Arial"/>
                <w:sz w:val="18"/>
                <w:szCs w:val="18"/>
              </w:rPr>
            </w:pPr>
          </w:p>
          <w:p w14:paraId="6F63D366" w14:textId="77777777" w:rsidR="003539C5" w:rsidRPr="005F1183" w:rsidRDefault="003539C5" w:rsidP="003F7CFF">
            <w:pPr>
              <w:rPr>
                <w:rFonts w:cs="Arial"/>
                <w:sz w:val="18"/>
                <w:szCs w:val="18"/>
              </w:rPr>
            </w:pPr>
            <w:r w:rsidRPr="005F1183">
              <w:rPr>
                <w:rFonts w:cs="Arial"/>
                <w:sz w:val="18"/>
                <w:szCs w:val="18"/>
              </w:rPr>
              <w:t>- Payment by results claims (submitted to the DCLG)</w:t>
            </w:r>
          </w:p>
        </w:tc>
        <w:tc>
          <w:tcPr>
            <w:tcW w:w="1134" w:type="dxa"/>
            <w:tcBorders>
              <w:bottom w:val="single" w:sz="4" w:space="0" w:color="auto"/>
            </w:tcBorders>
            <w:vAlign w:val="center"/>
          </w:tcPr>
          <w:p w14:paraId="63B1F114" w14:textId="77777777" w:rsidR="003539C5" w:rsidRPr="005F1183" w:rsidRDefault="003539C5" w:rsidP="003F7CFF">
            <w:pPr>
              <w:jc w:val="center"/>
              <w:rPr>
                <w:rFonts w:cs="Arial"/>
                <w:sz w:val="18"/>
                <w:szCs w:val="18"/>
              </w:rPr>
            </w:pPr>
            <w:r w:rsidRPr="005F1183">
              <w:rPr>
                <w:rFonts w:cs="Arial"/>
                <w:sz w:val="18"/>
                <w:szCs w:val="18"/>
              </w:rPr>
              <w:t>H</w:t>
            </w:r>
          </w:p>
          <w:p w14:paraId="3C7A8460" w14:textId="77777777" w:rsidR="003539C5" w:rsidRPr="005F1183" w:rsidRDefault="003539C5" w:rsidP="003F7CFF">
            <w:pPr>
              <w:jc w:val="center"/>
              <w:rPr>
                <w:rFonts w:cs="Arial"/>
                <w:sz w:val="18"/>
                <w:szCs w:val="18"/>
              </w:rPr>
            </w:pPr>
          </w:p>
          <w:p w14:paraId="4335373C" w14:textId="77777777" w:rsidR="003539C5" w:rsidRPr="005F1183" w:rsidRDefault="003539C5" w:rsidP="003F7CFF">
            <w:pPr>
              <w:jc w:val="center"/>
              <w:rPr>
                <w:rFonts w:cs="Arial"/>
                <w:sz w:val="18"/>
                <w:szCs w:val="18"/>
              </w:rPr>
            </w:pPr>
          </w:p>
          <w:p w14:paraId="6B94C2E6" w14:textId="77777777" w:rsidR="003539C5" w:rsidRPr="005F1183" w:rsidRDefault="003539C5" w:rsidP="003F7CFF">
            <w:pPr>
              <w:jc w:val="center"/>
              <w:rPr>
                <w:rFonts w:cs="Arial"/>
                <w:sz w:val="18"/>
                <w:szCs w:val="18"/>
              </w:rPr>
            </w:pPr>
          </w:p>
        </w:tc>
        <w:tc>
          <w:tcPr>
            <w:tcW w:w="1134" w:type="dxa"/>
            <w:tcBorders>
              <w:bottom w:val="single" w:sz="4" w:space="0" w:color="auto"/>
            </w:tcBorders>
            <w:vAlign w:val="center"/>
          </w:tcPr>
          <w:p w14:paraId="2C756E1F" w14:textId="77777777" w:rsidR="00E97E9F" w:rsidRDefault="00E97E9F" w:rsidP="003F7CFF">
            <w:pPr>
              <w:jc w:val="center"/>
              <w:rPr>
                <w:rFonts w:cs="Arial"/>
                <w:sz w:val="18"/>
                <w:szCs w:val="18"/>
              </w:rPr>
            </w:pPr>
          </w:p>
          <w:p w14:paraId="4505E40C" w14:textId="77777777" w:rsidR="003539C5" w:rsidRDefault="003539C5" w:rsidP="003F7CFF">
            <w:pPr>
              <w:jc w:val="center"/>
              <w:rPr>
                <w:rFonts w:cs="Arial"/>
                <w:sz w:val="18"/>
                <w:szCs w:val="18"/>
              </w:rPr>
            </w:pPr>
            <w:r>
              <w:rPr>
                <w:rFonts w:cs="Arial"/>
                <w:sz w:val="18"/>
                <w:szCs w:val="18"/>
              </w:rPr>
              <w:t>4,305 (Q4, 2016/17)</w:t>
            </w:r>
          </w:p>
          <w:p w14:paraId="07BAB9B5" w14:textId="77777777" w:rsidR="00E97E9F" w:rsidRDefault="00E97E9F" w:rsidP="003F7CFF">
            <w:pPr>
              <w:jc w:val="center"/>
              <w:rPr>
                <w:rFonts w:cs="Arial"/>
                <w:sz w:val="18"/>
                <w:szCs w:val="18"/>
              </w:rPr>
            </w:pPr>
          </w:p>
          <w:p w14:paraId="0E0A68D2" w14:textId="77777777" w:rsidR="003539C5" w:rsidRPr="005F1183" w:rsidRDefault="003539C5" w:rsidP="003F7CFF">
            <w:pPr>
              <w:jc w:val="center"/>
              <w:rPr>
                <w:rFonts w:cs="Arial"/>
                <w:sz w:val="18"/>
                <w:szCs w:val="18"/>
              </w:rPr>
            </w:pPr>
            <w:r>
              <w:rPr>
                <w:rFonts w:cs="Arial"/>
                <w:sz w:val="18"/>
                <w:szCs w:val="18"/>
              </w:rPr>
              <w:t>338 (total – 2016)</w:t>
            </w:r>
          </w:p>
        </w:tc>
        <w:tc>
          <w:tcPr>
            <w:tcW w:w="993" w:type="dxa"/>
            <w:tcBorders>
              <w:bottom w:val="single" w:sz="4" w:space="0" w:color="auto"/>
            </w:tcBorders>
            <w:vAlign w:val="center"/>
          </w:tcPr>
          <w:p w14:paraId="4063E634" w14:textId="77777777" w:rsidR="003539C5" w:rsidRPr="005F1183" w:rsidRDefault="003539C5" w:rsidP="00E97E9F">
            <w:pPr>
              <w:rPr>
                <w:rFonts w:cs="Arial"/>
                <w:sz w:val="18"/>
                <w:szCs w:val="18"/>
              </w:rPr>
            </w:pPr>
            <w:r w:rsidRPr="005F1183">
              <w:rPr>
                <w:rFonts w:cs="Arial"/>
                <w:sz w:val="18"/>
                <w:szCs w:val="18"/>
              </w:rPr>
              <w:t>6,108</w:t>
            </w:r>
          </w:p>
          <w:p w14:paraId="53832F48" w14:textId="77777777" w:rsidR="003539C5" w:rsidRPr="005F1183" w:rsidRDefault="003539C5" w:rsidP="003F7CFF">
            <w:pPr>
              <w:jc w:val="center"/>
              <w:rPr>
                <w:rFonts w:cs="Arial"/>
                <w:sz w:val="18"/>
                <w:szCs w:val="18"/>
              </w:rPr>
            </w:pPr>
          </w:p>
          <w:p w14:paraId="6AB9C78D" w14:textId="77777777" w:rsidR="003539C5" w:rsidRPr="005F1183" w:rsidRDefault="003539C5" w:rsidP="003F7CFF">
            <w:pPr>
              <w:jc w:val="center"/>
              <w:rPr>
                <w:rFonts w:cs="Arial"/>
                <w:sz w:val="18"/>
                <w:szCs w:val="18"/>
              </w:rPr>
            </w:pPr>
            <w:r w:rsidRPr="005F1183">
              <w:rPr>
                <w:rFonts w:cs="Arial"/>
                <w:sz w:val="18"/>
                <w:szCs w:val="18"/>
              </w:rPr>
              <w:t>-</w:t>
            </w:r>
          </w:p>
        </w:tc>
        <w:tc>
          <w:tcPr>
            <w:tcW w:w="992" w:type="dxa"/>
            <w:tcBorders>
              <w:bottom w:val="single" w:sz="4" w:space="0" w:color="auto"/>
            </w:tcBorders>
            <w:vAlign w:val="center"/>
          </w:tcPr>
          <w:p w14:paraId="742969BA" w14:textId="77777777" w:rsidR="003539C5" w:rsidRPr="005F1183" w:rsidRDefault="003539C5" w:rsidP="00E97E9F">
            <w:pPr>
              <w:rPr>
                <w:rFonts w:cs="Arial"/>
                <w:sz w:val="18"/>
                <w:szCs w:val="18"/>
              </w:rPr>
            </w:pPr>
            <w:r w:rsidRPr="005F1183">
              <w:rPr>
                <w:rFonts w:cs="Arial"/>
                <w:sz w:val="18"/>
                <w:szCs w:val="18"/>
              </w:rPr>
              <w:t>6,493</w:t>
            </w:r>
          </w:p>
          <w:p w14:paraId="73C9E7EC" w14:textId="77777777" w:rsidR="003539C5" w:rsidRPr="005F1183" w:rsidRDefault="003539C5" w:rsidP="003F7CFF">
            <w:pPr>
              <w:jc w:val="center"/>
              <w:rPr>
                <w:rFonts w:cs="Arial"/>
                <w:sz w:val="18"/>
                <w:szCs w:val="18"/>
              </w:rPr>
            </w:pPr>
          </w:p>
          <w:p w14:paraId="23D3438B" w14:textId="77777777" w:rsidR="003539C5" w:rsidRPr="005F1183" w:rsidRDefault="003539C5" w:rsidP="003F7CFF">
            <w:pPr>
              <w:jc w:val="center"/>
              <w:rPr>
                <w:rFonts w:cs="Arial"/>
                <w:sz w:val="18"/>
                <w:szCs w:val="18"/>
              </w:rPr>
            </w:pPr>
            <w:r w:rsidRPr="005F1183">
              <w:rPr>
                <w:rFonts w:cs="Arial"/>
                <w:sz w:val="18"/>
                <w:szCs w:val="18"/>
              </w:rPr>
              <w:t>-</w:t>
            </w:r>
          </w:p>
        </w:tc>
        <w:tc>
          <w:tcPr>
            <w:tcW w:w="1134" w:type="dxa"/>
            <w:tcBorders>
              <w:bottom w:val="single" w:sz="4" w:space="0" w:color="auto"/>
            </w:tcBorders>
            <w:vAlign w:val="center"/>
          </w:tcPr>
          <w:p w14:paraId="53E1BEAF" w14:textId="77777777" w:rsidR="00E97E9F" w:rsidRDefault="00E97E9F" w:rsidP="00E97E9F">
            <w:pPr>
              <w:rPr>
                <w:rFonts w:cs="Arial"/>
                <w:sz w:val="18"/>
                <w:szCs w:val="18"/>
              </w:rPr>
            </w:pPr>
          </w:p>
          <w:p w14:paraId="7AD2FA3E" w14:textId="77777777" w:rsidR="003539C5" w:rsidRPr="005F1183" w:rsidRDefault="003539C5" w:rsidP="003F7CFF">
            <w:pPr>
              <w:jc w:val="center"/>
              <w:rPr>
                <w:rFonts w:cs="Arial"/>
                <w:sz w:val="18"/>
                <w:szCs w:val="18"/>
              </w:rPr>
            </w:pPr>
            <w:r w:rsidRPr="005F1183">
              <w:rPr>
                <w:rFonts w:cs="Arial"/>
                <w:sz w:val="18"/>
                <w:szCs w:val="18"/>
              </w:rPr>
              <w:t>8,018</w:t>
            </w:r>
          </w:p>
          <w:p w14:paraId="0AD7190F" w14:textId="77777777" w:rsidR="003539C5" w:rsidRDefault="003539C5" w:rsidP="003F7CFF">
            <w:pPr>
              <w:jc w:val="center"/>
              <w:rPr>
                <w:rFonts w:cs="Arial"/>
                <w:sz w:val="18"/>
                <w:szCs w:val="18"/>
              </w:rPr>
            </w:pPr>
          </w:p>
          <w:p w14:paraId="78E903BA" w14:textId="77777777" w:rsidR="003539C5" w:rsidRPr="005F1183" w:rsidRDefault="003539C5" w:rsidP="00E97E9F">
            <w:pPr>
              <w:jc w:val="center"/>
              <w:rPr>
                <w:rFonts w:cs="Arial"/>
                <w:sz w:val="18"/>
                <w:szCs w:val="18"/>
              </w:rPr>
            </w:pPr>
            <w:r w:rsidRPr="005F1183">
              <w:rPr>
                <w:rFonts w:cs="Arial"/>
                <w:sz w:val="18"/>
                <w:szCs w:val="18"/>
              </w:rPr>
              <w:t>841</w:t>
            </w:r>
          </w:p>
          <w:p w14:paraId="1E40E804" w14:textId="77777777" w:rsidR="003539C5" w:rsidRPr="005F1183" w:rsidRDefault="003539C5" w:rsidP="003F7CFF">
            <w:pPr>
              <w:jc w:val="center"/>
              <w:rPr>
                <w:rFonts w:cs="Arial"/>
                <w:sz w:val="18"/>
                <w:szCs w:val="18"/>
              </w:rPr>
            </w:pPr>
            <w:r w:rsidRPr="005F1183">
              <w:rPr>
                <w:rFonts w:cs="Arial"/>
                <w:sz w:val="18"/>
                <w:szCs w:val="18"/>
              </w:rPr>
              <w:t>(2017)</w:t>
            </w:r>
          </w:p>
        </w:tc>
        <w:tc>
          <w:tcPr>
            <w:tcW w:w="992" w:type="dxa"/>
            <w:tcBorders>
              <w:bottom w:val="single" w:sz="4" w:space="0" w:color="auto"/>
            </w:tcBorders>
            <w:shd w:val="clear" w:color="auto" w:fill="FCD5B4"/>
            <w:vAlign w:val="center"/>
          </w:tcPr>
          <w:p w14:paraId="3B11953B" w14:textId="77777777" w:rsidR="003539C5" w:rsidRPr="005F1183" w:rsidRDefault="003539C5" w:rsidP="003F7CFF">
            <w:pPr>
              <w:jc w:val="center"/>
              <w:rPr>
                <w:rFonts w:cs="Arial"/>
                <w:sz w:val="18"/>
                <w:szCs w:val="18"/>
              </w:rPr>
            </w:pPr>
          </w:p>
          <w:p w14:paraId="300E7673" w14:textId="77777777" w:rsidR="00E97E9F" w:rsidRDefault="00E97E9F" w:rsidP="003F7CFF">
            <w:pPr>
              <w:jc w:val="center"/>
              <w:rPr>
                <w:rFonts w:cs="Arial"/>
                <w:sz w:val="18"/>
                <w:szCs w:val="18"/>
              </w:rPr>
            </w:pPr>
          </w:p>
          <w:p w14:paraId="2C96BF9E" w14:textId="77777777" w:rsidR="003539C5" w:rsidRPr="005F1183" w:rsidRDefault="003539C5" w:rsidP="00E97E9F">
            <w:pPr>
              <w:jc w:val="center"/>
              <w:rPr>
                <w:rFonts w:cs="Arial"/>
                <w:sz w:val="18"/>
                <w:szCs w:val="18"/>
              </w:rPr>
            </w:pPr>
            <w:r w:rsidRPr="005F1183">
              <w:rPr>
                <w:rFonts w:cs="Arial"/>
                <w:sz w:val="18"/>
                <w:szCs w:val="18"/>
              </w:rPr>
              <w:t>8,018</w:t>
            </w:r>
          </w:p>
          <w:p w14:paraId="2E41D94E" w14:textId="77777777" w:rsidR="003539C5" w:rsidRDefault="003539C5" w:rsidP="003F7CFF">
            <w:pPr>
              <w:jc w:val="center"/>
              <w:rPr>
                <w:rFonts w:cs="Arial"/>
                <w:sz w:val="18"/>
                <w:szCs w:val="18"/>
              </w:rPr>
            </w:pPr>
          </w:p>
          <w:p w14:paraId="2F3A5510" w14:textId="77777777" w:rsidR="003539C5" w:rsidRPr="005F1183" w:rsidRDefault="003539C5" w:rsidP="00B45092">
            <w:pPr>
              <w:jc w:val="center"/>
              <w:rPr>
                <w:rFonts w:cs="Arial"/>
                <w:sz w:val="18"/>
                <w:szCs w:val="18"/>
              </w:rPr>
            </w:pPr>
            <w:r w:rsidRPr="005F1183">
              <w:rPr>
                <w:rFonts w:cs="Arial"/>
                <w:sz w:val="18"/>
                <w:szCs w:val="18"/>
              </w:rPr>
              <w:t>1179 (current total)</w:t>
            </w:r>
          </w:p>
        </w:tc>
      </w:tr>
    </w:tbl>
    <w:p w14:paraId="3F5EA8F7" w14:textId="77777777" w:rsidR="003F7CFF" w:rsidRDefault="003F7CFF" w:rsidP="00C042FA">
      <w:pPr>
        <w:pStyle w:val="NoSpacing"/>
        <w:ind w:left="720"/>
        <w:rPr>
          <w:rFonts w:ascii="Arial" w:eastAsia="Calibri" w:hAnsi="Arial" w:cs="Arial"/>
          <w:sz w:val="24"/>
          <w:szCs w:val="24"/>
          <w:lang w:eastAsia="en-US"/>
        </w:rPr>
      </w:pPr>
    </w:p>
    <w:p w14:paraId="2D84F442" w14:textId="77777777" w:rsidR="003F7CFF" w:rsidRPr="00D41806" w:rsidRDefault="003F7CFF" w:rsidP="00D41806">
      <w:pPr>
        <w:jc w:val="both"/>
        <w:rPr>
          <w:rFonts w:eastAsiaTheme="minorHAnsi" w:cs="Arial"/>
          <w:i/>
          <w:sz w:val="22"/>
          <w:szCs w:val="22"/>
          <w:lang w:eastAsia="en-US"/>
        </w:rPr>
      </w:pPr>
      <w:r w:rsidRPr="00D41806">
        <w:rPr>
          <w:rFonts w:eastAsiaTheme="minorHAnsi" w:cs="Arial"/>
          <w:i/>
          <w:sz w:val="22"/>
          <w:szCs w:val="22"/>
          <w:lang w:eastAsia="en-US"/>
        </w:rPr>
        <w:t>Public Health</w:t>
      </w:r>
    </w:p>
    <w:p w14:paraId="609B4A5D" w14:textId="77777777" w:rsidR="003F7CFF" w:rsidRPr="00D41806" w:rsidRDefault="003F7CFF" w:rsidP="00E46CCF">
      <w:pPr>
        <w:contextualSpacing/>
        <w:jc w:val="both"/>
        <w:rPr>
          <w:rFonts w:eastAsiaTheme="minorHAnsi" w:cs="Arial"/>
          <w:sz w:val="22"/>
          <w:szCs w:val="22"/>
          <w:lang w:eastAsia="en-US"/>
        </w:rPr>
      </w:pPr>
      <w:r w:rsidRPr="00D41806">
        <w:rPr>
          <w:rFonts w:eastAsiaTheme="minorEastAsia" w:cs="Arial"/>
          <w:sz w:val="22"/>
          <w:szCs w:val="22"/>
        </w:rPr>
        <w:t xml:space="preserve">The </w:t>
      </w:r>
      <w:proofErr w:type="spellStart"/>
      <w:r w:rsidRPr="00D41806">
        <w:rPr>
          <w:rFonts w:eastAsiaTheme="minorEastAsia" w:cs="Arial"/>
          <w:sz w:val="22"/>
          <w:szCs w:val="22"/>
        </w:rPr>
        <w:t>DTaP</w:t>
      </w:r>
      <w:proofErr w:type="spellEnd"/>
      <w:r w:rsidRPr="00D41806">
        <w:rPr>
          <w:rFonts w:eastAsiaTheme="minorEastAsia" w:cs="Arial"/>
          <w:sz w:val="22"/>
          <w:szCs w:val="22"/>
        </w:rPr>
        <w:t>/IPV/Hib vaccine protects babies against five</w:t>
      </w:r>
      <w:r w:rsidR="001F7C9E" w:rsidRPr="00D41806">
        <w:rPr>
          <w:rFonts w:eastAsiaTheme="minorEastAsia" w:cs="Arial"/>
          <w:sz w:val="22"/>
          <w:szCs w:val="22"/>
        </w:rPr>
        <w:t xml:space="preserve"> different diseases: diphtheria, tetanus, whooping cough, polio</w:t>
      </w:r>
      <w:r w:rsidRPr="00D41806">
        <w:rPr>
          <w:rFonts w:eastAsiaTheme="minorEastAsia" w:cs="Arial"/>
          <w:sz w:val="22"/>
          <w:szCs w:val="22"/>
        </w:rPr>
        <w:t xml:space="preserve"> and Hib.  Data quality issues were identified as a problem when investigating the decline in uptake figures</w:t>
      </w:r>
      <w:r w:rsidR="008253E0">
        <w:rPr>
          <w:rFonts w:eastAsiaTheme="minorEastAsia" w:cs="Arial"/>
          <w:sz w:val="22"/>
          <w:szCs w:val="22"/>
        </w:rPr>
        <w:t>; with the level of performance presented and discussed with NHS England at Health Overview and Scrutiny Steering Group</w:t>
      </w:r>
      <w:r w:rsidRPr="00D41806">
        <w:rPr>
          <w:rFonts w:eastAsiaTheme="minorEastAsia" w:cs="Arial"/>
          <w:sz w:val="22"/>
          <w:szCs w:val="22"/>
        </w:rPr>
        <w:t>. The Pennine Lancashire Immunisation Uptake Group was created to address the issues and there are several improvement projects underway.  Uptake figures for 2017/18 Q2 have since increased to 88.8% (provisional figures) from 87.6% in 2017/18 Q1</w:t>
      </w:r>
      <w:r w:rsidR="008253E0">
        <w:rPr>
          <w:rFonts w:eastAsiaTheme="minorEastAsia" w:cs="Arial"/>
          <w:sz w:val="22"/>
          <w:szCs w:val="22"/>
        </w:rPr>
        <w:t xml:space="preserve">, although </w:t>
      </w:r>
      <w:r w:rsidRPr="00D41806">
        <w:rPr>
          <w:rFonts w:eastAsiaTheme="minorEastAsia" w:cs="Arial"/>
          <w:sz w:val="22"/>
          <w:szCs w:val="22"/>
        </w:rPr>
        <w:t>still remain lower than</w:t>
      </w:r>
      <w:r w:rsidRPr="00D41806">
        <w:rPr>
          <w:rFonts w:eastAsiaTheme="minorHAnsi" w:cs="Arial"/>
          <w:color w:val="FF0000"/>
          <w:sz w:val="22"/>
          <w:szCs w:val="22"/>
          <w:lang w:eastAsia="en-US"/>
        </w:rPr>
        <w:t xml:space="preserve"> </w:t>
      </w:r>
      <w:r w:rsidRPr="00D41806">
        <w:rPr>
          <w:rFonts w:eastAsiaTheme="minorHAnsi" w:cs="Arial"/>
          <w:sz w:val="22"/>
          <w:szCs w:val="22"/>
          <w:lang w:eastAsia="en-US"/>
        </w:rPr>
        <w:t>the 95% target recommended by the World Health Organisation.</w:t>
      </w:r>
    </w:p>
    <w:p w14:paraId="4080A914" w14:textId="77777777" w:rsidR="00C123B0" w:rsidRPr="00D41806" w:rsidRDefault="00C123B0" w:rsidP="00D41806">
      <w:pPr>
        <w:contextualSpacing/>
        <w:jc w:val="both"/>
        <w:rPr>
          <w:rFonts w:eastAsiaTheme="minorHAnsi" w:cs="Arial"/>
          <w:sz w:val="22"/>
          <w:szCs w:val="22"/>
          <w:lang w:eastAsia="en-US"/>
        </w:rPr>
      </w:pPr>
    </w:p>
    <w:p w14:paraId="22E32F32" w14:textId="77777777" w:rsidR="003F7CFF" w:rsidRPr="00D41806" w:rsidRDefault="002D4AF8" w:rsidP="00D41806">
      <w:pPr>
        <w:contextualSpacing/>
        <w:jc w:val="both"/>
        <w:rPr>
          <w:rFonts w:eastAsiaTheme="minorEastAsia" w:cs="Arial"/>
          <w:i/>
          <w:sz w:val="22"/>
          <w:szCs w:val="22"/>
        </w:rPr>
      </w:pPr>
      <w:r w:rsidRPr="00D41806">
        <w:rPr>
          <w:rFonts w:eastAsiaTheme="minorHAnsi" w:cs="Arial"/>
          <w:i/>
          <w:sz w:val="22"/>
          <w:szCs w:val="22"/>
          <w:lang w:eastAsia="en-US"/>
        </w:rPr>
        <w:t>Health Checks</w:t>
      </w:r>
    </w:p>
    <w:p w14:paraId="00965D38" w14:textId="77777777" w:rsidR="003F7CFF" w:rsidRPr="00D41806" w:rsidRDefault="00534D59" w:rsidP="00D41806">
      <w:pPr>
        <w:jc w:val="both"/>
        <w:rPr>
          <w:rFonts w:eastAsiaTheme="minorHAnsi" w:cs="Arial"/>
          <w:sz w:val="22"/>
          <w:szCs w:val="22"/>
          <w:lang w:eastAsia="en-US"/>
        </w:rPr>
      </w:pPr>
      <w:r>
        <w:rPr>
          <w:rFonts w:eastAsiaTheme="minorHAnsi" w:cs="Arial"/>
          <w:sz w:val="22"/>
          <w:szCs w:val="22"/>
          <w:lang w:eastAsia="en-US"/>
        </w:rPr>
        <w:t xml:space="preserve">The Health Check programme is </w:t>
      </w:r>
      <w:r w:rsidRPr="00534D59">
        <w:rPr>
          <w:rFonts w:eastAsiaTheme="minorHAnsi" w:cs="Arial"/>
          <w:sz w:val="22"/>
          <w:szCs w:val="22"/>
          <w:lang w:eastAsia="en-US"/>
        </w:rPr>
        <w:t xml:space="preserve">designed to spot early signs of stroke, kidney disease, heart disease, type 2 diabetes </w:t>
      </w:r>
      <w:r>
        <w:rPr>
          <w:rFonts w:eastAsiaTheme="minorHAnsi" w:cs="Arial"/>
          <w:sz w:val="22"/>
          <w:szCs w:val="22"/>
          <w:lang w:eastAsia="en-US"/>
        </w:rPr>
        <w:t>and</w:t>
      </w:r>
      <w:r w:rsidRPr="00534D59">
        <w:rPr>
          <w:rFonts w:eastAsiaTheme="minorHAnsi" w:cs="Arial"/>
          <w:sz w:val="22"/>
          <w:szCs w:val="22"/>
          <w:lang w:eastAsia="en-US"/>
        </w:rPr>
        <w:t xml:space="preserve"> dementia</w:t>
      </w:r>
      <w:r>
        <w:rPr>
          <w:rFonts w:eastAsiaTheme="minorHAnsi" w:cs="Arial"/>
          <w:sz w:val="22"/>
          <w:szCs w:val="22"/>
          <w:lang w:eastAsia="en-US"/>
        </w:rPr>
        <w:t xml:space="preserve">. </w:t>
      </w:r>
      <w:r w:rsidR="008253E0">
        <w:rPr>
          <w:rFonts w:eastAsiaTheme="minorHAnsi" w:cs="Arial"/>
          <w:sz w:val="22"/>
          <w:szCs w:val="22"/>
          <w:lang w:eastAsia="en-US"/>
        </w:rPr>
        <w:t xml:space="preserve">Since the </w:t>
      </w:r>
      <w:r w:rsidR="003F7CFF" w:rsidRPr="00D41806">
        <w:rPr>
          <w:rFonts w:eastAsiaTheme="minorHAnsi" w:cs="Arial"/>
          <w:sz w:val="22"/>
          <w:szCs w:val="22"/>
          <w:lang w:eastAsia="en-US"/>
        </w:rPr>
        <w:t>5 year programme</w:t>
      </w:r>
      <w:r w:rsidR="008253E0">
        <w:rPr>
          <w:rFonts w:eastAsiaTheme="minorHAnsi" w:cs="Arial"/>
          <w:sz w:val="22"/>
          <w:szCs w:val="22"/>
          <w:lang w:eastAsia="en-US"/>
        </w:rPr>
        <w:t xml:space="preserve"> started in </w:t>
      </w:r>
      <w:r w:rsidR="00EA4B64">
        <w:rPr>
          <w:rFonts w:eastAsiaTheme="minorHAnsi" w:cs="Arial"/>
          <w:sz w:val="22"/>
          <w:szCs w:val="22"/>
          <w:lang w:eastAsia="en-US"/>
        </w:rPr>
        <w:t xml:space="preserve"> April </w:t>
      </w:r>
      <w:r w:rsidR="003F7CFF" w:rsidRPr="00D41806">
        <w:rPr>
          <w:rFonts w:eastAsiaTheme="minorHAnsi" w:cs="Arial"/>
          <w:sz w:val="22"/>
          <w:szCs w:val="22"/>
          <w:lang w:eastAsia="en-US"/>
        </w:rPr>
        <w:t>2013</w:t>
      </w:r>
      <w:r w:rsidR="00050930">
        <w:rPr>
          <w:rFonts w:eastAsiaTheme="minorHAnsi" w:cs="Arial"/>
          <w:sz w:val="22"/>
          <w:szCs w:val="22"/>
          <w:lang w:eastAsia="en-US"/>
        </w:rPr>
        <w:t xml:space="preserve"> 89.1% </w:t>
      </w:r>
      <w:r w:rsidR="003F7CFF" w:rsidRPr="00D41806">
        <w:rPr>
          <w:rFonts w:eastAsiaTheme="minorHAnsi" w:cs="Arial"/>
          <w:sz w:val="22"/>
          <w:szCs w:val="22"/>
          <w:lang w:eastAsia="en-US"/>
        </w:rPr>
        <w:t xml:space="preserve"> </w:t>
      </w:r>
      <w:r w:rsidR="00EA4B64">
        <w:rPr>
          <w:rFonts w:eastAsiaTheme="minorHAnsi" w:cs="Arial"/>
          <w:sz w:val="22"/>
          <w:szCs w:val="22"/>
          <w:lang w:eastAsia="en-US"/>
        </w:rPr>
        <w:t xml:space="preserve">(December 2017) </w:t>
      </w:r>
      <w:r w:rsidR="003F7CFF" w:rsidRPr="00D41806">
        <w:rPr>
          <w:rFonts w:eastAsiaTheme="minorHAnsi" w:cs="Arial"/>
          <w:sz w:val="22"/>
          <w:szCs w:val="22"/>
          <w:lang w:eastAsia="en-US"/>
        </w:rPr>
        <w:t>of the eligible population (aged 40 – 74) have been offered a Health Check</w:t>
      </w:r>
      <w:r w:rsidR="00EA4B64">
        <w:rPr>
          <w:rFonts w:eastAsiaTheme="minorHAnsi" w:cs="Arial"/>
          <w:sz w:val="22"/>
          <w:szCs w:val="22"/>
          <w:lang w:eastAsia="en-US"/>
        </w:rPr>
        <w:t xml:space="preserve">; the target being 100% of the </w:t>
      </w:r>
      <w:r w:rsidR="003F7CFF" w:rsidRPr="00D41806">
        <w:rPr>
          <w:rFonts w:eastAsiaTheme="minorHAnsi" w:cs="Arial"/>
          <w:sz w:val="22"/>
          <w:szCs w:val="22"/>
          <w:lang w:eastAsia="en-US"/>
        </w:rPr>
        <w:t xml:space="preserve">eligible </w:t>
      </w:r>
      <w:r w:rsidR="00EA4B64">
        <w:rPr>
          <w:rFonts w:eastAsiaTheme="minorHAnsi" w:cs="Arial"/>
          <w:sz w:val="22"/>
          <w:szCs w:val="22"/>
          <w:lang w:eastAsia="en-US"/>
        </w:rPr>
        <w:t>population</w:t>
      </w:r>
      <w:r w:rsidR="003F7CFF" w:rsidRPr="00D41806">
        <w:rPr>
          <w:rFonts w:eastAsiaTheme="minorHAnsi" w:cs="Arial"/>
          <w:sz w:val="22"/>
          <w:szCs w:val="22"/>
          <w:lang w:eastAsia="en-US"/>
        </w:rPr>
        <w:t xml:space="preserve"> to be offer</w:t>
      </w:r>
      <w:r w:rsidR="001F7C9E" w:rsidRPr="00D41806">
        <w:rPr>
          <w:rFonts w:eastAsiaTheme="minorHAnsi" w:cs="Arial"/>
          <w:sz w:val="22"/>
          <w:szCs w:val="22"/>
          <w:lang w:eastAsia="en-US"/>
        </w:rPr>
        <w:t>ed</w:t>
      </w:r>
      <w:r w:rsidR="003F7CFF" w:rsidRPr="00D41806">
        <w:rPr>
          <w:rFonts w:eastAsiaTheme="minorHAnsi" w:cs="Arial"/>
          <w:sz w:val="22"/>
          <w:szCs w:val="22"/>
          <w:lang w:eastAsia="en-US"/>
        </w:rPr>
        <w:t xml:space="preserve"> one</w:t>
      </w:r>
      <w:r w:rsidR="001F7C9E" w:rsidRPr="00D41806">
        <w:rPr>
          <w:rFonts w:eastAsiaTheme="minorHAnsi" w:cs="Arial"/>
          <w:sz w:val="22"/>
          <w:szCs w:val="22"/>
          <w:lang w:eastAsia="en-US"/>
        </w:rPr>
        <w:t xml:space="preserve"> check over the 5 </w:t>
      </w:r>
      <w:r w:rsidR="003F7CFF" w:rsidRPr="00D41806">
        <w:rPr>
          <w:rFonts w:eastAsiaTheme="minorHAnsi" w:cs="Arial"/>
          <w:sz w:val="22"/>
          <w:szCs w:val="22"/>
          <w:lang w:eastAsia="en-US"/>
        </w:rPr>
        <w:t xml:space="preserve">year programme.  Steady </w:t>
      </w:r>
      <w:r w:rsidR="001F7C9E" w:rsidRPr="00D41806">
        <w:rPr>
          <w:rFonts w:eastAsiaTheme="minorHAnsi" w:cs="Arial"/>
          <w:sz w:val="22"/>
          <w:szCs w:val="22"/>
          <w:lang w:eastAsia="en-US"/>
        </w:rPr>
        <w:t>improvements</w:t>
      </w:r>
      <w:r w:rsidR="003F7CFF" w:rsidRPr="00D41806">
        <w:rPr>
          <w:rFonts w:eastAsiaTheme="minorHAnsi" w:cs="Arial"/>
          <w:sz w:val="22"/>
          <w:szCs w:val="22"/>
          <w:lang w:eastAsia="en-US"/>
        </w:rPr>
        <w:t xml:space="preserve"> have been made to the number of NHS health checks completed since the begi</w:t>
      </w:r>
      <w:r w:rsidR="002D4AF8" w:rsidRPr="00D41806">
        <w:rPr>
          <w:rFonts w:eastAsiaTheme="minorHAnsi" w:cs="Arial"/>
          <w:sz w:val="22"/>
          <w:szCs w:val="22"/>
          <w:lang w:eastAsia="en-US"/>
        </w:rPr>
        <w:t>nning of the programme</w:t>
      </w:r>
      <w:r w:rsidR="002C5FD0">
        <w:rPr>
          <w:rFonts w:eastAsiaTheme="minorHAnsi" w:cs="Arial"/>
          <w:sz w:val="22"/>
          <w:szCs w:val="22"/>
          <w:lang w:eastAsia="en-US"/>
        </w:rPr>
        <w:t xml:space="preserve">, with </w:t>
      </w:r>
      <w:r w:rsidR="002D4AF8" w:rsidRPr="00D41806">
        <w:rPr>
          <w:rFonts w:eastAsiaTheme="minorHAnsi" w:cs="Arial"/>
          <w:sz w:val="22"/>
          <w:szCs w:val="22"/>
          <w:lang w:eastAsia="en-US"/>
        </w:rPr>
        <w:t xml:space="preserve">current </w:t>
      </w:r>
      <w:r w:rsidR="003F7CFF" w:rsidRPr="00D41806">
        <w:rPr>
          <w:rFonts w:eastAsiaTheme="minorHAnsi" w:cs="Arial"/>
          <w:sz w:val="22"/>
          <w:szCs w:val="22"/>
          <w:lang w:eastAsia="en-US"/>
        </w:rPr>
        <w:t>uptake</w:t>
      </w:r>
      <w:r w:rsidR="002D4AF8" w:rsidRPr="00D41806">
        <w:rPr>
          <w:rFonts w:eastAsiaTheme="minorHAnsi" w:cs="Arial"/>
          <w:sz w:val="22"/>
          <w:szCs w:val="22"/>
          <w:lang w:eastAsia="en-US"/>
        </w:rPr>
        <w:t xml:space="preserve"> across the </w:t>
      </w:r>
      <w:r w:rsidR="002C5FD0">
        <w:rPr>
          <w:rFonts w:eastAsiaTheme="minorHAnsi" w:cs="Arial"/>
          <w:sz w:val="22"/>
          <w:szCs w:val="22"/>
          <w:lang w:eastAsia="en-US"/>
        </w:rPr>
        <w:t xml:space="preserve">whole </w:t>
      </w:r>
      <w:r w:rsidR="002D4AF8" w:rsidRPr="00D41806">
        <w:rPr>
          <w:rFonts w:eastAsiaTheme="minorHAnsi" w:cs="Arial"/>
          <w:sz w:val="22"/>
          <w:szCs w:val="22"/>
          <w:lang w:eastAsia="en-US"/>
        </w:rPr>
        <w:t>programme</w:t>
      </w:r>
      <w:r w:rsidR="003F7CFF" w:rsidRPr="00D41806">
        <w:rPr>
          <w:rFonts w:eastAsiaTheme="minorHAnsi" w:cs="Arial"/>
          <w:sz w:val="22"/>
          <w:szCs w:val="22"/>
          <w:lang w:eastAsia="en-US"/>
        </w:rPr>
        <w:t xml:space="preserve"> </w:t>
      </w:r>
      <w:r w:rsidR="002C5FD0">
        <w:rPr>
          <w:rFonts w:eastAsiaTheme="minorHAnsi" w:cs="Arial"/>
          <w:sz w:val="22"/>
          <w:szCs w:val="22"/>
          <w:lang w:eastAsia="en-US"/>
        </w:rPr>
        <w:t xml:space="preserve">at </w:t>
      </w:r>
      <w:r w:rsidR="00050930">
        <w:rPr>
          <w:rFonts w:eastAsiaTheme="minorHAnsi" w:cs="Arial"/>
          <w:sz w:val="22"/>
          <w:szCs w:val="22"/>
          <w:lang w:eastAsia="en-US"/>
        </w:rPr>
        <w:t>59.2</w:t>
      </w:r>
      <w:r w:rsidR="00B00F2D">
        <w:rPr>
          <w:rFonts w:eastAsiaTheme="minorHAnsi" w:cs="Arial"/>
          <w:sz w:val="22"/>
          <w:szCs w:val="22"/>
          <w:lang w:eastAsia="en-US"/>
        </w:rPr>
        <w:t>%</w:t>
      </w:r>
      <w:r w:rsidR="003F7CFF" w:rsidRPr="00D41806">
        <w:rPr>
          <w:rFonts w:eastAsiaTheme="minorHAnsi" w:cs="Arial"/>
          <w:sz w:val="22"/>
          <w:szCs w:val="22"/>
          <w:lang w:eastAsia="en-US"/>
        </w:rPr>
        <w:t>. </w:t>
      </w:r>
      <w:r w:rsidR="00654445">
        <w:rPr>
          <w:rFonts w:eastAsiaTheme="minorHAnsi" w:cs="Arial"/>
          <w:sz w:val="22"/>
          <w:szCs w:val="22"/>
          <w:lang w:eastAsia="en-US"/>
        </w:rPr>
        <w:t>However the service delivering Health Checks in community settings is currently under performing in terms of activity levels, and is consequently subject to enhanced contract monitoring.</w:t>
      </w:r>
    </w:p>
    <w:p w14:paraId="2382EED5" w14:textId="77777777" w:rsidR="003F7CFF" w:rsidRPr="00D41806" w:rsidRDefault="003F7CFF" w:rsidP="00D41806">
      <w:pPr>
        <w:jc w:val="both"/>
        <w:rPr>
          <w:rFonts w:eastAsiaTheme="minorHAnsi" w:cs="Arial"/>
          <w:sz w:val="22"/>
          <w:szCs w:val="22"/>
        </w:rPr>
      </w:pPr>
    </w:p>
    <w:p w14:paraId="711131C7" w14:textId="77777777" w:rsidR="003F7CFF" w:rsidRPr="00D41806" w:rsidRDefault="003F7CFF" w:rsidP="00D41806">
      <w:pPr>
        <w:jc w:val="both"/>
        <w:rPr>
          <w:rFonts w:eastAsiaTheme="minorEastAsia" w:cs="Arial"/>
          <w:i/>
          <w:sz w:val="22"/>
          <w:szCs w:val="22"/>
        </w:rPr>
      </w:pPr>
      <w:r w:rsidRPr="00D41806">
        <w:rPr>
          <w:rFonts w:eastAsiaTheme="minorEastAsia" w:cs="Arial"/>
          <w:i/>
          <w:sz w:val="22"/>
          <w:szCs w:val="22"/>
        </w:rPr>
        <w:t>T</w:t>
      </w:r>
      <w:r w:rsidR="00B47E3A" w:rsidRPr="00D41806">
        <w:rPr>
          <w:rFonts w:eastAsiaTheme="minorEastAsia" w:cs="Arial"/>
          <w:i/>
          <w:sz w:val="22"/>
          <w:szCs w:val="22"/>
        </w:rPr>
        <w:t xml:space="preserve">roubled </w:t>
      </w:r>
      <w:r w:rsidRPr="00D41806">
        <w:rPr>
          <w:rFonts w:eastAsiaTheme="minorEastAsia" w:cs="Arial"/>
          <w:i/>
          <w:sz w:val="22"/>
          <w:szCs w:val="22"/>
        </w:rPr>
        <w:t>F</w:t>
      </w:r>
      <w:r w:rsidR="00B47E3A" w:rsidRPr="00D41806">
        <w:rPr>
          <w:rFonts w:eastAsiaTheme="minorEastAsia" w:cs="Arial"/>
          <w:i/>
          <w:sz w:val="22"/>
          <w:szCs w:val="22"/>
        </w:rPr>
        <w:t xml:space="preserve">amilies </w:t>
      </w:r>
      <w:r w:rsidRPr="00D41806">
        <w:rPr>
          <w:rFonts w:eastAsiaTheme="minorEastAsia" w:cs="Arial"/>
          <w:i/>
          <w:sz w:val="22"/>
          <w:szCs w:val="22"/>
        </w:rPr>
        <w:t>U</w:t>
      </w:r>
      <w:r w:rsidR="00B47E3A" w:rsidRPr="00D41806">
        <w:rPr>
          <w:rFonts w:eastAsiaTheme="minorEastAsia" w:cs="Arial"/>
          <w:i/>
          <w:sz w:val="22"/>
          <w:szCs w:val="22"/>
        </w:rPr>
        <w:t>nit</w:t>
      </w:r>
    </w:p>
    <w:p w14:paraId="3BAF80D0" w14:textId="77777777" w:rsidR="003F7CFF" w:rsidRPr="00D41806" w:rsidRDefault="003F7CFF" w:rsidP="00D41806">
      <w:pPr>
        <w:jc w:val="both"/>
        <w:rPr>
          <w:rFonts w:eastAsiaTheme="minorHAnsi" w:cs="Arial"/>
          <w:sz w:val="22"/>
          <w:szCs w:val="22"/>
          <w:lang w:eastAsia="en-US"/>
        </w:rPr>
      </w:pPr>
      <w:r w:rsidRPr="00D41806">
        <w:rPr>
          <w:rFonts w:eastAsiaTheme="minorHAnsi" w:cs="Arial"/>
          <w:sz w:val="22"/>
          <w:szCs w:val="22"/>
          <w:lang w:eastAsia="en-US"/>
        </w:rPr>
        <w:lastRenderedPageBreak/>
        <w:t xml:space="preserve">Lancashire has been 'spot checked' by the DCLG to ensure that the claims made </w:t>
      </w:r>
      <w:r w:rsidR="001F7C9E" w:rsidRPr="00D41806">
        <w:rPr>
          <w:rFonts w:eastAsiaTheme="minorHAnsi" w:cs="Arial"/>
          <w:sz w:val="22"/>
          <w:szCs w:val="22"/>
          <w:lang w:eastAsia="en-US"/>
        </w:rPr>
        <w:t xml:space="preserve">under the terms of the Troubled Families programme </w:t>
      </w:r>
      <w:r w:rsidRPr="00D41806">
        <w:rPr>
          <w:rFonts w:eastAsiaTheme="minorHAnsi" w:cs="Arial"/>
          <w:sz w:val="22"/>
          <w:szCs w:val="22"/>
          <w:lang w:eastAsia="en-US"/>
        </w:rPr>
        <w:t xml:space="preserve">were valid and robust. Very positive feedback was received regarding the programme delivery in Lancashire and the team were impressed with the progress that has been made. </w:t>
      </w:r>
    </w:p>
    <w:p w14:paraId="56ED81CE" w14:textId="77777777" w:rsidR="003F7CFF" w:rsidRPr="00D41806" w:rsidRDefault="003F7CFF" w:rsidP="00D41806">
      <w:pPr>
        <w:jc w:val="both"/>
        <w:rPr>
          <w:rFonts w:eastAsiaTheme="minorHAnsi" w:cs="Arial"/>
          <w:sz w:val="22"/>
          <w:szCs w:val="22"/>
          <w:lang w:eastAsia="en-US"/>
        </w:rPr>
      </w:pPr>
    </w:p>
    <w:p w14:paraId="38FFFF27" w14:textId="77777777" w:rsidR="00E53A2D" w:rsidRDefault="001F7C9E" w:rsidP="00E53A2D">
      <w:pPr>
        <w:rPr>
          <w:rFonts w:ascii="Calibri" w:hAnsi="Calibri"/>
          <w:sz w:val="22"/>
        </w:rPr>
      </w:pPr>
      <w:r w:rsidRPr="00D41806">
        <w:rPr>
          <w:rFonts w:eastAsiaTheme="minorHAnsi" w:cs="Arial"/>
          <w:sz w:val="22"/>
          <w:szCs w:val="22"/>
          <w:lang w:eastAsia="en-US"/>
        </w:rPr>
        <w:t xml:space="preserve">The </w:t>
      </w:r>
      <w:r w:rsidR="003F7CFF" w:rsidRPr="00D41806">
        <w:rPr>
          <w:rFonts w:eastAsiaTheme="minorHAnsi" w:cs="Arial"/>
          <w:sz w:val="22"/>
          <w:szCs w:val="22"/>
          <w:lang w:eastAsia="en-US"/>
        </w:rPr>
        <w:t xml:space="preserve">cumulative total of 1,179 </w:t>
      </w:r>
      <w:r w:rsidRPr="00D41806">
        <w:rPr>
          <w:rFonts w:eastAsiaTheme="minorHAnsi" w:cs="Arial"/>
          <w:sz w:val="22"/>
          <w:szCs w:val="22"/>
          <w:lang w:eastAsia="en-US"/>
        </w:rPr>
        <w:t xml:space="preserve">'payments by results' (PBR) </w:t>
      </w:r>
      <w:r w:rsidR="003F7CFF" w:rsidRPr="00D41806">
        <w:rPr>
          <w:rFonts w:eastAsiaTheme="minorHAnsi" w:cs="Arial"/>
          <w:sz w:val="22"/>
          <w:szCs w:val="22"/>
          <w:lang w:eastAsia="en-US"/>
        </w:rPr>
        <w:t>claims as at 31</w:t>
      </w:r>
      <w:r w:rsidR="003F7CFF" w:rsidRPr="00D41806">
        <w:rPr>
          <w:rFonts w:eastAsiaTheme="minorHAnsi" w:cs="Arial"/>
          <w:sz w:val="22"/>
          <w:szCs w:val="22"/>
          <w:vertAlign w:val="superscript"/>
          <w:lang w:eastAsia="en-US"/>
        </w:rPr>
        <w:t>st</w:t>
      </w:r>
      <w:r w:rsidR="003F7CFF" w:rsidRPr="00D41806">
        <w:rPr>
          <w:rFonts w:eastAsiaTheme="minorHAnsi" w:cs="Arial"/>
          <w:sz w:val="22"/>
          <w:szCs w:val="22"/>
          <w:lang w:eastAsia="en-US"/>
        </w:rPr>
        <w:t xml:space="preserve"> Decemb</w:t>
      </w:r>
      <w:r w:rsidRPr="00D41806">
        <w:rPr>
          <w:rFonts w:eastAsiaTheme="minorHAnsi" w:cs="Arial"/>
          <w:sz w:val="22"/>
          <w:szCs w:val="22"/>
          <w:lang w:eastAsia="en-US"/>
        </w:rPr>
        <w:t>er 2017</w:t>
      </w:r>
      <w:r w:rsidR="003F7CFF" w:rsidRPr="00D41806">
        <w:rPr>
          <w:rFonts w:eastAsiaTheme="minorHAnsi" w:cs="Arial"/>
          <w:sz w:val="22"/>
          <w:szCs w:val="22"/>
          <w:lang w:eastAsia="en-US"/>
        </w:rPr>
        <w:t xml:space="preserve"> is behind the targeted position for the year</w:t>
      </w:r>
      <w:r w:rsidRPr="00D41806">
        <w:rPr>
          <w:rFonts w:eastAsiaTheme="minorHAnsi" w:cs="Arial"/>
          <w:sz w:val="22"/>
          <w:szCs w:val="22"/>
          <w:lang w:eastAsia="en-US"/>
        </w:rPr>
        <w:t xml:space="preserve">.  </w:t>
      </w:r>
      <w:r w:rsidR="00E53A2D" w:rsidRPr="00E53A2D">
        <w:t>There is a positive relationship between Lancashire and the national Troubled Families team following a number of visits to the authority and the evidence that the council has been able to provide to meet the aims of the programme. There is a recognition that Lancashire entered into phase 2 of the programme later than other Local Authorities and on that basis the numbers of payment by results claims would be affected. There is an action plan to increase the payment by results claims before the end of the financial year with the aim to a cumulative total of 1,838 families achieving significant and sustained progress. This has been accepted by the national Troubled Families team.</w:t>
      </w:r>
      <w:r w:rsidR="00E53A2D">
        <w:t xml:space="preserve"> </w:t>
      </w:r>
    </w:p>
    <w:p w14:paraId="010E08A7" w14:textId="77777777" w:rsidR="00FE4AF8" w:rsidRDefault="00FE4AF8" w:rsidP="00E53A2D">
      <w:pPr>
        <w:pStyle w:val="NoSpacing"/>
        <w:rPr>
          <w:rFonts w:ascii="Arial" w:eastAsia="Calibri" w:hAnsi="Arial" w:cs="Arial"/>
          <w:sz w:val="24"/>
          <w:szCs w:val="24"/>
          <w:lang w:eastAsia="en-US"/>
        </w:rPr>
      </w:pPr>
    </w:p>
    <w:tbl>
      <w:tblPr>
        <w:tblStyle w:val="TableGrid1"/>
        <w:tblW w:w="10121" w:type="dxa"/>
        <w:tblLayout w:type="fixed"/>
        <w:tblLook w:val="04A0" w:firstRow="1" w:lastRow="0" w:firstColumn="1" w:lastColumn="0" w:noHBand="0" w:noVBand="1"/>
      </w:tblPr>
      <w:tblGrid>
        <w:gridCol w:w="2972"/>
        <w:gridCol w:w="992"/>
        <w:gridCol w:w="1832"/>
        <w:gridCol w:w="861"/>
        <w:gridCol w:w="942"/>
        <w:gridCol w:w="944"/>
        <w:gridCol w:w="1578"/>
      </w:tblGrid>
      <w:tr w:rsidR="00345E2E" w:rsidRPr="003F7CFF" w14:paraId="397D350C" w14:textId="77777777" w:rsidTr="00345E2E">
        <w:tc>
          <w:tcPr>
            <w:tcW w:w="10121" w:type="dxa"/>
            <w:gridSpan w:val="7"/>
            <w:tcBorders>
              <w:top w:val="single" w:sz="4" w:space="0" w:color="auto"/>
            </w:tcBorders>
            <w:shd w:val="clear" w:color="auto" w:fill="F2F2F2" w:themeFill="background1" w:themeFillShade="F2"/>
            <w:vAlign w:val="center"/>
          </w:tcPr>
          <w:p w14:paraId="126EA358" w14:textId="77777777" w:rsidR="00345E2E" w:rsidRPr="00345E2E" w:rsidRDefault="00D41806" w:rsidP="003F7CFF">
            <w:pPr>
              <w:jc w:val="center"/>
              <w:rPr>
                <w:rFonts w:cs="Arial"/>
                <w:b/>
                <w:sz w:val="20"/>
                <w:szCs w:val="20"/>
              </w:rPr>
            </w:pPr>
            <w:r>
              <w:rPr>
                <w:rFonts w:cs="Arial"/>
                <w:b/>
                <w:sz w:val="20"/>
                <w:szCs w:val="20"/>
              </w:rPr>
              <w:t>Road safety</w:t>
            </w:r>
          </w:p>
        </w:tc>
      </w:tr>
      <w:tr w:rsidR="003F7CFF" w:rsidRPr="003F7CFF" w14:paraId="59429AD1" w14:textId="77777777" w:rsidTr="00B305CD">
        <w:tc>
          <w:tcPr>
            <w:tcW w:w="2972" w:type="dxa"/>
            <w:tcBorders>
              <w:top w:val="nil"/>
            </w:tcBorders>
            <w:shd w:val="clear" w:color="auto" w:fill="F2F2F2" w:themeFill="background1" w:themeFillShade="F2"/>
            <w:vAlign w:val="center"/>
          </w:tcPr>
          <w:p w14:paraId="1368D6AE" w14:textId="77777777" w:rsidR="003F7CFF" w:rsidRPr="00345E2E" w:rsidRDefault="003F7CFF" w:rsidP="003F7CFF">
            <w:pPr>
              <w:jc w:val="center"/>
              <w:rPr>
                <w:rFonts w:cs="Arial"/>
                <w:b/>
                <w:sz w:val="20"/>
                <w:szCs w:val="20"/>
              </w:rPr>
            </w:pPr>
            <w:r w:rsidRPr="00345E2E">
              <w:rPr>
                <w:rFonts w:cs="Arial"/>
                <w:b/>
                <w:sz w:val="20"/>
                <w:szCs w:val="20"/>
              </w:rPr>
              <w:t>Performance Measure</w:t>
            </w:r>
          </w:p>
          <w:p w14:paraId="38008DC1" w14:textId="77777777" w:rsidR="003F7CFF" w:rsidRPr="00345E2E" w:rsidRDefault="003F7CFF" w:rsidP="003F7CFF">
            <w:pPr>
              <w:jc w:val="center"/>
              <w:rPr>
                <w:rFonts w:cs="Arial"/>
                <w:b/>
                <w:sz w:val="20"/>
                <w:szCs w:val="20"/>
              </w:rPr>
            </w:pPr>
          </w:p>
        </w:tc>
        <w:tc>
          <w:tcPr>
            <w:tcW w:w="992" w:type="dxa"/>
            <w:tcBorders>
              <w:top w:val="nil"/>
            </w:tcBorders>
            <w:shd w:val="clear" w:color="auto" w:fill="F2F2F2" w:themeFill="background1" w:themeFillShade="F2"/>
            <w:vAlign w:val="center"/>
          </w:tcPr>
          <w:p w14:paraId="084AF5F7" w14:textId="77777777" w:rsidR="003F7CFF" w:rsidRPr="00345E2E" w:rsidRDefault="003F7CFF" w:rsidP="003F7CFF">
            <w:pPr>
              <w:jc w:val="center"/>
              <w:rPr>
                <w:rFonts w:cs="Arial"/>
                <w:b/>
                <w:color w:val="000000"/>
                <w:sz w:val="20"/>
                <w:szCs w:val="20"/>
              </w:rPr>
            </w:pPr>
            <w:r w:rsidRPr="00345E2E">
              <w:rPr>
                <w:rFonts w:cs="Arial"/>
                <w:b/>
                <w:color w:val="000000"/>
                <w:sz w:val="20"/>
                <w:szCs w:val="20"/>
              </w:rPr>
              <w:t>Good is</w:t>
            </w:r>
          </w:p>
          <w:p w14:paraId="3ECAB7D5" w14:textId="77777777" w:rsidR="003F7CFF" w:rsidRPr="00345E2E" w:rsidRDefault="003F7CFF" w:rsidP="003F7CFF">
            <w:pPr>
              <w:jc w:val="center"/>
              <w:rPr>
                <w:rFonts w:cs="Arial"/>
                <w:b/>
                <w:sz w:val="20"/>
                <w:szCs w:val="20"/>
              </w:rPr>
            </w:pPr>
            <w:r w:rsidRPr="00345E2E">
              <w:rPr>
                <w:rFonts w:cs="Arial"/>
                <w:b/>
                <w:color w:val="000000"/>
                <w:sz w:val="20"/>
                <w:szCs w:val="20"/>
              </w:rPr>
              <w:t>High or Low</w:t>
            </w:r>
          </w:p>
        </w:tc>
        <w:tc>
          <w:tcPr>
            <w:tcW w:w="1832" w:type="dxa"/>
            <w:tcBorders>
              <w:top w:val="nil"/>
            </w:tcBorders>
            <w:shd w:val="clear" w:color="auto" w:fill="F2F2F2" w:themeFill="background1" w:themeFillShade="F2"/>
            <w:vAlign w:val="center"/>
          </w:tcPr>
          <w:p w14:paraId="01FB3B94" w14:textId="77777777" w:rsidR="003F7CFF" w:rsidRPr="00345E2E" w:rsidRDefault="003F7CFF" w:rsidP="003F7CFF">
            <w:pPr>
              <w:jc w:val="center"/>
              <w:rPr>
                <w:rFonts w:cs="Arial"/>
                <w:b/>
                <w:sz w:val="20"/>
                <w:szCs w:val="20"/>
              </w:rPr>
            </w:pPr>
            <w:r w:rsidRPr="00345E2E">
              <w:rPr>
                <w:rFonts w:cs="Arial"/>
                <w:b/>
                <w:sz w:val="20"/>
                <w:szCs w:val="20"/>
              </w:rPr>
              <w:t>Q1-3</w:t>
            </w:r>
          </w:p>
          <w:p w14:paraId="1E293E09" w14:textId="77777777" w:rsidR="003F7CFF" w:rsidRPr="00345E2E" w:rsidRDefault="003F7CFF" w:rsidP="003F7CFF">
            <w:pPr>
              <w:jc w:val="center"/>
              <w:rPr>
                <w:rFonts w:cs="Arial"/>
                <w:b/>
                <w:sz w:val="20"/>
                <w:szCs w:val="20"/>
              </w:rPr>
            </w:pPr>
            <w:r w:rsidRPr="00345E2E">
              <w:rPr>
                <w:rFonts w:cs="Arial"/>
                <w:b/>
                <w:sz w:val="20"/>
                <w:szCs w:val="20"/>
              </w:rPr>
              <w:t>2014</w:t>
            </w:r>
          </w:p>
        </w:tc>
        <w:tc>
          <w:tcPr>
            <w:tcW w:w="861" w:type="dxa"/>
            <w:tcBorders>
              <w:top w:val="nil"/>
            </w:tcBorders>
            <w:shd w:val="clear" w:color="auto" w:fill="F2F2F2" w:themeFill="background1" w:themeFillShade="F2"/>
            <w:vAlign w:val="center"/>
          </w:tcPr>
          <w:p w14:paraId="2F3DABA0" w14:textId="77777777" w:rsidR="003F7CFF" w:rsidRPr="00345E2E" w:rsidRDefault="003F7CFF" w:rsidP="003F7CFF">
            <w:pPr>
              <w:jc w:val="center"/>
              <w:rPr>
                <w:rFonts w:cs="Arial"/>
                <w:b/>
                <w:sz w:val="20"/>
                <w:szCs w:val="20"/>
              </w:rPr>
            </w:pPr>
            <w:r w:rsidRPr="00345E2E">
              <w:rPr>
                <w:rFonts w:cs="Arial"/>
                <w:b/>
                <w:sz w:val="20"/>
                <w:szCs w:val="20"/>
              </w:rPr>
              <w:t>Q1-3</w:t>
            </w:r>
          </w:p>
          <w:p w14:paraId="6BEDE71F" w14:textId="77777777" w:rsidR="003F7CFF" w:rsidRPr="00345E2E" w:rsidRDefault="003F7CFF" w:rsidP="003F7CFF">
            <w:pPr>
              <w:jc w:val="center"/>
              <w:rPr>
                <w:rFonts w:cs="Arial"/>
                <w:b/>
                <w:sz w:val="20"/>
                <w:szCs w:val="20"/>
              </w:rPr>
            </w:pPr>
            <w:r w:rsidRPr="00345E2E">
              <w:rPr>
                <w:rFonts w:cs="Arial"/>
                <w:b/>
                <w:sz w:val="20"/>
                <w:szCs w:val="20"/>
              </w:rPr>
              <w:t>2015</w:t>
            </w:r>
          </w:p>
        </w:tc>
        <w:tc>
          <w:tcPr>
            <w:tcW w:w="942" w:type="dxa"/>
            <w:tcBorders>
              <w:top w:val="nil"/>
            </w:tcBorders>
            <w:shd w:val="clear" w:color="auto" w:fill="F2F2F2" w:themeFill="background1" w:themeFillShade="F2"/>
            <w:vAlign w:val="center"/>
          </w:tcPr>
          <w:p w14:paraId="20C893D7" w14:textId="77777777" w:rsidR="003F7CFF" w:rsidRPr="00345E2E" w:rsidRDefault="003F7CFF" w:rsidP="003F7CFF">
            <w:pPr>
              <w:jc w:val="center"/>
              <w:rPr>
                <w:rFonts w:cs="Arial"/>
                <w:b/>
                <w:sz w:val="20"/>
                <w:szCs w:val="20"/>
              </w:rPr>
            </w:pPr>
            <w:r w:rsidRPr="00345E2E">
              <w:rPr>
                <w:rFonts w:cs="Arial"/>
                <w:b/>
                <w:sz w:val="20"/>
                <w:szCs w:val="20"/>
              </w:rPr>
              <w:t>Q1-3</w:t>
            </w:r>
          </w:p>
          <w:p w14:paraId="49DC5115" w14:textId="77777777" w:rsidR="003F7CFF" w:rsidRPr="00345E2E" w:rsidRDefault="003F7CFF" w:rsidP="003F7CFF">
            <w:pPr>
              <w:jc w:val="center"/>
              <w:rPr>
                <w:rFonts w:cs="Arial"/>
                <w:b/>
                <w:sz w:val="20"/>
                <w:szCs w:val="20"/>
              </w:rPr>
            </w:pPr>
            <w:r w:rsidRPr="00345E2E">
              <w:rPr>
                <w:rFonts w:cs="Arial"/>
                <w:b/>
                <w:sz w:val="20"/>
                <w:szCs w:val="20"/>
              </w:rPr>
              <w:t>2016</w:t>
            </w:r>
          </w:p>
        </w:tc>
        <w:tc>
          <w:tcPr>
            <w:tcW w:w="944" w:type="dxa"/>
            <w:tcBorders>
              <w:top w:val="nil"/>
            </w:tcBorders>
            <w:shd w:val="clear" w:color="auto" w:fill="F2F2F2" w:themeFill="background1" w:themeFillShade="F2"/>
            <w:vAlign w:val="center"/>
          </w:tcPr>
          <w:p w14:paraId="241F7264" w14:textId="77777777" w:rsidR="003F7CFF" w:rsidRPr="00345E2E" w:rsidRDefault="003F7CFF" w:rsidP="003F7CFF">
            <w:pPr>
              <w:jc w:val="center"/>
              <w:rPr>
                <w:rFonts w:cs="Arial"/>
                <w:b/>
                <w:sz w:val="20"/>
                <w:szCs w:val="20"/>
              </w:rPr>
            </w:pPr>
            <w:r w:rsidRPr="00345E2E">
              <w:rPr>
                <w:rFonts w:cs="Arial"/>
                <w:b/>
                <w:sz w:val="20"/>
                <w:szCs w:val="20"/>
              </w:rPr>
              <w:t>Q1-3</w:t>
            </w:r>
          </w:p>
          <w:p w14:paraId="65741F0C" w14:textId="77777777" w:rsidR="003F7CFF" w:rsidRPr="00345E2E" w:rsidRDefault="003F7CFF" w:rsidP="003F7CFF">
            <w:pPr>
              <w:jc w:val="center"/>
              <w:rPr>
                <w:rFonts w:cs="Arial"/>
                <w:b/>
                <w:sz w:val="20"/>
                <w:szCs w:val="20"/>
              </w:rPr>
            </w:pPr>
            <w:r w:rsidRPr="00345E2E">
              <w:rPr>
                <w:rFonts w:cs="Arial"/>
                <w:b/>
                <w:sz w:val="20"/>
                <w:szCs w:val="20"/>
              </w:rPr>
              <w:t>2017</w:t>
            </w:r>
          </w:p>
        </w:tc>
        <w:tc>
          <w:tcPr>
            <w:tcW w:w="1578" w:type="dxa"/>
            <w:tcBorders>
              <w:top w:val="nil"/>
            </w:tcBorders>
            <w:shd w:val="clear" w:color="auto" w:fill="F2F2F2" w:themeFill="background1" w:themeFillShade="F2"/>
            <w:vAlign w:val="center"/>
          </w:tcPr>
          <w:p w14:paraId="32D7FC75" w14:textId="77777777" w:rsidR="003F7CFF" w:rsidRPr="00345E2E" w:rsidRDefault="003F7CFF" w:rsidP="003F7CFF">
            <w:pPr>
              <w:jc w:val="center"/>
              <w:rPr>
                <w:rFonts w:cs="Arial"/>
                <w:b/>
                <w:sz w:val="20"/>
                <w:szCs w:val="20"/>
              </w:rPr>
            </w:pPr>
            <w:r w:rsidRPr="00345E2E">
              <w:rPr>
                <w:rFonts w:cs="Arial"/>
                <w:b/>
                <w:sz w:val="20"/>
                <w:szCs w:val="20"/>
              </w:rPr>
              <w:t>2017-2016</w:t>
            </w:r>
          </w:p>
          <w:p w14:paraId="22FCD9F7" w14:textId="77777777" w:rsidR="003F7CFF" w:rsidRPr="00345E2E" w:rsidRDefault="003F7CFF" w:rsidP="003F7CFF">
            <w:pPr>
              <w:jc w:val="center"/>
              <w:rPr>
                <w:rFonts w:cs="Arial"/>
                <w:b/>
                <w:sz w:val="20"/>
                <w:szCs w:val="20"/>
              </w:rPr>
            </w:pPr>
            <w:r w:rsidRPr="00345E2E">
              <w:rPr>
                <w:rFonts w:cs="Arial"/>
                <w:b/>
                <w:sz w:val="20"/>
                <w:szCs w:val="20"/>
              </w:rPr>
              <w:t>change</w:t>
            </w:r>
          </w:p>
        </w:tc>
      </w:tr>
      <w:tr w:rsidR="003F7CFF" w:rsidRPr="003F7CFF" w14:paraId="5DA81E39" w14:textId="77777777" w:rsidTr="00A21B01">
        <w:tc>
          <w:tcPr>
            <w:tcW w:w="2972" w:type="dxa"/>
            <w:tcBorders>
              <w:bottom w:val="single" w:sz="4" w:space="0" w:color="auto"/>
            </w:tcBorders>
          </w:tcPr>
          <w:p w14:paraId="6B3A25B4" w14:textId="77777777" w:rsidR="003F7CFF" w:rsidRPr="00345E2E" w:rsidRDefault="003F7CFF" w:rsidP="003F7CFF">
            <w:pPr>
              <w:rPr>
                <w:rFonts w:cs="Arial"/>
                <w:sz w:val="20"/>
                <w:szCs w:val="20"/>
              </w:rPr>
            </w:pPr>
            <w:r w:rsidRPr="00345E2E">
              <w:rPr>
                <w:rFonts w:cs="Arial"/>
                <w:sz w:val="20"/>
                <w:szCs w:val="20"/>
              </w:rPr>
              <w:t>All KSI and slight casualties</w:t>
            </w:r>
          </w:p>
        </w:tc>
        <w:tc>
          <w:tcPr>
            <w:tcW w:w="992" w:type="dxa"/>
            <w:tcBorders>
              <w:bottom w:val="single" w:sz="4" w:space="0" w:color="auto"/>
            </w:tcBorders>
          </w:tcPr>
          <w:p w14:paraId="30C56C2B" w14:textId="77777777" w:rsidR="003F7CFF" w:rsidRPr="00345E2E" w:rsidRDefault="003F7CFF" w:rsidP="003F7CFF">
            <w:pPr>
              <w:jc w:val="center"/>
              <w:rPr>
                <w:rFonts w:cs="Arial"/>
                <w:sz w:val="20"/>
                <w:szCs w:val="20"/>
              </w:rPr>
            </w:pPr>
            <w:r w:rsidRPr="00345E2E">
              <w:rPr>
                <w:rFonts w:cs="Arial"/>
                <w:sz w:val="20"/>
                <w:szCs w:val="20"/>
              </w:rPr>
              <w:t>L</w:t>
            </w:r>
          </w:p>
        </w:tc>
        <w:tc>
          <w:tcPr>
            <w:tcW w:w="1832" w:type="dxa"/>
            <w:tcBorders>
              <w:bottom w:val="single" w:sz="4" w:space="0" w:color="auto"/>
            </w:tcBorders>
          </w:tcPr>
          <w:p w14:paraId="20D3782D" w14:textId="77777777" w:rsidR="003F7CFF" w:rsidRPr="00345E2E" w:rsidRDefault="003F7CFF" w:rsidP="003F7CFF">
            <w:pPr>
              <w:jc w:val="center"/>
              <w:rPr>
                <w:rFonts w:cs="Arial"/>
                <w:sz w:val="20"/>
                <w:szCs w:val="20"/>
              </w:rPr>
            </w:pPr>
            <w:r w:rsidRPr="00345E2E">
              <w:rPr>
                <w:rFonts w:cs="Arial"/>
                <w:sz w:val="20"/>
                <w:szCs w:val="20"/>
              </w:rPr>
              <w:t>3,274</w:t>
            </w:r>
          </w:p>
        </w:tc>
        <w:tc>
          <w:tcPr>
            <w:tcW w:w="861" w:type="dxa"/>
            <w:tcBorders>
              <w:bottom w:val="single" w:sz="4" w:space="0" w:color="auto"/>
            </w:tcBorders>
          </w:tcPr>
          <w:p w14:paraId="6BB625EB" w14:textId="77777777" w:rsidR="003F7CFF" w:rsidRPr="00345E2E" w:rsidRDefault="003F7CFF" w:rsidP="003F7CFF">
            <w:pPr>
              <w:jc w:val="center"/>
              <w:rPr>
                <w:rFonts w:cs="Arial"/>
                <w:sz w:val="20"/>
                <w:szCs w:val="20"/>
              </w:rPr>
            </w:pPr>
            <w:r w:rsidRPr="00345E2E">
              <w:rPr>
                <w:rFonts w:cs="Arial"/>
                <w:sz w:val="20"/>
                <w:szCs w:val="20"/>
              </w:rPr>
              <w:t>3,169</w:t>
            </w:r>
          </w:p>
        </w:tc>
        <w:tc>
          <w:tcPr>
            <w:tcW w:w="942" w:type="dxa"/>
            <w:tcBorders>
              <w:bottom w:val="single" w:sz="4" w:space="0" w:color="auto"/>
            </w:tcBorders>
          </w:tcPr>
          <w:p w14:paraId="45D9A4D4" w14:textId="77777777" w:rsidR="003F7CFF" w:rsidRPr="00345E2E" w:rsidRDefault="003F7CFF" w:rsidP="003F7CFF">
            <w:pPr>
              <w:jc w:val="center"/>
              <w:rPr>
                <w:rFonts w:cs="Arial"/>
                <w:sz w:val="20"/>
                <w:szCs w:val="20"/>
              </w:rPr>
            </w:pPr>
            <w:r w:rsidRPr="00345E2E">
              <w:rPr>
                <w:rFonts w:cs="Arial"/>
                <w:sz w:val="20"/>
                <w:szCs w:val="20"/>
              </w:rPr>
              <w:t>2,940</w:t>
            </w:r>
          </w:p>
        </w:tc>
        <w:tc>
          <w:tcPr>
            <w:tcW w:w="944" w:type="dxa"/>
            <w:tcBorders>
              <w:bottom w:val="single" w:sz="4" w:space="0" w:color="auto"/>
            </w:tcBorders>
            <w:shd w:val="clear" w:color="auto" w:fill="F7CAAC"/>
          </w:tcPr>
          <w:p w14:paraId="4995279D" w14:textId="77777777" w:rsidR="003F7CFF" w:rsidRPr="00345E2E" w:rsidRDefault="003F7CFF" w:rsidP="003F7CFF">
            <w:pPr>
              <w:jc w:val="center"/>
              <w:rPr>
                <w:rFonts w:cs="Arial"/>
                <w:sz w:val="20"/>
                <w:szCs w:val="20"/>
              </w:rPr>
            </w:pPr>
            <w:r w:rsidRPr="00345E2E">
              <w:rPr>
                <w:rFonts w:cs="Arial"/>
                <w:sz w:val="20"/>
                <w:szCs w:val="20"/>
              </w:rPr>
              <w:t>2,579</w:t>
            </w:r>
          </w:p>
        </w:tc>
        <w:tc>
          <w:tcPr>
            <w:tcW w:w="1578" w:type="dxa"/>
            <w:tcBorders>
              <w:bottom w:val="single" w:sz="4" w:space="0" w:color="auto"/>
            </w:tcBorders>
          </w:tcPr>
          <w:p w14:paraId="7A1DA0A0" w14:textId="77777777" w:rsidR="003F7CFF" w:rsidRPr="00345E2E" w:rsidRDefault="00345E2E" w:rsidP="003F7CFF">
            <w:pPr>
              <w:jc w:val="center"/>
              <w:rPr>
                <w:rFonts w:cs="Arial"/>
                <w:sz w:val="20"/>
                <w:szCs w:val="20"/>
              </w:rPr>
            </w:pPr>
            <w:r>
              <w:rPr>
                <w:rFonts w:cs="Arial"/>
                <w:sz w:val="20"/>
                <w:szCs w:val="20"/>
              </w:rPr>
              <w:t>-14.0</w:t>
            </w:r>
            <w:r w:rsidR="003F7CFF" w:rsidRPr="00345E2E">
              <w:rPr>
                <w:rFonts w:cs="Arial"/>
                <w:sz w:val="20"/>
                <w:szCs w:val="20"/>
              </w:rPr>
              <w:t>%</w:t>
            </w:r>
          </w:p>
        </w:tc>
      </w:tr>
      <w:tr w:rsidR="00345E2E" w:rsidRPr="003F7CFF" w14:paraId="3C224D68" w14:textId="77777777" w:rsidTr="00B305CD">
        <w:tc>
          <w:tcPr>
            <w:tcW w:w="2972" w:type="dxa"/>
            <w:tcBorders>
              <w:bottom w:val="single" w:sz="4" w:space="0" w:color="auto"/>
            </w:tcBorders>
          </w:tcPr>
          <w:p w14:paraId="159C538A" w14:textId="77777777" w:rsidR="00345E2E" w:rsidRPr="00345E2E" w:rsidRDefault="00345E2E" w:rsidP="003F7CFF">
            <w:pPr>
              <w:rPr>
                <w:rFonts w:cs="Arial"/>
                <w:sz w:val="20"/>
              </w:rPr>
            </w:pPr>
            <w:r>
              <w:rPr>
                <w:rFonts w:cs="Arial"/>
                <w:sz w:val="20"/>
              </w:rPr>
              <w:t>All KSI</w:t>
            </w:r>
          </w:p>
        </w:tc>
        <w:tc>
          <w:tcPr>
            <w:tcW w:w="992" w:type="dxa"/>
            <w:tcBorders>
              <w:bottom w:val="single" w:sz="4" w:space="0" w:color="auto"/>
            </w:tcBorders>
          </w:tcPr>
          <w:p w14:paraId="293D9F04" w14:textId="77777777" w:rsidR="00345E2E" w:rsidRPr="00345E2E" w:rsidRDefault="00345E2E" w:rsidP="003F7CFF">
            <w:pPr>
              <w:jc w:val="center"/>
              <w:rPr>
                <w:rFonts w:cs="Arial"/>
                <w:sz w:val="20"/>
              </w:rPr>
            </w:pPr>
            <w:r>
              <w:rPr>
                <w:rFonts w:cs="Arial"/>
                <w:sz w:val="20"/>
              </w:rPr>
              <w:t>L</w:t>
            </w:r>
          </w:p>
        </w:tc>
        <w:tc>
          <w:tcPr>
            <w:tcW w:w="1832" w:type="dxa"/>
            <w:tcBorders>
              <w:bottom w:val="single" w:sz="4" w:space="0" w:color="auto"/>
            </w:tcBorders>
          </w:tcPr>
          <w:p w14:paraId="3C0A13AD" w14:textId="4D8D597D" w:rsidR="00345E2E" w:rsidRPr="00345E2E" w:rsidRDefault="00B83303" w:rsidP="003F7CFF">
            <w:pPr>
              <w:jc w:val="center"/>
              <w:rPr>
                <w:rFonts w:cs="Arial"/>
                <w:sz w:val="20"/>
              </w:rPr>
            </w:pPr>
            <w:r>
              <w:rPr>
                <w:rFonts w:cs="Arial"/>
                <w:sz w:val="20"/>
              </w:rPr>
              <w:t>553</w:t>
            </w:r>
          </w:p>
        </w:tc>
        <w:tc>
          <w:tcPr>
            <w:tcW w:w="861" w:type="dxa"/>
            <w:tcBorders>
              <w:bottom w:val="single" w:sz="4" w:space="0" w:color="auto"/>
            </w:tcBorders>
          </w:tcPr>
          <w:p w14:paraId="69A1A8AA" w14:textId="42AEFF28" w:rsidR="00345E2E" w:rsidRPr="00345E2E" w:rsidRDefault="00B83303" w:rsidP="003F7CFF">
            <w:pPr>
              <w:jc w:val="center"/>
              <w:rPr>
                <w:rFonts w:cs="Arial"/>
                <w:sz w:val="20"/>
              </w:rPr>
            </w:pPr>
            <w:r>
              <w:rPr>
                <w:rFonts w:cs="Arial"/>
                <w:sz w:val="20"/>
              </w:rPr>
              <w:t>504</w:t>
            </w:r>
          </w:p>
        </w:tc>
        <w:tc>
          <w:tcPr>
            <w:tcW w:w="942" w:type="dxa"/>
            <w:tcBorders>
              <w:bottom w:val="single" w:sz="4" w:space="0" w:color="auto"/>
            </w:tcBorders>
          </w:tcPr>
          <w:p w14:paraId="79D07345" w14:textId="77777777" w:rsidR="00345E2E" w:rsidRPr="00345E2E" w:rsidRDefault="00345E2E" w:rsidP="003F7CFF">
            <w:pPr>
              <w:jc w:val="center"/>
              <w:rPr>
                <w:rFonts w:cs="Arial"/>
                <w:sz w:val="20"/>
              </w:rPr>
            </w:pPr>
            <w:r>
              <w:rPr>
                <w:rFonts w:cs="Arial"/>
                <w:sz w:val="20"/>
              </w:rPr>
              <w:t>488</w:t>
            </w:r>
          </w:p>
        </w:tc>
        <w:tc>
          <w:tcPr>
            <w:tcW w:w="944" w:type="dxa"/>
            <w:tcBorders>
              <w:bottom w:val="single" w:sz="4" w:space="0" w:color="auto"/>
            </w:tcBorders>
            <w:shd w:val="clear" w:color="auto" w:fill="FCD5B4"/>
          </w:tcPr>
          <w:p w14:paraId="4CE32563" w14:textId="77777777" w:rsidR="00345E2E" w:rsidRPr="00345E2E" w:rsidRDefault="00345E2E" w:rsidP="003F7CFF">
            <w:pPr>
              <w:jc w:val="center"/>
              <w:rPr>
                <w:rFonts w:cs="Arial"/>
                <w:sz w:val="20"/>
              </w:rPr>
            </w:pPr>
            <w:r>
              <w:rPr>
                <w:rFonts w:cs="Arial"/>
                <w:sz w:val="20"/>
              </w:rPr>
              <w:t>458</w:t>
            </w:r>
          </w:p>
        </w:tc>
        <w:tc>
          <w:tcPr>
            <w:tcW w:w="1578" w:type="dxa"/>
            <w:tcBorders>
              <w:bottom w:val="single" w:sz="4" w:space="0" w:color="auto"/>
            </w:tcBorders>
          </w:tcPr>
          <w:p w14:paraId="411E229A" w14:textId="12AC04E7" w:rsidR="00345E2E" w:rsidRDefault="00B83303" w:rsidP="003F7CFF">
            <w:pPr>
              <w:jc w:val="center"/>
              <w:rPr>
                <w:rFonts w:cs="Arial"/>
                <w:sz w:val="20"/>
              </w:rPr>
            </w:pPr>
            <w:r>
              <w:rPr>
                <w:rFonts w:cs="Arial"/>
                <w:sz w:val="20"/>
              </w:rPr>
              <w:t>-6.55</w:t>
            </w:r>
            <w:r w:rsidR="00D41806">
              <w:rPr>
                <w:rFonts w:cs="Arial"/>
                <w:sz w:val="20"/>
              </w:rPr>
              <w:t>%</w:t>
            </w:r>
          </w:p>
        </w:tc>
      </w:tr>
      <w:tr w:rsidR="003F7CFF" w:rsidRPr="003F7CFF" w14:paraId="1B43D4C0" w14:textId="77777777" w:rsidTr="00345E2E">
        <w:tc>
          <w:tcPr>
            <w:tcW w:w="2972" w:type="dxa"/>
          </w:tcPr>
          <w:p w14:paraId="0B0051FF" w14:textId="77777777" w:rsidR="003F7CFF" w:rsidRPr="00345E2E" w:rsidRDefault="003F7CFF" w:rsidP="003F7CFF">
            <w:pPr>
              <w:rPr>
                <w:rFonts w:cs="Arial"/>
                <w:sz w:val="20"/>
                <w:szCs w:val="20"/>
              </w:rPr>
            </w:pPr>
            <w:r w:rsidRPr="00345E2E">
              <w:rPr>
                <w:rFonts w:cs="Arial"/>
                <w:sz w:val="20"/>
                <w:szCs w:val="20"/>
              </w:rPr>
              <w:t>Child casualties</w:t>
            </w:r>
          </w:p>
        </w:tc>
        <w:tc>
          <w:tcPr>
            <w:tcW w:w="992" w:type="dxa"/>
          </w:tcPr>
          <w:p w14:paraId="2656547E" w14:textId="77777777" w:rsidR="003F7CFF" w:rsidRPr="00345E2E" w:rsidRDefault="003F7CFF" w:rsidP="003F7CFF">
            <w:pPr>
              <w:jc w:val="center"/>
              <w:rPr>
                <w:rFonts w:cs="Arial"/>
                <w:sz w:val="20"/>
                <w:szCs w:val="20"/>
              </w:rPr>
            </w:pPr>
            <w:r w:rsidRPr="00345E2E">
              <w:rPr>
                <w:rFonts w:cs="Arial"/>
                <w:sz w:val="20"/>
                <w:szCs w:val="20"/>
              </w:rPr>
              <w:t>L</w:t>
            </w:r>
          </w:p>
        </w:tc>
        <w:tc>
          <w:tcPr>
            <w:tcW w:w="1832" w:type="dxa"/>
          </w:tcPr>
          <w:p w14:paraId="58F429BB" w14:textId="77777777" w:rsidR="003F7CFF" w:rsidRPr="00345E2E" w:rsidRDefault="003F7CFF" w:rsidP="003F7CFF">
            <w:pPr>
              <w:jc w:val="center"/>
              <w:rPr>
                <w:rFonts w:cs="Arial"/>
                <w:sz w:val="20"/>
                <w:szCs w:val="20"/>
              </w:rPr>
            </w:pPr>
            <w:r w:rsidRPr="00345E2E">
              <w:rPr>
                <w:rFonts w:cs="Arial"/>
                <w:sz w:val="20"/>
                <w:szCs w:val="20"/>
              </w:rPr>
              <w:t>392</w:t>
            </w:r>
          </w:p>
        </w:tc>
        <w:tc>
          <w:tcPr>
            <w:tcW w:w="861" w:type="dxa"/>
          </w:tcPr>
          <w:p w14:paraId="29F1E179" w14:textId="77777777" w:rsidR="003F7CFF" w:rsidRPr="00345E2E" w:rsidRDefault="003F7CFF" w:rsidP="003F7CFF">
            <w:pPr>
              <w:jc w:val="center"/>
              <w:rPr>
                <w:rFonts w:cs="Arial"/>
                <w:sz w:val="20"/>
                <w:szCs w:val="20"/>
              </w:rPr>
            </w:pPr>
            <w:r w:rsidRPr="00345E2E">
              <w:rPr>
                <w:rFonts w:cs="Arial"/>
                <w:sz w:val="20"/>
                <w:szCs w:val="20"/>
              </w:rPr>
              <w:t>354</w:t>
            </w:r>
          </w:p>
        </w:tc>
        <w:tc>
          <w:tcPr>
            <w:tcW w:w="942" w:type="dxa"/>
          </w:tcPr>
          <w:p w14:paraId="3F63A012" w14:textId="77777777" w:rsidR="003F7CFF" w:rsidRPr="00345E2E" w:rsidRDefault="003F7CFF" w:rsidP="003F7CFF">
            <w:pPr>
              <w:jc w:val="center"/>
              <w:rPr>
                <w:rFonts w:cs="Arial"/>
                <w:sz w:val="20"/>
                <w:szCs w:val="20"/>
              </w:rPr>
            </w:pPr>
            <w:r w:rsidRPr="00345E2E">
              <w:rPr>
                <w:rFonts w:cs="Arial"/>
                <w:sz w:val="20"/>
                <w:szCs w:val="20"/>
              </w:rPr>
              <w:t>320</w:t>
            </w:r>
          </w:p>
        </w:tc>
        <w:tc>
          <w:tcPr>
            <w:tcW w:w="944" w:type="dxa"/>
            <w:shd w:val="clear" w:color="auto" w:fill="FCD5B4"/>
          </w:tcPr>
          <w:p w14:paraId="6C00A675" w14:textId="77777777" w:rsidR="003F7CFF" w:rsidRPr="00345E2E" w:rsidRDefault="003F7CFF" w:rsidP="003F7CFF">
            <w:pPr>
              <w:jc w:val="center"/>
              <w:rPr>
                <w:rFonts w:cs="Arial"/>
                <w:sz w:val="20"/>
                <w:szCs w:val="20"/>
              </w:rPr>
            </w:pPr>
            <w:r w:rsidRPr="00345E2E">
              <w:rPr>
                <w:rFonts w:cs="Arial"/>
                <w:sz w:val="20"/>
                <w:szCs w:val="20"/>
              </w:rPr>
              <w:t>285</w:t>
            </w:r>
          </w:p>
        </w:tc>
        <w:tc>
          <w:tcPr>
            <w:tcW w:w="1578" w:type="dxa"/>
          </w:tcPr>
          <w:p w14:paraId="6FFEC120" w14:textId="241F1355" w:rsidR="003F7CFF" w:rsidRPr="00345E2E" w:rsidRDefault="003F7CFF" w:rsidP="00345E2E">
            <w:pPr>
              <w:jc w:val="center"/>
              <w:rPr>
                <w:rFonts w:cs="Arial"/>
                <w:sz w:val="20"/>
                <w:szCs w:val="20"/>
              </w:rPr>
            </w:pPr>
            <w:r w:rsidRPr="00345E2E">
              <w:rPr>
                <w:rFonts w:cs="Arial"/>
                <w:sz w:val="20"/>
                <w:szCs w:val="20"/>
              </w:rPr>
              <w:t>-12.</w:t>
            </w:r>
            <w:r w:rsidR="00B83303">
              <w:rPr>
                <w:rFonts w:cs="Arial"/>
                <w:sz w:val="20"/>
                <w:szCs w:val="20"/>
              </w:rPr>
              <w:t>28</w:t>
            </w:r>
            <w:r w:rsidRPr="00345E2E">
              <w:rPr>
                <w:rFonts w:cs="Arial"/>
                <w:sz w:val="20"/>
                <w:szCs w:val="20"/>
              </w:rPr>
              <w:t>%</w:t>
            </w:r>
          </w:p>
        </w:tc>
      </w:tr>
      <w:tr w:rsidR="00345E2E" w:rsidRPr="003F7CFF" w14:paraId="47B62CDB" w14:textId="77777777" w:rsidTr="00B305CD">
        <w:tc>
          <w:tcPr>
            <w:tcW w:w="2972" w:type="dxa"/>
            <w:tcBorders>
              <w:bottom w:val="single" w:sz="4" w:space="0" w:color="auto"/>
            </w:tcBorders>
          </w:tcPr>
          <w:p w14:paraId="1445816D" w14:textId="77777777" w:rsidR="00345E2E" w:rsidRPr="00345E2E" w:rsidRDefault="00345E2E" w:rsidP="003F7CFF">
            <w:pPr>
              <w:rPr>
                <w:rFonts w:cs="Arial"/>
                <w:sz w:val="20"/>
              </w:rPr>
            </w:pPr>
            <w:r>
              <w:rPr>
                <w:rFonts w:cs="Arial"/>
                <w:sz w:val="20"/>
              </w:rPr>
              <w:t>Child KSI</w:t>
            </w:r>
          </w:p>
        </w:tc>
        <w:tc>
          <w:tcPr>
            <w:tcW w:w="992" w:type="dxa"/>
            <w:tcBorders>
              <w:bottom w:val="single" w:sz="4" w:space="0" w:color="auto"/>
            </w:tcBorders>
          </w:tcPr>
          <w:p w14:paraId="4982E480" w14:textId="77777777" w:rsidR="00345E2E" w:rsidRPr="00345E2E" w:rsidRDefault="00345E2E" w:rsidP="003F7CFF">
            <w:pPr>
              <w:jc w:val="center"/>
              <w:rPr>
                <w:rFonts w:cs="Arial"/>
                <w:sz w:val="20"/>
              </w:rPr>
            </w:pPr>
            <w:r>
              <w:rPr>
                <w:rFonts w:cs="Arial"/>
                <w:sz w:val="20"/>
              </w:rPr>
              <w:t>L</w:t>
            </w:r>
          </w:p>
        </w:tc>
        <w:tc>
          <w:tcPr>
            <w:tcW w:w="1832" w:type="dxa"/>
            <w:tcBorders>
              <w:bottom w:val="single" w:sz="4" w:space="0" w:color="auto"/>
            </w:tcBorders>
          </w:tcPr>
          <w:p w14:paraId="3D84DB4A" w14:textId="4E7F66D7" w:rsidR="00345E2E" w:rsidRPr="00345E2E" w:rsidRDefault="00B83303" w:rsidP="003F7CFF">
            <w:pPr>
              <w:jc w:val="center"/>
              <w:rPr>
                <w:rFonts w:cs="Arial"/>
                <w:sz w:val="20"/>
              </w:rPr>
            </w:pPr>
            <w:r>
              <w:rPr>
                <w:rFonts w:cs="Arial"/>
                <w:sz w:val="20"/>
              </w:rPr>
              <w:t>52</w:t>
            </w:r>
          </w:p>
        </w:tc>
        <w:tc>
          <w:tcPr>
            <w:tcW w:w="861" w:type="dxa"/>
            <w:tcBorders>
              <w:bottom w:val="single" w:sz="4" w:space="0" w:color="auto"/>
            </w:tcBorders>
          </w:tcPr>
          <w:p w14:paraId="2CDD8917" w14:textId="0899209F" w:rsidR="00345E2E" w:rsidRPr="00345E2E" w:rsidRDefault="00B83303" w:rsidP="003F7CFF">
            <w:pPr>
              <w:jc w:val="center"/>
              <w:rPr>
                <w:rFonts w:cs="Arial"/>
                <w:sz w:val="20"/>
              </w:rPr>
            </w:pPr>
            <w:r>
              <w:rPr>
                <w:rFonts w:cs="Arial"/>
                <w:sz w:val="20"/>
              </w:rPr>
              <w:t>71</w:t>
            </w:r>
          </w:p>
        </w:tc>
        <w:tc>
          <w:tcPr>
            <w:tcW w:w="942" w:type="dxa"/>
            <w:tcBorders>
              <w:bottom w:val="single" w:sz="4" w:space="0" w:color="auto"/>
            </w:tcBorders>
          </w:tcPr>
          <w:p w14:paraId="49E0FDB6" w14:textId="77777777" w:rsidR="00345E2E" w:rsidRPr="00345E2E" w:rsidRDefault="00345E2E" w:rsidP="003F7CFF">
            <w:pPr>
              <w:jc w:val="center"/>
              <w:rPr>
                <w:rFonts w:cs="Arial"/>
                <w:sz w:val="20"/>
              </w:rPr>
            </w:pPr>
            <w:r>
              <w:rPr>
                <w:rFonts w:cs="Arial"/>
                <w:sz w:val="20"/>
              </w:rPr>
              <w:t>51</w:t>
            </w:r>
          </w:p>
        </w:tc>
        <w:tc>
          <w:tcPr>
            <w:tcW w:w="944" w:type="dxa"/>
            <w:tcBorders>
              <w:bottom w:val="single" w:sz="4" w:space="0" w:color="auto"/>
            </w:tcBorders>
            <w:shd w:val="clear" w:color="auto" w:fill="FCD5B4"/>
          </w:tcPr>
          <w:p w14:paraId="57721E76" w14:textId="77777777" w:rsidR="00345E2E" w:rsidRPr="00345E2E" w:rsidRDefault="00345E2E" w:rsidP="003F7CFF">
            <w:pPr>
              <w:jc w:val="center"/>
              <w:rPr>
                <w:rFonts w:cs="Arial"/>
                <w:sz w:val="20"/>
              </w:rPr>
            </w:pPr>
            <w:r>
              <w:rPr>
                <w:rFonts w:cs="Arial"/>
                <w:sz w:val="20"/>
              </w:rPr>
              <w:t>53</w:t>
            </w:r>
          </w:p>
        </w:tc>
        <w:tc>
          <w:tcPr>
            <w:tcW w:w="1578" w:type="dxa"/>
            <w:tcBorders>
              <w:bottom w:val="single" w:sz="4" w:space="0" w:color="auto"/>
            </w:tcBorders>
          </w:tcPr>
          <w:p w14:paraId="50076B8F" w14:textId="37CEE86B" w:rsidR="00345E2E" w:rsidRPr="00345E2E" w:rsidRDefault="00B83303" w:rsidP="00345E2E">
            <w:pPr>
              <w:jc w:val="center"/>
              <w:rPr>
                <w:rFonts w:cs="Arial"/>
                <w:sz w:val="20"/>
              </w:rPr>
            </w:pPr>
            <w:r>
              <w:rPr>
                <w:rFonts w:cs="Arial"/>
                <w:sz w:val="20"/>
              </w:rPr>
              <w:t>+3.77</w:t>
            </w:r>
            <w:r w:rsidR="00D41806">
              <w:rPr>
                <w:rFonts w:cs="Arial"/>
                <w:sz w:val="20"/>
              </w:rPr>
              <w:t>%</w:t>
            </w:r>
          </w:p>
        </w:tc>
      </w:tr>
    </w:tbl>
    <w:p w14:paraId="32E3BA95" w14:textId="77777777" w:rsidR="00FE4AF8" w:rsidRDefault="00FE4AF8" w:rsidP="00C042FA">
      <w:pPr>
        <w:pStyle w:val="NoSpacing"/>
        <w:ind w:left="720"/>
        <w:rPr>
          <w:rFonts w:ascii="Arial" w:eastAsia="Calibri" w:hAnsi="Arial" w:cs="Arial"/>
          <w:sz w:val="24"/>
          <w:szCs w:val="24"/>
          <w:lang w:eastAsia="en-US"/>
        </w:rPr>
      </w:pPr>
    </w:p>
    <w:p w14:paraId="6579A49E" w14:textId="77777777" w:rsidR="003F7CFF" w:rsidRPr="00C123B0" w:rsidRDefault="003F7CFF" w:rsidP="003F7CFF">
      <w:pPr>
        <w:jc w:val="both"/>
        <w:rPr>
          <w:rFonts w:eastAsiaTheme="minorHAnsi" w:cs="Arial"/>
          <w:i/>
          <w:szCs w:val="24"/>
          <w:lang w:eastAsia="en-US"/>
        </w:rPr>
      </w:pPr>
      <w:r w:rsidRPr="00C123B0">
        <w:rPr>
          <w:rFonts w:eastAsiaTheme="minorHAnsi" w:cs="Arial"/>
          <w:i/>
          <w:szCs w:val="24"/>
          <w:lang w:eastAsia="en-US"/>
        </w:rPr>
        <w:t>Road Safety</w:t>
      </w:r>
    </w:p>
    <w:p w14:paraId="06AD2DF9" w14:textId="3A5D103B" w:rsidR="003F7CFF" w:rsidRDefault="00D41806" w:rsidP="00D41806">
      <w:pPr>
        <w:jc w:val="both"/>
        <w:rPr>
          <w:rFonts w:eastAsiaTheme="minorHAnsi" w:cs="Arial"/>
          <w:sz w:val="22"/>
          <w:szCs w:val="22"/>
          <w:lang w:eastAsia="en-US"/>
        </w:rPr>
      </w:pPr>
      <w:r w:rsidRPr="00D41806">
        <w:rPr>
          <w:rFonts w:eastAsiaTheme="minorHAnsi" w:cs="Arial"/>
          <w:sz w:val="22"/>
          <w:szCs w:val="22"/>
          <w:lang w:eastAsia="en-US"/>
        </w:rPr>
        <w:t>Work is on-going to identify trends and emerging problems in all casualty types across Lancashire</w:t>
      </w:r>
      <w:r w:rsidR="00F25B2B">
        <w:rPr>
          <w:rFonts w:eastAsiaTheme="minorHAnsi" w:cs="Arial"/>
          <w:sz w:val="22"/>
          <w:szCs w:val="22"/>
          <w:lang w:eastAsia="en-US"/>
        </w:rPr>
        <w:t xml:space="preserve">, working with colleagues in the </w:t>
      </w:r>
      <w:r w:rsidRPr="00D41806">
        <w:rPr>
          <w:rFonts w:eastAsiaTheme="minorHAnsi" w:cs="Arial"/>
          <w:sz w:val="22"/>
          <w:szCs w:val="22"/>
          <w:lang w:eastAsia="en-US"/>
        </w:rPr>
        <w:t>Lancashire Road Safety Partnership</w:t>
      </w:r>
      <w:r w:rsidR="00F25B2B">
        <w:rPr>
          <w:rFonts w:eastAsiaTheme="minorHAnsi" w:cs="Arial"/>
          <w:sz w:val="22"/>
          <w:szCs w:val="22"/>
          <w:lang w:eastAsia="en-US"/>
        </w:rPr>
        <w:t xml:space="preserve">. </w:t>
      </w:r>
      <w:r w:rsidRPr="00D41806">
        <w:rPr>
          <w:rFonts w:eastAsiaTheme="minorHAnsi" w:cs="Arial"/>
          <w:sz w:val="22"/>
          <w:szCs w:val="22"/>
          <w:lang w:eastAsia="en-US"/>
        </w:rPr>
        <w:t xml:space="preserve">This work enables interventions to be targeted most efficiently.  Initiatives targeted at children include </w:t>
      </w:r>
      <w:r w:rsidR="003F7CFF" w:rsidRPr="00D41806">
        <w:rPr>
          <w:rFonts w:eastAsiaTheme="minorHAnsi" w:cs="Arial"/>
          <w:sz w:val="22"/>
          <w:szCs w:val="22"/>
          <w:lang w:eastAsia="en-US"/>
        </w:rPr>
        <w:t xml:space="preserve">Right Start Child Pedestrian training </w:t>
      </w:r>
      <w:r w:rsidRPr="00D41806">
        <w:rPr>
          <w:rFonts w:eastAsiaTheme="minorHAnsi" w:cs="Arial"/>
          <w:sz w:val="22"/>
          <w:szCs w:val="22"/>
          <w:lang w:eastAsia="en-US"/>
        </w:rPr>
        <w:t xml:space="preserve">which </w:t>
      </w:r>
      <w:r w:rsidR="003F7CFF" w:rsidRPr="00D41806">
        <w:rPr>
          <w:rFonts w:eastAsiaTheme="minorHAnsi" w:cs="Arial"/>
          <w:sz w:val="22"/>
          <w:szCs w:val="22"/>
          <w:lang w:eastAsia="en-US"/>
        </w:rPr>
        <w:t>provide</w:t>
      </w:r>
      <w:r w:rsidRPr="00D41806">
        <w:rPr>
          <w:rFonts w:eastAsiaTheme="minorHAnsi" w:cs="Arial"/>
          <w:sz w:val="22"/>
          <w:szCs w:val="22"/>
          <w:lang w:eastAsia="en-US"/>
        </w:rPr>
        <w:t>s</w:t>
      </w:r>
      <w:r w:rsidR="003F7CFF" w:rsidRPr="00D41806">
        <w:rPr>
          <w:rFonts w:eastAsiaTheme="minorHAnsi" w:cs="Arial"/>
          <w:sz w:val="22"/>
          <w:szCs w:val="22"/>
          <w:lang w:eastAsia="en-US"/>
        </w:rPr>
        <w:t xml:space="preserve"> young children with a strong underpinning knowledge of road safety. </w:t>
      </w:r>
      <w:r w:rsidR="009B26BC">
        <w:rPr>
          <w:rFonts w:eastAsiaTheme="minorHAnsi" w:cs="Arial"/>
          <w:sz w:val="22"/>
          <w:szCs w:val="22"/>
          <w:lang w:eastAsia="en-US"/>
        </w:rPr>
        <w:t xml:space="preserve">It </w:t>
      </w:r>
      <w:r w:rsidR="003F7CFF" w:rsidRPr="00D41806">
        <w:rPr>
          <w:rFonts w:eastAsiaTheme="minorHAnsi" w:cs="Arial"/>
          <w:sz w:val="22"/>
          <w:szCs w:val="22"/>
          <w:lang w:eastAsia="en-US"/>
        </w:rPr>
        <w:t>is a progressive practical training course that starts in Reception (Stage 1) and works through to Year 2 (Stage 3)</w:t>
      </w:r>
      <w:r w:rsidR="009B26BC">
        <w:rPr>
          <w:rFonts w:eastAsiaTheme="minorHAnsi" w:cs="Arial"/>
          <w:sz w:val="22"/>
          <w:szCs w:val="22"/>
          <w:lang w:eastAsia="en-US"/>
        </w:rPr>
        <w:t xml:space="preserve">, </w:t>
      </w:r>
      <w:r w:rsidR="003F7CFF" w:rsidRPr="00D41806">
        <w:rPr>
          <w:rFonts w:eastAsiaTheme="minorHAnsi" w:cs="Arial"/>
          <w:sz w:val="22"/>
          <w:szCs w:val="22"/>
          <w:lang w:eastAsia="en-US"/>
        </w:rPr>
        <w:t>available to all primary schools in Lancashire. New schools identify volunteers</w:t>
      </w:r>
      <w:r w:rsidR="003479FB">
        <w:rPr>
          <w:rFonts w:eastAsiaTheme="minorHAnsi" w:cs="Arial"/>
          <w:sz w:val="22"/>
          <w:szCs w:val="22"/>
          <w:lang w:eastAsia="en-US"/>
        </w:rPr>
        <w:t xml:space="preserve"> who </w:t>
      </w:r>
      <w:r w:rsidR="003F7CFF" w:rsidRPr="00D41806">
        <w:rPr>
          <w:rFonts w:eastAsiaTheme="minorHAnsi" w:cs="Arial"/>
          <w:sz w:val="22"/>
          <w:szCs w:val="22"/>
          <w:lang w:eastAsia="en-US"/>
        </w:rPr>
        <w:t xml:space="preserve">receive a </w:t>
      </w:r>
      <w:r w:rsidR="003479FB">
        <w:rPr>
          <w:rFonts w:eastAsiaTheme="minorHAnsi" w:cs="Arial"/>
          <w:sz w:val="22"/>
          <w:szCs w:val="22"/>
          <w:lang w:eastAsia="en-US"/>
        </w:rPr>
        <w:t>t</w:t>
      </w:r>
      <w:r w:rsidR="003F7CFF" w:rsidRPr="00D41806">
        <w:rPr>
          <w:rFonts w:eastAsiaTheme="minorHAnsi" w:cs="Arial"/>
          <w:sz w:val="22"/>
          <w:szCs w:val="22"/>
          <w:lang w:eastAsia="en-US"/>
        </w:rPr>
        <w:t>raining session to enable them to deliver the course in schoo</w:t>
      </w:r>
      <w:r w:rsidR="00F948DE">
        <w:rPr>
          <w:rFonts w:eastAsiaTheme="minorHAnsi" w:cs="Arial"/>
          <w:sz w:val="22"/>
          <w:szCs w:val="22"/>
          <w:lang w:eastAsia="en-US"/>
        </w:rPr>
        <w:t xml:space="preserve">l.  </w:t>
      </w:r>
      <w:proofErr w:type="spellStart"/>
      <w:r w:rsidR="003F7CFF" w:rsidRPr="00D41806">
        <w:rPr>
          <w:rFonts w:eastAsiaTheme="minorHAnsi" w:cs="Arial"/>
          <w:sz w:val="22"/>
          <w:szCs w:val="22"/>
          <w:lang w:eastAsia="en-US"/>
        </w:rPr>
        <w:t>Bikeability</w:t>
      </w:r>
      <w:proofErr w:type="spellEnd"/>
      <w:r w:rsidR="003F7CFF" w:rsidRPr="00D41806">
        <w:rPr>
          <w:rFonts w:eastAsiaTheme="minorHAnsi" w:cs="Arial"/>
          <w:sz w:val="22"/>
          <w:szCs w:val="22"/>
          <w:lang w:eastAsia="en-US"/>
        </w:rPr>
        <w:t xml:space="preserve"> cycle training</w:t>
      </w:r>
      <w:r w:rsidRPr="00D41806">
        <w:rPr>
          <w:rFonts w:eastAsiaTheme="minorHAnsi" w:cs="Arial"/>
          <w:sz w:val="22"/>
          <w:szCs w:val="22"/>
          <w:lang w:eastAsia="en-US"/>
        </w:rPr>
        <w:t xml:space="preserve"> is delivered</w:t>
      </w:r>
      <w:r w:rsidR="003F7CFF" w:rsidRPr="00D41806">
        <w:rPr>
          <w:rFonts w:eastAsiaTheme="minorHAnsi" w:cs="Arial"/>
          <w:sz w:val="22"/>
          <w:szCs w:val="22"/>
          <w:lang w:eastAsia="en-US"/>
        </w:rPr>
        <w:t xml:space="preserve"> </w:t>
      </w:r>
      <w:r w:rsidR="003F7CFF" w:rsidRPr="00D41806">
        <w:rPr>
          <w:rFonts w:eastAsiaTheme="minorHAnsi" w:cs="Arial"/>
          <w:sz w:val="22"/>
          <w:szCs w:val="22"/>
          <w:lang w:eastAsia="en-US"/>
        </w:rPr>
        <w:lastRenderedPageBreak/>
        <w:t>to Year 6 children</w:t>
      </w:r>
      <w:r w:rsidR="003479FB">
        <w:rPr>
          <w:rFonts w:eastAsiaTheme="minorHAnsi" w:cs="Arial"/>
          <w:sz w:val="22"/>
          <w:szCs w:val="22"/>
          <w:lang w:eastAsia="en-US"/>
        </w:rPr>
        <w:t xml:space="preserve">, funded by </w:t>
      </w:r>
      <w:r w:rsidR="003F7CFF" w:rsidRPr="00D41806">
        <w:rPr>
          <w:rFonts w:eastAsiaTheme="minorHAnsi" w:cs="Arial"/>
          <w:sz w:val="22"/>
          <w:szCs w:val="22"/>
          <w:lang w:eastAsia="en-US"/>
        </w:rPr>
        <w:t>the Department for Transport grant</w:t>
      </w:r>
      <w:r w:rsidR="003479FB">
        <w:rPr>
          <w:rFonts w:eastAsiaTheme="minorHAnsi" w:cs="Arial"/>
          <w:sz w:val="22"/>
          <w:szCs w:val="22"/>
          <w:lang w:eastAsia="en-US"/>
        </w:rPr>
        <w:t xml:space="preserve">, with </w:t>
      </w:r>
      <w:r w:rsidR="003F7CFF" w:rsidRPr="00D41806">
        <w:rPr>
          <w:rFonts w:eastAsiaTheme="minorHAnsi" w:cs="Arial"/>
          <w:sz w:val="22"/>
          <w:szCs w:val="22"/>
          <w:lang w:eastAsia="en-US"/>
        </w:rPr>
        <w:t>3429 children</w:t>
      </w:r>
      <w:r w:rsidR="003479FB">
        <w:rPr>
          <w:rFonts w:eastAsiaTheme="minorHAnsi" w:cs="Arial"/>
          <w:sz w:val="22"/>
          <w:szCs w:val="22"/>
          <w:lang w:eastAsia="en-US"/>
        </w:rPr>
        <w:t xml:space="preserve"> trained</w:t>
      </w:r>
      <w:r w:rsidR="003F7CFF" w:rsidRPr="00D41806">
        <w:rPr>
          <w:rFonts w:eastAsiaTheme="minorHAnsi" w:cs="Arial"/>
          <w:sz w:val="22"/>
          <w:szCs w:val="22"/>
          <w:lang w:eastAsia="en-US"/>
        </w:rPr>
        <w:t xml:space="preserve"> during </w:t>
      </w:r>
      <w:r w:rsidRPr="00D41806">
        <w:rPr>
          <w:rFonts w:eastAsiaTheme="minorHAnsi" w:cs="Arial"/>
          <w:sz w:val="22"/>
          <w:szCs w:val="22"/>
          <w:lang w:eastAsia="en-US"/>
        </w:rPr>
        <w:t>Q3</w:t>
      </w:r>
      <w:r w:rsidR="003F7CFF" w:rsidRPr="00D41806">
        <w:rPr>
          <w:rFonts w:eastAsiaTheme="minorHAnsi" w:cs="Arial"/>
          <w:sz w:val="22"/>
          <w:szCs w:val="22"/>
          <w:lang w:eastAsia="en-US"/>
        </w:rPr>
        <w:t xml:space="preserve">. </w:t>
      </w:r>
    </w:p>
    <w:p w14:paraId="17388106" w14:textId="77777777" w:rsidR="008A3A4C" w:rsidRDefault="008A3A4C" w:rsidP="00D41806">
      <w:pPr>
        <w:jc w:val="both"/>
        <w:rPr>
          <w:rFonts w:eastAsiaTheme="minorHAnsi" w:cs="Arial"/>
          <w:sz w:val="22"/>
          <w:szCs w:val="22"/>
          <w:lang w:eastAsia="en-US"/>
        </w:rPr>
      </w:pPr>
    </w:p>
    <w:p w14:paraId="6DBA7C0C" w14:textId="77777777" w:rsidR="008A3A4C" w:rsidRPr="00D41806" w:rsidRDefault="008A3A4C" w:rsidP="00D41806">
      <w:pPr>
        <w:jc w:val="both"/>
        <w:rPr>
          <w:rFonts w:eastAsiaTheme="minorHAnsi" w:cs="Arial"/>
          <w:sz w:val="22"/>
          <w:szCs w:val="22"/>
          <w:lang w:eastAsia="en-US"/>
        </w:rPr>
      </w:pPr>
    </w:p>
    <w:p w14:paraId="0F2EEB7B" w14:textId="77777777" w:rsidR="003F7CFF" w:rsidRDefault="003F7CFF" w:rsidP="003F7CFF">
      <w:pPr>
        <w:jc w:val="both"/>
        <w:rPr>
          <w:rFonts w:eastAsiaTheme="minorHAnsi" w:cs="Arial"/>
          <w:sz w:val="22"/>
          <w:szCs w:val="22"/>
          <w:lang w:eastAsia="en-US"/>
        </w:rPr>
      </w:pPr>
    </w:p>
    <w:p w14:paraId="160C7792" w14:textId="77777777" w:rsidR="0016390F" w:rsidRDefault="0016390F" w:rsidP="003F7CFF">
      <w:pPr>
        <w:jc w:val="both"/>
        <w:rPr>
          <w:rFonts w:eastAsiaTheme="minorHAnsi" w:cs="Arial"/>
          <w:sz w:val="22"/>
          <w:szCs w:val="22"/>
          <w:lang w:eastAsia="en-US"/>
        </w:rPr>
      </w:pPr>
    </w:p>
    <w:tbl>
      <w:tblPr>
        <w:tblStyle w:val="TableGrid2"/>
        <w:tblW w:w="10121" w:type="dxa"/>
        <w:tblLayout w:type="fixed"/>
        <w:tblLook w:val="04A0" w:firstRow="1" w:lastRow="0" w:firstColumn="1" w:lastColumn="0" w:noHBand="0" w:noVBand="1"/>
      </w:tblPr>
      <w:tblGrid>
        <w:gridCol w:w="2972"/>
        <w:gridCol w:w="992"/>
        <w:gridCol w:w="3402"/>
        <w:gridCol w:w="1177"/>
        <w:gridCol w:w="1578"/>
      </w:tblGrid>
      <w:tr w:rsidR="0016390F" w:rsidRPr="003F7CFF" w14:paraId="6863490F" w14:textId="77777777" w:rsidTr="0016390F">
        <w:tc>
          <w:tcPr>
            <w:tcW w:w="10121" w:type="dxa"/>
            <w:gridSpan w:val="5"/>
            <w:tcBorders>
              <w:top w:val="single" w:sz="4" w:space="0" w:color="auto"/>
            </w:tcBorders>
            <w:shd w:val="clear" w:color="auto" w:fill="F2F2F2" w:themeFill="background1" w:themeFillShade="F2"/>
            <w:vAlign w:val="center"/>
          </w:tcPr>
          <w:p w14:paraId="7753E41E" w14:textId="77777777" w:rsidR="0016390F" w:rsidRPr="00115FB5" w:rsidRDefault="0016390F" w:rsidP="0016390F">
            <w:pPr>
              <w:jc w:val="center"/>
              <w:rPr>
                <w:rFonts w:cs="Arial"/>
                <w:b/>
                <w:sz w:val="20"/>
                <w:szCs w:val="20"/>
              </w:rPr>
            </w:pPr>
            <w:r w:rsidRPr="00115FB5">
              <w:rPr>
                <w:rFonts w:cs="Arial"/>
                <w:b/>
                <w:sz w:val="20"/>
                <w:szCs w:val="20"/>
              </w:rPr>
              <w:t>Healthy Lifestyles</w:t>
            </w:r>
          </w:p>
        </w:tc>
      </w:tr>
      <w:tr w:rsidR="0016390F" w:rsidRPr="003F7CFF" w14:paraId="4BAC2041" w14:textId="77777777" w:rsidTr="0016390F">
        <w:tc>
          <w:tcPr>
            <w:tcW w:w="2972" w:type="dxa"/>
            <w:tcBorders>
              <w:top w:val="nil"/>
            </w:tcBorders>
            <w:shd w:val="clear" w:color="auto" w:fill="F2F2F2" w:themeFill="background1" w:themeFillShade="F2"/>
            <w:vAlign w:val="center"/>
          </w:tcPr>
          <w:p w14:paraId="43F6AF86" w14:textId="77777777" w:rsidR="0016390F" w:rsidRPr="00115FB5" w:rsidRDefault="0016390F" w:rsidP="0016390F">
            <w:pPr>
              <w:jc w:val="center"/>
              <w:rPr>
                <w:rFonts w:cs="Arial"/>
                <w:b/>
                <w:sz w:val="20"/>
                <w:szCs w:val="20"/>
              </w:rPr>
            </w:pPr>
            <w:r w:rsidRPr="00115FB5">
              <w:rPr>
                <w:rFonts w:cs="Arial"/>
                <w:b/>
                <w:sz w:val="20"/>
                <w:szCs w:val="20"/>
              </w:rPr>
              <w:t xml:space="preserve">Performance Measure (reported a quarter in arrears)       </w:t>
            </w:r>
          </w:p>
        </w:tc>
        <w:tc>
          <w:tcPr>
            <w:tcW w:w="992" w:type="dxa"/>
            <w:tcBorders>
              <w:top w:val="nil"/>
            </w:tcBorders>
            <w:shd w:val="clear" w:color="auto" w:fill="F2F2F2" w:themeFill="background1" w:themeFillShade="F2"/>
            <w:vAlign w:val="center"/>
          </w:tcPr>
          <w:p w14:paraId="69B870CF" w14:textId="77777777" w:rsidR="0016390F" w:rsidRPr="00115FB5" w:rsidRDefault="0016390F" w:rsidP="0016390F">
            <w:pPr>
              <w:jc w:val="center"/>
              <w:rPr>
                <w:rFonts w:cs="Arial"/>
                <w:b/>
                <w:color w:val="000000"/>
                <w:sz w:val="20"/>
                <w:szCs w:val="20"/>
              </w:rPr>
            </w:pPr>
            <w:r w:rsidRPr="00115FB5">
              <w:rPr>
                <w:rFonts w:cs="Arial"/>
                <w:b/>
                <w:color w:val="000000"/>
                <w:sz w:val="20"/>
                <w:szCs w:val="20"/>
              </w:rPr>
              <w:t>Good is</w:t>
            </w:r>
          </w:p>
          <w:p w14:paraId="63CC99D3" w14:textId="77777777" w:rsidR="0016390F" w:rsidRPr="00115FB5" w:rsidRDefault="0016390F" w:rsidP="0016390F">
            <w:pPr>
              <w:jc w:val="center"/>
              <w:rPr>
                <w:rFonts w:cs="Arial"/>
                <w:b/>
                <w:color w:val="000000"/>
                <w:sz w:val="20"/>
                <w:szCs w:val="20"/>
              </w:rPr>
            </w:pPr>
            <w:r w:rsidRPr="00115FB5">
              <w:rPr>
                <w:rFonts w:cs="Arial"/>
                <w:b/>
                <w:color w:val="000000"/>
                <w:sz w:val="20"/>
                <w:szCs w:val="20"/>
              </w:rPr>
              <w:t>High or Low</w:t>
            </w:r>
          </w:p>
        </w:tc>
        <w:tc>
          <w:tcPr>
            <w:tcW w:w="3402" w:type="dxa"/>
            <w:tcBorders>
              <w:top w:val="nil"/>
            </w:tcBorders>
            <w:shd w:val="clear" w:color="auto" w:fill="F2F2F2" w:themeFill="background1" w:themeFillShade="F2"/>
            <w:vAlign w:val="center"/>
          </w:tcPr>
          <w:p w14:paraId="3B3631AF" w14:textId="77777777" w:rsidR="0016390F" w:rsidRPr="00115FB5" w:rsidRDefault="0016390F" w:rsidP="0016390F">
            <w:pPr>
              <w:jc w:val="center"/>
              <w:rPr>
                <w:rFonts w:cs="Arial"/>
                <w:b/>
                <w:sz w:val="20"/>
                <w:szCs w:val="20"/>
              </w:rPr>
            </w:pPr>
            <w:r w:rsidRPr="00115FB5">
              <w:rPr>
                <w:rFonts w:cs="Arial"/>
                <w:b/>
                <w:sz w:val="20"/>
                <w:szCs w:val="20"/>
              </w:rPr>
              <w:t xml:space="preserve">2016/17 </w:t>
            </w:r>
          </w:p>
          <w:p w14:paraId="291CCDFC" w14:textId="77777777" w:rsidR="0016390F" w:rsidRPr="00115FB5" w:rsidRDefault="0016390F" w:rsidP="0016390F">
            <w:pPr>
              <w:jc w:val="center"/>
              <w:rPr>
                <w:rFonts w:cs="Arial"/>
                <w:b/>
                <w:sz w:val="20"/>
                <w:szCs w:val="20"/>
              </w:rPr>
            </w:pPr>
          </w:p>
        </w:tc>
        <w:tc>
          <w:tcPr>
            <w:tcW w:w="1177" w:type="dxa"/>
            <w:tcBorders>
              <w:top w:val="nil"/>
            </w:tcBorders>
            <w:shd w:val="clear" w:color="auto" w:fill="F2F2F2" w:themeFill="background1" w:themeFillShade="F2"/>
            <w:vAlign w:val="center"/>
          </w:tcPr>
          <w:p w14:paraId="5116F3FE" w14:textId="77777777" w:rsidR="0016390F" w:rsidRDefault="0016390F" w:rsidP="0016390F">
            <w:pPr>
              <w:jc w:val="center"/>
              <w:rPr>
                <w:rFonts w:cs="Arial"/>
                <w:b/>
                <w:sz w:val="20"/>
                <w:szCs w:val="20"/>
              </w:rPr>
            </w:pPr>
            <w:r>
              <w:rPr>
                <w:rFonts w:cs="Arial"/>
                <w:b/>
                <w:sz w:val="20"/>
                <w:szCs w:val="20"/>
              </w:rPr>
              <w:t>2017/18</w:t>
            </w:r>
          </w:p>
          <w:p w14:paraId="789B40FE" w14:textId="77777777" w:rsidR="0016390F" w:rsidRPr="00115FB5" w:rsidRDefault="0016390F" w:rsidP="0016390F">
            <w:pPr>
              <w:jc w:val="center"/>
              <w:rPr>
                <w:rFonts w:cs="Arial"/>
                <w:b/>
                <w:sz w:val="20"/>
                <w:szCs w:val="20"/>
              </w:rPr>
            </w:pPr>
            <w:r w:rsidRPr="00115FB5">
              <w:rPr>
                <w:rFonts w:cs="Arial"/>
                <w:b/>
                <w:sz w:val="20"/>
                <w:szCs w:val="20"/>
              </w:rPr>
              <w:t>Q1</w:t>
            </w:r>
          </w:p>
        </w:tc>
        <w:tc>
          <w:tcPr>
            <w:tcW w:w="1578" w:type="dxa"/>
            <w:tcBorders>
              <w:top w:val="nil"/>
            </w:tcBorders>
            <w:shd w:val="clear" w:color="auto" w:fill="F2F2F2" w:themeFill="background1" w:themeFillShade="F2"/>
            <w:vAlign w:val="center"/>
          </w:tcPr>
          <w:p w14:paraId="77195BC9" w14:textId="77777777" w:rsidR="0016390F" w:rsidRDefault="0016390F" w:rsidP="0016390F">
            <w:pPr>
              <w:jc w:val="center"/>
              <w:rPr>
                <w:rFonts w:cs="Arial"/>
                <w:b/>
                <w:sz w:val="20"/>
                <w:szCs w:val="20"/>
              </w:rPr>
            </w:pPr>
            <w:r>
              <w:rPr>
                <w:rFonts w:cs="Arial"/>
                <w:b/>
                <w:sz w:val="20"/>
                <w:szCs w:val="20"/>
              </w:rPr>
              <w:t>2017/18</w:t>
            </w:r>
          </w:p>
          <w:p w14:paraId="22E3369E" w14:textId="77777777" w:rsidR="0016390F" w:rsidRDefault="0016390F" w:rsidP="0016390F">
            <w:pPr>
              <w:jc w:val="center"/>
              <w:rPr>
                <w:rFonts w:cs="Arial"/>
                <w:b/>
                <w:sz w:val="20"/>
                <w:szCs w:val="20"/>
              </w:rPr>
            </w:pPr>
            <w:r w:rsidRPr="00115FB5">
              <w:rPr>
                <w:rFonts w:cs="Arial"/>
                <w:b/>
                <w:sz w:val="20"/>
                <w:szCs w:val="20"/>
              </w:rPr>
              <w:t>Q2</w:t>
            </w:r>
          </w:p>
          <w:p w14:paraId="01B303F9" w14:textId="77777777" w:rsidR="0016390F" w:rsidRPr="00115FB5" w:rsidRDefault="0016390F" w:rsidP="0016390F">
            <w:pPr>
              <w:jc w:val="center"/>
              <w:rPr>
                <w:rFonts w:cs="Arial"/>
                <w:b/>
                <w:sz w:val="20"/>
                <w:szCs w:val="20"/>
              </w:rPr>
            </w:pPr>
            <w:r>
              <w:rPr>
                <w:rFonts w:cs="Arial"/>
                <w:b/>
                <w:sz w:val="20"/>
                <w:szCs w:val="20"/>
              </w:rPr>
              <w:t>(Cumulative)</w:t>
            </w:r>
          </w:p>
        </w:tc>
      </w:tr>
      <w:tr w:rsidR="0016390F" w:rsidRPr="003F7CFF" w14:paraId="4C143987" w14:textId="77777777" w:rsidTr="0016390F">
        <w:tc>
          <w:tcPr>
            <w:tcW w:w="2972" w:type="dxa"/>
          </w:tcPr>
          <w:p w14:paraId="205B3938" w14:textId="0F674A6E" w:rsidR="00F948DE" w:rsidRDefault="0016390F" w:rsidP="00F948DE">
            <w:pPr>
              <w:jc w:val="right"/>
              <w:rPr>
                <w:rFonts w:cs="Arial"/>
                <w:sz w:val="20"/>
                <w:szCs w:val="20"/>
              </w:rPr>
            </w:pPr>
            <w:r>
              <w:rPr>
                <w:rFonts w:cs="Arial"/>
                <w:sz w:val="20"/>
                <w:szCs w:val="20"/>
              </w:rPr>
              <w:t xml:space="preserve">Targeted </w:t>
            </w:r>
            <w:r w:rsidRPr="00115FB5">
              <w:rPr>
                <w:rFonts w:cs="Arial"/>
                <w:sz w:val="20"/>
                <w:szCs w:val="20"/>
              </w:rPr>
              <w:t>Physical Activity</w:t>
            </w:r>
            <w:r w:rsidR="00F948DE">
              <w:rPr>
                <w:rFonts w:cs="Arial"/>
                <w:sz w:val="20"/>
                <w:szCs w:val="20"/>
              </w:rPr>
              <w:t xml:space="preserve">        </w:t>
            </w:r>
            <w:r>
              <w:rPr>
                <w:rFonts w:cs="Arial"/>
                <w:sz w:val="20"/>
                <w:szCs w:val="20"/>
              </w:rPr>
              <w:t xml:space="preserve">            </w:t>
            </w:r>
            <w:r w:rsidRPr="00115FB5">
              <w:rPr>
                <w:rFonts w:cs="Arial"/>
                <w:sz w:val="20"/>
                <w:szCs w:val="20"/>
              </w:rPr>
              <w:t xml:space="preserve">  </w:t>
            </w:r>
            <w:r>
              <w:rPr>
                <w:rFonts w:cs="Arial"/>
                <w:sz w:val="20"/>
                <w:szCs w:val="20"/>
              </w:rPr>
              <w:t xml:space="preserve">  </w:t>
            </w:r>
            <w:r w:rsidR="00F948DE">
              <w:rPr>
                <w:rFonts w:cs="Arial"/>
                <w:sz w:val="20"/>
                <w:szCs w:val="20"/>
              </w:rPr>
              <w:t xml:space="preserve">                       </w:t>
            </w:r>
            <w:r w:rsidRPr="00115FB5">
              <w:rPr>
                <w:rFonts w:cs="Arial"/>
                <w:sz w:val="20"/>
                <w:szCs w:val="20"/>
              </w:rPr>
              <w:t>referrals</w:t>
            </w:r>
          </w:p>
          <w:p w14:paraId="28B09AC5" w14:textId="66AED057" w:rsidR="0016390F" w:rsidRPr="00F948DE" w:rsidRDefault="0016390F" w:rsidP="00F948DE">
            <w:pPr>
              <w:jc w:val="right"/>
              <w:rPr>
                <w:rFonts w:cs="Arial"/>
                <w:sz w:val="20"/>
                <w:szCs w:val="20"/>
              </w:rPr>
            </w:pPr>
            <w:r w:rsidRPr="00F948DE">
              <w:rPr>
                <w:rFonts w:cs="Arial"/>
                <w:sz w:val="20"/>
              </w:rPr>
              <w:t>starters</w:t>
            </w:r>
          </w:p>
          <w:p w14:paraId="1A2E30F7" w14:textId="5BE5868A" w:rsidR="0016390F" w:rsidRDefault="0016390F" w:rsidP="0016390F">
            <w:pPr>
              <w:rPr>
                <w:rFonts w:cs="Arial"/>
                <w:sz w:val="20"/>
                <w:szCs w:val="20"/>
              </w:rPr>
            </w:pPr>
            <w:r w:rsidRPr="00115FB5">
              <w:rPr>
                <w:rFonts w:cs="Arial"/>
                <w:sz w:val="20"/>
                <w:szCs w:val="20"/>
              </w:rPr>
              <w:t xml:space="preserve">                       </w:t>
            </w:r>
            <w:r>
              <w:rPr>
                <w:rFonts w:cs="Arial"/>
                <w:sz w:val="20"/>
                <w:szCs w:val="20"/>
              </w:rPr>
              <w:t xml:space="preserve">  </w:t>
            </w:r>
            <w:r w:rsidR="00F948DE">
              <w:rPr>
                <w:rFonts w:cs="Arial"/>
                <w:sz w:val="20"/>
                <w:szCs w:val="20"/>
              </w:rPr>
              <w:t xml:space="preserve">     </w:t>
            </w:r>
            <w:r w:rsidRPr="00115FB5">
              <w:rPr>
                <w:rFonts w:cs="Arial"/>
                <w:sz w:val="20"/>
                <w:szCs w:val="20"/>
              </w:rPr>
              <w:t>completions</w:t>
            </w:r>
          </w:p>
          <w:p w14:paraId="79192C73" w14:textId="77777777" w:rsidR="0016390F" w:rsidRPr="00115FB5" w:rsidRDefault="0016390F" w:rsidP="00F948DE">
            <w:pPr>
              <w:jc w:val="right"/>
              <w:rPr>
                <w:rFonts w:cs="Arial"/>
                <w:sz w:val="20"/>
                <w:szCs w:val="20"/>
              </w:rPr>
            </w:pPr>
            <w:r>
              <w:rPr>
                <w:rFonts w:cs="Arial"/>
                <w:sz w:val="20"/>
                <w:szCs w:val="20"/>
              </w:rPr>
              <w:t>% completions</w:t>
            </w:r>
          </w:p>
        </w:tc>
        <w:tc>
          <w:tcPr>
            <w:tcW w:w="992" w:type="dxa"/>
          </w:tcPr>
          <w:p w14:paraId="55CB24DF" w14:textId="77777777" w:rsidR="0016390F" w:rsidRDefault="0016390F" w:rsidP="0016390F">
            <w:pPr>
              <w:jc w:val="center"/>
              <w:rPr>
                <w:rFonts w:cs="Arial"/>
                <w:sz w:val="20"/>
                <w:szCs w:val="20"/>
              </w:rPr>
            </w:pPr>
          </w:p>
          <w:p w14:paraId="6D526AD5" w14:textId="77777777" w:rsidR="0016390F" w:rsidRPr="00115FB5" w:rsidRDefault="0016390F" w:rsidP="0016390F">
            <w:pPr>
              <w:jc w:val="center"/>
              <w:rPr>
                <w:rFonts w:cs="Arial"/>
                <w:sz w:val="20"/>
                <w:szCs w:val="20"/>
              </w:rPr>
            </w:pPr>
            <w:r w:rsidRPr="00115FB5">
              <w:rPr>
                <w:rFonts w:cs="Arial"/>
                <w:sz w:val="20"/>
                <w:szCs w:val="20"/>
              </w:rPr>
              <w:t>H</w:t>
            </w:r>
          </w:p>
        </w:tc>
        <w:tc>
          <w:tcPr>
            <w:tcW w:w="3402" w:type="dxa"/>
          </w:tcPr>
          <w:p w14:paraId="0DD955D5" w14:textId="77777777" w:rsidR="0016390F" w:rsidRDefault="0016390F" w:rsidP="0016390F">
            <w:pPr>
              <w:jc w:val="center"/>
              <w:rPr>
                <w:rFonts w:cs="Arial"/>
                <w:sz w:val="20"/>
                <w:szCs w:val="20"/>
              </w:rPr>
            </w:pPr>
          </w:p>
          <w:p w14:paraId="65BE87F2" w14:textId="77777777" w:rsidR="0016390F" w:rsidRDefault="00E023CF" w:rsidP="0016390F">
            <w:pPr>
              <w:jc w:val="center"/>
              <w:rPr>
                <w:rFonts w:cs="Arial"/>
                <w:sz w:val="20"/>
                <w:szCs w:val="20"/>
              </w:rPr>
            </w:pPr>
            <w:r>
              <w:rPr>
                <w:rFonts w:cs="Arial"/>
                <w:sz w:val="20"/>
                <w:szCs w:val="20"/>
              </w:rPr>
              <w:t>7,291</w:t>
            </w:r>
          </w:p>
          <w:p w14:paraId="59723843" w14:textId="77777777" w:rsidR="0016390F" w:rsidRPr="00115FB5" w:rsidRDefault="00E023CF" w:rsidP="0016390F">
            <w:pPr>
              <w:jc w:val="center"/>
              <w:rPr>
                <w:rFonts w:cs="Arial"/>
                <w:sz w:val="20"/>
                <w:szCs w:val="20"/>
              </w:rPr>
            </w:pPr>
            <w:r>
              <w:rPr>
                <w:rFonts w:cs="Arial"/>
                <w:sz w:val="20"/>
                <w:szCs w:val="20"/>
              </w:rPr>
              <w:t>5,506</w:t>
            </w:r>
          </w:p>
          <w:p w14:paraId="0DE54B05" w14:textId="77777777" w:rsidR="0016390F" w:rsidRDefault="00E023CF" w:rsidP="0016390F">
            <w:pPr>
              <w:jc w:val="center"/>
              <w:rPr>
                <w:rFonts w:cs="Arial"/>
                <w:sz w:val="20"/>
                <w:szCs w:val="20"/>
              </w:rPr>
            </w:pPr>
            <w:r>
              <w:rPr>
                <w:rFonts w:cs="Arial"/>
                <w:sz w:val="20"/>
                <w:szCs w:val="20"/>
              </w:rPr>
              <w:t>3,550</w:t>
            </w:r>
          </w:p>
          <w:p w14:paraId="307BA8C7" w14:textId="77777777" w:rsidR="0016390F" w:rsidRPr="00115FB5" w:rsidRDefault="0016390F" w:rsidP="00E023CF">
            <w:pPr>
              <w:jc w:val="center"/>
              <w:rPr>
                <w:rFonts w:cs="Arial"/>
                <w:sz w:val="20"/>
                <w:szCs w:val="20"/>
              </w:rPr>
            </w:pPr>
            <w:r>
              <w:rPr>
                <w:rFonts w:cs="Arial"/>
                <w:sz w:val="20"/>
                <w:szCs w:val="20"/>
              </w:rPr>
              <w:t>64.</w:t>
            </w:r>
            <w:r w:rsidR="00E023CF">
              <w:rPr>
                <w:rFonts w:cs="Arial"/>
                <w:sz w:val="20"/>
                <w:szCs w:val="20"/>
              </w:rPr>
              <w:t>5</w:t>
            </w:r>
            <w:r>
              <w:rPr>
                <w:rFonts w:cs="Arial"/>
                <w:sz w:val="20"/>
                <w:szCs w:val="20"/>
              </w:rPr>
              <w:t>%</w:t>
            </w:r>
          </w:p>
        </w:tc>
        <w:tc>
          <w:tcPr>
            <w:tcW w:w="1177" w:type="dxa"/>
          </w:tcPr>
          <w:p w14:paraId="1306A958" w14:textId="77777777" w:rsidR="0016390F" w:rsidRDefault="0016390F" w:rsidP="0016390F">
            <w:pPr>
              <w:jc w:val="center"/>
              <w:rPr>
                <w:rFonts w:cs="Arial"/>
                <w:sz w:val="20"/>
                <w:szCs w:val="20"/>
              </w:rPr>
            </w:pPr>
          </w:p>
          <w:p w14:paraId="019B60A7" w14:textId="77777777" w:rsidR="0016390F" w:rsidRDefault="0016390F" w:rsidP="0016390F">
            <w:pPr>
              <w:jc w:val="center"/>
              <w:rPr>
                <w:rFonts w:cs="Arial"/>
                <w:sz w:val="20"/>
                <w:szCs w:val="20"/>
              </w:rPr>
            </w:pPr>
            <w:r>
              <w:rPr>
                <w:rFonts w:cs="Arial"/>
                <w:sz w:val="20"/>
                <w:szCs w:val="20"/>
              </w:rPr>
              <w:t>2,116</w:t>
            </w:r>
          </w:p>
          <w:p w14:paraId="40D78550" w14:textId="77777777" w:rsidR="0016390F" w:rsidRPr="00115FB5" w:rsidRDefault="0016390F" w:rsidP="0016390F">
            <w:pPr>
              <w:jc w:val="center"/>
              <w:rPr>
                <w:rFonts w:cs="Arial"/>
                <w:sz w:val="20"/>
                <w:szCs w:val="20"/>
              </w:rPr>
            </w:pPr>
            <w:r>
              <w:rPr>
                <w:rFonts w:cs="Arial"/>
                <w:sz w:val="20"/>
                <w:szCs w:val="20"/>
              </w:rPr>
              <w:t xml:space="preserve">2,784 </w:t>
            </w:r>
          </w:p>
          <w:p w14:paraId="27223312" w14:textId="77777777" w:rsidR="0016390F" w:rsidRDefault="0016390F" w:rsidP="0016390F">
            <w:pPr>
              <w:jc w:val="center"/>
              <w:rPr>
                <w:rFonts w:cs="Arial"/>
                <w:sz w:val="20"/>
                <w:szCs w:val="20"/>
              </w:rPr>
            </w:pPr>
            <w:r>
              <w:rPr>
                <w:rFonts w:cs="Arial"/>
                <w:sz w:val="20"/>
                <w:szCs w:val="20"/>
              </w:rPr>
              <w:t>2,181</w:t>
            </w:r>
          </w:p>
          <w:p w14:paraId="660DF2C8" w14:textId="77777777" w:rsidR="0016390F" w:rsidRPr="00115FB5" w:rsidRDefault="0016390F" w:rsidP="0016390F">
            <w:pPr>
              <w:jc w:val="center"/>
              <w:rPr>
                <w:rFonts w:cs="Arial"/>
                <w:sz w:val="20"/>
                <w:szCs w:val="20"/>
              </w:rPr>
            </w:pPr>
            <w:r>
              <w:rPr>
                <w:rFonts w:cs="Arial"/>
                <w:sz w:val="20"/>
                <w:szCs w:val="20"/>
              </w:rPr>
              <w:t>78.3%</w:t>
            </w:r>
          </w:p>
        </w:tc>
        <w:tc>
          <w:tcPr>
            <w:tcW w:w="1578" w:type="dxa"/>
            <w:shd w:val="clear" w:color="auto" w:fill="C5E0B3" w:themeFill="accent6" w:themeFillTint="66"/>
          </w:tcPr>
          <w:p w14:paraId="4027DA2B" w14:textId="77777777" w:rsidR="0016390F" w:rsidRDefault="0016390F" w:rsidP="0016390F">
            <w:pPr>
              <w:jc w:val="center"/>
              <w:rPr>
                <w:rFonts w:cs="Arial"/>
                <w:sz w:val="20"/>
                <w:szCs w:val="20"/>
              </w:rPr>
            </w:pPr>
          </w:p>
          <w:p w14:paraId="53E97298" w14:textId="77777777" w:rsidR="0016390F" w:rsidRPr="00115FB5" w:rsidRDefault="0016390F" w:rsidP="0016390F">
            <w:pPr>
              <w:jc w:val="center"/>
              <w:rPr>
                <w:rFonts w:cs="Arial"/>
                <w:sz w:val="20"/>
                <w:szCs w:val="20"/>
              </w:rPr>
            </w:pPr>
            <w:r>
              <w:rPr>
                <w:rFonts w:cs="Arial"/>
                <w:sz w:val="20"/>
                <w:szCs w:val="20"/>
              </w:rPr>
              <w:t>5,309</w:t>
            </w:r>
          </w:p>
          <w:p w14:paraId="3DDE1C4B" w14:textId="77777777" w:rsidR="0016390F" w:rsidRDefault="0016390F" w:rsidP="0016390F">
            <w:pPr>
              <w:jc w:val="center"/>
              <w:rPr>
                <w:rFonts w:cs="Arial"/>
                <w:sz w:val="20"/>
                <w:szCs w:val="20"/>
              </w:rPr>
            </w:pPr>
            <w:r>
              <w:rPr>
                <w:rFonts w:cs="Arial"/>
                <w:sz w:val="20"/>
                <w:szCs w:val="20"/>
              </w:rPr>
              <w:t xml:space="preserve">5,466 </w:t>
            </w:r>
          </w:p>
          <w:p w14:paraId="0CF03261" w14:textId="77777777" w:rsidR="0016390F" w:rsidRDefault="0016390F" w:rsidP="0016390F">
            <w:pPr>
              <w:jc w:val="center"/>
              <w:rPr>
                <w:rFonts w:cs="Arial"/>
                <w:sz w:val="20"/>
                <w:szCs w:val="20"/>
              </w:rPr>
            </w:pPr>
            <w:r>
              <w:rPr>
                <w:rFonts w:cs="Arial"/>
                <w:sz w:val="20"/>
                <w:szCs w:val="20"/>
              </w:rPr>
              <w:t>4,286</w:t>
            </w:r>
          </w:p>
          <w:p w14:paraId="75C97180" w14:textId="77777777" w:rsidR="0016390F" w:rsidRPr="00115FB5" w:rsidRDefault="0016390F" w:rsidP="0016390F">
            <w:pPr>
              <w:jc w:val="center"/>
              <w:rPr>
                <w:rFonts w:cs="Arial"/>
                <w:sz w:val="20"/>
                <w:szCs w:val="20"/>
              </w:rPr>
            </w:pPr>
            <w:r>
              <w:rPr>
                <w:rFonts w:cs="Arial"/>
                <w:sz w:val="20"/>
                <w:szCs w:val="20"/>
              </w:rPr>
              <w:t>78.4%</w:t>
            </w:r>
          </w:p>
        </w:tc>
      </w:tr>
      <w:tr w:rsidR="0016390F" w:rsidRPr="003F7CFF" w14:paraId="759D5F66" w14:textId="77777777" w:rsidTr="003F6046">
        <w:tc>
          <w:tcPr>
            <w:tcW w:w="2972" w:type="dxa"/>
          </w:tcPr>
          <w:p w14:paraId="3EEFDDF7" w14:textId="675C52E8" w:rsidR="0016390F" w:rsidRDefault="00F948DE" w:rsidP="00F948DE">
            <w:pPr>
              <w:jc w:val="center"/>
              <w:rPr>
                <w:rFonts w:cs="Arial"/>
                <w:sz w:val="20"/>
                <w:szCs w:val="20"/>
              </w:rPr>
            </w:pPr>
            <w:r>
              <w:rPr>
                <w:rFonts w:cs="Arial"/>
                <w:sz w:val="20"/>
                <w:szCs w:val="20"/>
              </w:rPr>
              <w:t xml:space="preserve">Targeted Community Weight Management            </w:t>
            </w:r>
            <w:r w:rsidR="0016390F" w:rsidRPr="00115FB5">
              <w:rPr>
                <w:rFonts w:cs="Arial"/>
                <w:sz w:val="20"/>
                <w:szCs w:val="20"/>
              </w:rPr>
              <w:t>referrals</w:t>
            </w:r>
          </w:p>
          <w:p w14:paraId="1323121E" w14:textId="6027E75C" w:rsidR="0016390F" w:rsidRPr="00115FB5" w:rsidRDefault="0016390F" w:rsidP="0016390F">
            <w:pPr>
              <w:jc w:val="center"/>
              <w:rPr>
                <w:rFonts w:cs="Arial"/>
                <w:sz w:val="20"/>
                <w:szCs w:val="20"/>
              </w:rPr>
            </w:pPr>
            <w:r>
              <w:rPr>
                <w:rFonts w:cs="Arial"/>
                <w:sz w:val="20"/>
                <w:szCs w:val="20"/>
              </w:rPr>
              <w:t xml:space="preserve">             </w:t>
            </w:r>
            <w:r w:rsidR="00F948DE">
              <w:rPr>
                <w:rFonts w:cs="Arial"/>
                <w:sz w:val="20"/>
                <w:szCs w:val="20"/>
              </w:rPr>
              <w:t xml:space="preserve">                    </w:t>
            </w:r>
            <w:r>
              <w:rPr>
                <w:rFonts w:cs="Arial"/>
                <w:sz w:val="20"/>
                <w:szCs w:val="20"/>
              </w:rPr>
              <w:t>starters</w:t>
            </w:r>
          </w:p>
          <w:p w14:paraId="437AC404" w14:textId="7140DB3F" w:rsidR="0016390F" w:rsidRDefault="0016390F" w:rsidP="0016390F">
            <w:pPr>
              <w:rPr>
                <w:rFonts w:cs="Arial"/>
                <w:sz w:val="20"/>
                <w:szCs w:val="20"/>
              </w:rPr>
            </w:pPr>
            <w:r w:rsidRPr="00115FB5">
              <w:rPr>
                <w:rFonts w:cs="Arial"/>
                <w:sz w:val="20"/>
                <w:szCs w:val="20"/>
              </w:rPr>
              <w:t xml:space="preserve">                      </w:t>
            </w:r>
            <w:r>
              <w:rPr>
                <w:rFonts w:cs="Arial"/>
                <w:sz w:val="20"/>
                <w:szCs w:val="20"/>
              </w:rPr>
              <w:t xml:space="preserve">  </w:t>
            </w:r>
            <w:r w:rsidR="00F948DE">
              <w:rPr>
                <w:rFonts w:cs="Arial"/>
                <w:sz w:val="20"/>
                <w:szCs w:val="20"/>
              </w:rPr>
              <w:t xml:space="preserve">     </w:t>
            </w:r>
            <w:r>
              <w:rPr>
                <w:rFonts w:cs="Arial"/>
                <w:sz w:val="20"/>
                <w:szCs w:val="20"/>
              </w:rPr>
              <w:t xml:space="preserve"> </w:t>
            </w:r>
            <w:r w:rsidRPr="00115FB5">
              <w:rPr>
                <w:rFonts w:cs="Arial"/>
                <w:sz w:val="20"/>
                <w:szCs w:val="20"/>
              </w:rPr>
              <w:t xml:space="preserve">completions  </w:t>
            </w:r>
          </w:p>
          <w:p w14:paraId="57BEB35B" w14:textId="77777777" w:rsidR="0016390F" w:rsidRPr="00115FB5" w:rsidRDefault="0016390F" w:rsidP="00F948DE">
            <w:pPr>
              <w:jc w:val="right"/>
              <w:rPr>
                <w:rFonts w:cs="Arial"/>
                <w:sz w:val="20"/>
                <w:szCs w:val="20"/>
              </w:rPr>
            </w:pPr>
            <w:r>
              <w:rPr>
                <w:rFonts w:cs="Arial"/>
                <w:sz w:val="20"/>
                <w:szCs w:val="20"/>
              </w:rPr>
              <w:t>% completions</w:t>
            </w:r>
            <w:r w:rsidRPr="00115FB5">
              <w:rPr>
                <w:rFonts w:cs="Arial"/>
                <w:sz w:val="20"/>
                <w:szCs w:val="20"/>
              </w:rPr>
              <w:t xml:space="preserve">                                                </w:t>
            </w:r>
          </w:p>
        </w:tc>
        <w:tc>
          <w:tcPr>
            <w:tcW w:w="992" w:type="dxa"/>
          </w:tcPr>
          <w:p w14:paraId="49F38519" w14:textId="77777777" w:rsidR="0016390F" w:rsidRDefault="0016390F" w:rsidP="0016390F">
            <w:pPr>
              <w:jc w:val="center"/>
              <w:rPr>
                <w:rFonts w:cs="Arial"/>
                <w:sz w:val="20"/>
                <w:szCs w:val="20"/>
              </w:rPr>
            </w:pPr>
          </w:p>
          <w:p w14:paraId="1E45DE29" w14:textId="77777777" w:rsidR="0016390F" w:rsidRPr="00115FB5" w:rsidRDefault="0016390F" w:rsidP="0016390F">
            <w:pPr>
              <w:jc w:val="center"/>
              <w:rPr>
                <w:rFonts w:cs="Arial"/>
                <w:sz w:val="20"/>
                <w:szCs w:val="20"/>
              </w:rPr>
            </w:pPr>
            <w:r w:rsidRPr="00115FB5">
              <w:rPr>
                <w:rFonts w:cs="Arial"/>
                <w:sz w:val="20"/>
                <w:szCs w:val="20"/>
              </w:rPr>
              <w:t>H</w:t>
            </w:r>
          </w:p>
        </w:tc>
        <w:tc>
          <w:tcPr>
            <w:tcW w:w="3402" w:type="dxa"/>
          </w:tcPr>
          <w:p w14:paraId="796888B5" w14:textId="77777777" w:rsidR="0016390F" w:rsidRPr="00115FB5" w:rsidRDefault="0016390F" w:rsidP="0016390F">
            <w:pPr>
              <w:jc w:val="center"/>
              <w:rPr>
                <w:rFonts w:cs="Arial"/>
                <w:sz w:val="20"/>
                <w:szCs w:val="20"/>
              </w:rPr>
            </w:pPr>
            <w:r w:rsidRPr="00115FB5">
              <w:rPr>
                <w:rFonts w:cs="Arial"/>
                <w:sz w:val="20"/>
                <w:szCs w:val="20"/>
              </w:rPr>
              <w:t xml:space="preserve">          </w:t>
            </w:r>
          </w:p>
          <w:p w14:paraId="3A518256" w14:textId="77777777" w:rsidR="0016390F" w:rsidRDefault="0016390F" w:rsidP="0016390F">
            <w:pPr>
              <w:jc w:val="center"/>
              <w:rPr>
                <w:rFonts w:cs="Arial"/>
                <w:sz w:val="20"/>
                <w:szCs w:val="20"/>
              </w:rPr>
            </w:pPr>
            <w:r>
              <w:rPr>
                <w:rFonts w:cs="Arial"/>
                <w:sz w:val="20"/>
                <w:szCs w:val="20"/>
              </w:rPr>
              <w:t>3</w:t>
            </w:r>
            <w:r w:rsidR="00E023CF">
              <w:rPr>
                <w:rFonts w:cs="Arial"/>
                <w:sz w:val="20"/>
                <w:szCs w:val="20"/>
              </w:rPr>
              <w:t>,194</w:t>
            </w:r>
          </w:p>
          <w:p w14:paraId="6401FD60" w14:textId="77777777" w:rsidR="0016390F" w:rsidRPr="00115FB5" w:rsidRDefault="00E023CF" w:rsidP="0016390F">
            <w:pPr>
              <w:jc w:val="center"/>
              <w:rPr>
                <w:rFonts w:cs="Arial"/>
                <w:sz w:val="20"/>
                <w:szCs w:val="20"/>
              </w:rPr>
            </w:pPr>
            <w:r>
              <w:rPr>
                <w:rFonts w:cs="Arial"/>
                <w:sz w:val="20"/>
                <w:szCs w:val="20"/>
              </w:rPr>
              <w:t>1,546</w:t>
            </w:r>
          </w:p>
          <w:p w14:paraId="3B622770" w14:textId="77777777" w:rsidR="0016390F" w:rsidRDefault="00E023CF" w:rsidP="0016390F">
            <w:pPr>
              <w:jc w:val="center"/>
              <w:rPr>
                <w:rFonts w:cs="Arial"/>
                <w:sz w:val="20"/>
                <w:szCs w:val="20"/>
              </w:rPr>
            </w:pPr>
            <w:r>
              <w:rPr>
                <w:rFonts w:cs="Arial"/>
                <w:sz w:val="20"/>
                <w:szCs w:val="20"/>
              </w:rPr>
              <w:t>991</w:t>
            </w:r>
          </w:p>
          <w:p w14:paraId="3F8FCC2E" w14:textId="77777777" w:rsidR="0016390F" w:rsidRPr="00115FB5" w:rsidRDefault="0016390F" w:rsidP="0016390F">
            <w:pPr>
              <w:jc w:val="center"/>
              <w:rPr>
                <w:rFonts w:cs="Arial"/>
                <w:sz w:val="20"/>
                <w:szCs w:val="20"/>
              </w:rPr>
            </w:pPr>
            <w:r>
              <w:rPr>
                <w:rFonts w:cs="Arial"/>
                <w:sz w:val="20"/>
                <w:szCs w:val="20"/>
              </w:rPr>
              <w:t xml:space="preserve"> 64.1%</w:t>
            </w:r>
          </w:p>
        </w:tc>
        <w:tc>
          <w:tcPr>
            <w:tcW w:w="1177" w:type="dxa"/>
          </w:tcPr>
          <w:p w14:paraId="0A98C80C" w14:textId="77777777" w:rsidR="0016390F" w:rsidRPr="00115FB5" w:rsidRDefault="0016390F" w:rsidP="0016390F">
            <w:pPr>
              <w:jc w:val="center"/>
              <w:rPr>
                <w:rFonts w:cs="Arial"/>
                <w:sz w:val="20"/>
                <w:szCs w:val="20"/>
              </w:rPr>
            </w:pPr>
          </w:p>
          <w:p w14:paraId="223F24D7" w14:textId="77777777" w:rsidR="0016390F" w:rsidRPr="00115FB5" w:rsidRDefault="0016390F" w:rsidP="0016390F">
            <w:pPr>
              <w:jc w:val="center"/>
              <w:rPr>
                <w:rFonts w:cs="Arial"/>
                <w:sz w:val="20"/>
                <w:szCs w:val="20"/>
              </w:rPr>
            </w:pPr>
            <w:r w:rsidRPr="00115FB5">
              <w:rPr>
                <w:rFonts w:cs="Arial"/>
                <w:sz w:val="20"/>
                <w:szCs w:val="20"/>
              </w:rPr>
              <w:t>1,</w:t>
            </w:r>
            <w:r>
              <w:rPr>
                <w:rFonts w:cs="Arial"/>
                <w:sz w:val="20"/>
                <w:szCs w:val="20"/>
              </w:rPr>
              <w:t>053</w:t>
            </w:r>
          </w:p>
          <w:p w14:paraId="6B751396" w14:textId="77777777" w:rsidR="0016390F" w:rsidRDefault="0016390F" w:rsidP="0016390F">
            <w:pPr>
              <w:jc w:val="center"/>
              <w:rPr>
                <w:rFonts w:cs="Arial"/>
                <w:sz w:val="20"/>
                <w:szCs w:val="20"/>
              </w:rPr>
            </w:pPr>
            <w:r>
              <w:rPr>
                <w:rFonts w:cs="Arial"/>
                <w:sz w:val="20"/>
                <w:szCs w:val="20"/>
              </w:rPr>
              <w:t>674</w:t>
            </w:r>
          </w:p>
          <w:p w14:paraId="057D4646" w14:textId="77777777" w:rsidR="0016390F" w:rsidRDefault="0016390F" w:rsidP="0016390F">
            <w:pPr>
              <w:jc w:val="center"/>
              <w:rPr>
                <w:rFonts w:cs="Arial"/>
                <w:sz w:val="20"/>
                <w:szCs w:val="20"/>
              </w:rPr>
            </w:pPr>
            <w:r>
              <w:rPr>
                <w:rFonts w:cs="Arial"/>
                <w:sz w:val="20"/>
                <w:szCs w:val="20"/>
              </w:rPr>
              <w:t>417</w:t>
            </w:r>
          </w:p>
          <w:p w14:paraId="31FDAABF" w14:textId="77777777" w:rsidR="0016390F" w:rsidRPr="00115FB5" w:rsidRDefault="0016390F" w:rsidP="00E023CF">
            <w:pPr>
              <w:jc w:val="center"/>
              <w:rPr>
                <w:rFonts w:cs="Arial"/>
                <w:sz w:val="20"/>
                <w:szCs w:val="20"/>
              </w:rPr>
            </w:pPr>
            <w:r>
              <w:rPr>
                <w:rFonts w:cs="Arial"/>
                <w:sz w:val="20"/>
                <w:szCs w:val="20"/>
              </w:rPr>
              <w:t>61.</w:t>
            </w:r>
            <w:r w:rsidR="00E023CF">
              <w:rPr>
                <w:rFonts w:cs="Arial"/>
                <w:sz w:val="20"/>
                <w:szCs w:val="20"/>
              </w:rPr>
              <w:t>9</w:t>
            </w:r>
            <w:r>
              <w:rPr>
                <w:rFonts w:cs="Arial"/>
                <w:sz w:val="20"/>
                <w:szCs w:val="20"/>
              </w:rPr>
              <w:t>%</w:t>
            </w:r>
          </w:p>
        </w:tc>
        <w:tc>
          <w:tcPr>
            <w:tcW w:w="1578" w:type="dxa"/>
            <w:shd w:val="clear" w:color="auto" w:fill="F7CAAC" w:themeFill="accent2" w:themeFillTint="66"/>
          </w:tcPr>
          <w:p w14:paraId="6B8C2784" w14:textId="77777777" w:rsidR="0016390F" w:rsidRPr="00115FB5" w:rsidRDefault="0016390F" w:rsidP="0016390F">
            <w:pPr>
              <w:jc w:val="center"/>
              <w:rPr>
                <w:rFonts w:cs="Arial"/>
                <w:sz w:val="20"/>
                <w:szCs w:val="20"/>
              </w:rPr>
            </w:pPr>
          </w:p>
          <w:p w14:paraId="7AD4F3C0" w14:textId="77777777" w:rsidR="0016390F" w:rsidRPr="00115FB5" w:rsidRDefault="0016390F" w:rsidP="0016390F">
            <w:pPr>
              <w:jc w:val="center"/>
              <w:rPr>
                <w:rFonts w:cs="Arial"/>
                <w:sz w:val="20"/>
                <w:szCs w:val="20"/>
              </w:rPr>
            </w:pPr>
            <w:r>
              <w:rPr>
                <w:rFonts w:cs="Arial"/>
                <w:sz w:val="20"/>
                <w:szCs w:val="20"/>
              </w:rPr>
              <w:t>2,337</w:t>
            </w:r>
          </w:p>
          <w:p w14:paraId="5698163E" w14:textId="77777777" w:rsidR="0016390F" w:rsidRDefault="0016390F" w:rsidP="0016390F">
            <w:pPr>
              <w:jc w:val="center"/>
              <w:rPr>
                <w:rFonts w:cs="Arial"/>
                <w:sz w:val="20"/>
                <w:szCs w:val="20"/>
              </w:rPr>
            </w:pPr>
            <w:r>
              <w:rPr>
                <w:rFonts w:cs="Arial"/>
                <w:sz w:val="20"/>
                <w:szCs w:val="20"/>
              </w:rPr>
              <w:t xml:space="preserve">1,326 </w:t>
            </w:r>
          </w:p>
          <w:p w14:paraId="239A2E5A" w14:textId="77777777" w:rsidR="0016390F" w:rsidRDefault="0016390F" w:rsidP="0016390F">
            <w:pPr>
              <w:jc w:val="center"/>
              <w:rPr>
                <w:rFonts w:cs="Arial"/>
                <w:sz w:val="20"/>
                <w:szCs w:val="20"/>
              </w:rPr>
            </w:pPr>
            <w:r>
              <w:rPr>
                <w:rFonts w:cs="Arial"/>
                <w:sz w:val="20"/>
                <w:szCs w:val="20"/>
              </w:rPr>
              <w:t>773</w:t>
            </w:r>
          </w:p>
          <w:p w14:paraId="6CF106C3" w14:textId="77777777" w:rsidR="0016390F" w:rsidRPr="00115FB5" w:rsidRDefault="0016390F" w:rsidP="00D3354B">
            <w:pPr>
              <w:jc w:val="center"/>
              <w:rPr>
                <w:rFonts w:cs="Arial"/>
                <w:sz w:val="20"/>
                <w:szCs w:val="20"/>
              </w:rPr>
            </w:pPr>
            <w:r>
              <w:rPr>
                <w:rFonts w:cs="Arial"/>
                <w:sz w:val="20"/>
                <w:szCs w:val="20"/>
              </w:rPr>
              <w:t>58.</w:t>
            </w:r>
            <w:r w:rsidR="00D3354B">
              <w:rPr>
                <w:rFonts w:cs="Arial"/>
                <w:sz w:val="20"/>
                <w:szCs w:val="20"/>
              </w:rPr>
              <w:t>3</w:t>
            </w:r>
            <w:r>
              <w:rPr>
                <w:rFonts w:cs="Arial"/>
                <w:sz w:val="20"/>
                <w:szCs w:val="20"/>
              </w:rPr>
              <w:t>%</w:t>
            </w:r>
          </w:p>
        </w:tc>
      </w:tr>
    </w:tbl>
    <w:p w14:paraId="3161AFEF" w14:textId="77777777" w:rsidR="0016390F" w:rsidRDefault="0016390F" w:rsidP="003F7CFF">
      <w:pPr>
        <w:jc w:val="both"/>
        <w:rPr>
          <w:rFonts w:eastAsiaTheme="minorHAnsi" w:cs="Arial"/>
          <w:sz w:val="22"/>
          <w:szCs w:val="22"/>
          <w:lang w:eastAsia="en-US"/>
        </w:rPr>
      </w:pPr>
    </w:p>
    <w:p w14:paraId="36622337" w14:textId="77777777" w:rsidR="003F7CFF" w:rsidRDefault="003F7CFF" w:rsidP="003F7CFF">
      <w:pPr>
        <w:jc w:val="both"/>
        <w:rPr>
          <w:rFonts w:eastAsiaTheme="minorHAnsi" w:cs="Arial"/>
          <w:i/>
          <w:szCs w:val="24"/>
          <w:lang w:eastAsia="en-US"/>
        </w:rPr>
      </w:pPr>
      <w:r w:rsidRPr="003D57BA">
        <w:rPr>
          <w:rFonts w:eastAsiaTheme="minorHAnsi" w:cs="Arial"/>
          <w:i/>
          <w:szCs w:val="24"/>
          <w:lang w:eastAsia="en-US"/>
        </w:rPr>
        <w:t xml:space="preserve">Healthy Lifestyle </w:t>
      </w:r>
    </w:p>
    <w:p w14:paraId="6DEDB80A" w14:textId="77777777" w:rsidR="00F46F0B" w:rsidRDefault="00F46F0B" w:rsidP="00C7339C">
      <w:pPr>
        <w:jc w:val="both"/>
        <w:rPr>
          <w:rFonts w:eastAsiaTheme="minorHAnsi" w:cs="Arial"/>
          <w:szCs w:val="24"/>
          <w:lang w:eastAsia="en-US"/>
        </w:rPr>
      </w:pPr>
      <w:r>
        <w:rPr>
          <w:rFonts w:eastAsiaTheme="minorHAnsi" w:cs="Arial"/>
          <w:szCs w:val="24"/>
          <w:lang w:eastAsia="en-US"/>
        </w:rPr>
        <w:t>Active Lives Healthy Weight services comprise Targeted Physical Activity and Community Weight Management programmes.</w:t>
      </w:r>
      <w:r w:rsidR="00733D42">
        <w:rPr>
          <w:rFonts w:eastAsiaTheme="minorHAnsi" w:cs="Arial"/>
          <w:szCs w:val="24"/>
          <w:lang w:eastAsia="en-US"/>
        </w:rPr>
        <w:t xml:space="preserve"> There are five services commissioned within Lancashire, based on local health economy footprints.</w:t>
      </w:r>
      <w:r>
        <w:rPr>
          <w:rFonts w:eastAsiaTheme="minorHAnsi" w:cs="Arial"/>
          <w:szCs w:val="24"/>
          <w:lang w:eastAsia="en-US"/>
        </w:rPr>
        <w:t xml:space="preserve"> </w:t>
      </w:r>
    </w:p>
    <w:p w14:paraId="53BA4746" w14:textId="77777777" w:rsidR="00F46F0B" w:rsidRDefault="00F46F0B" w:rsidP="00C7339C">
      <w:pPr>
        <w:jc w:val="both"/>
        <w:rPr>
          <w:rFonts w:eastAsiaTheme="minorHAnsi" w:cs="Arial"/>
          <w:szCs w:val="24"/>
          <w:lang w:eastAsia="en-US"/>
        </w:rPr>
      </w:pPr>
    </w:p>
    <w:p w14:paraId="2C4D3B25" w14:textId="77777777" w:rsidR="00C7339C" w:rsidRDefault="00C7339C" w:rsidP="00C7339C">
      <w:pPr>
        <w:jc w:val="both"/>
        <w:rPr>
          <w:rFonts w:eastAsiaTheme="minorHAnsi" w:cs="Arial"/>
          <w:szCs w:val="24"/>
          <w:lang w:eastAsia="en-US"/>
        </w:rPr>
      </w:pPr>
      <w:r w:rsidRPr="00C7339C">
        <w:rPr>
          <w:rFonts w:eastAsiaTheme="minorHAnsi" w:cs="Arial"/>
          <w:szCs w:val="24"/>
          <w:lang w:eastAsia="en-US"/>
        </w:rPr>
        <w:t xml:space="preserve">The Targeted Physical Activity </w:t>
      </w:r>
      <w:r>
        <w:rPr>
          <w:rFonts w:eastAsiaTheme="minorHAnsi" w:cs="Arial"/>
          <w:szCs w:val="24"/>
          <w:lang w:eastAsia="en-US"/>
        </w:rPr>
        <w:t xml:space="preserve">programme </w:t>
      </w:r>
      <w:r w:rsidRPr="00C7339C">
        <w:rPr>
          <w:rFonts w:eastAsiaTheme="minorHAnsi" w:cs="Arial"/>
          <w:szCs w:val="24"/>
          <w:lang w:eastAsia="en-US"/>
        </w:rPr>
        <w:t>target</w:t>
      </w:r>
      <w:r>
        <w:rPr>
          <w:rFonts w:eastAsiaTheme="minorHAnsi" w:cs="Arial"/>
          <w:szCs w:val="24"/>
          <w:lang w:eastAsia="en-US"/>
        </w:rPr>
        <w:t>s</w:t>
      </w:r>
      <w:r w:rsidRPr="00C7339C">
        <w:rPr>
          <w:rFonts w:eastAsiaTheme="minorHAnsi" w:cs="Arial"/>
          <w:szCs w:val="24"/>
          <w:lang w:eastAsia="en-US"/>
        </w:rPr>
        <w:t xml:space="preserve"> adults who do not meet the recommended 150 min</w:t>
      </w:r>
      <w:r>
        <w:rPr>
          <w:rFonts w:eastAsiaTheme="minorHAnsi" w:cs="Arial"/>
          <w:szCs w:val="24"/>
          <w:lang w:eastAsia="en-US"/>
        </w:rPr>
        <w:t>utes</w:t>
      </w:r>
      <w:r w:rsidRPr="00C7339C">
        <w:rPr>
          <w:rFonts w:eastAsiaTheme="minorHAnsi" w:cs="Arial"/>
          <w:szCs w:val="24"/>
          <w:lang w:eastAsia="en-US"/>
        </w:rPr>
        <w:t xml:space="preserve"> of physical activity a week</w:t>
      </w:r>
      <w:r>
        <w:rPr>
          <w:rFonts w:eastAsiaTheme="minorHAnsi" w:cs="Arial"/>
          <w:szCs w:val="24"/>
          <w:lang w:eastAsia="en-US"/>
        </w:rPr>
        <w:t xml:space="preserve">, and children/young people who </w:t>
      </w:r>
      <w:r w:rsidRPr="00C7339C">
        <w:rPr>
          <w:rFonts w:eastAsiaTheme="minorHAnsi" w:cs="Arial"/>
          <w:szCs w:val="24"/>
          <w:lang w:eastAsia="en-US"/>
        </w:rPr>
        <w:t>do not meet the recommended levels of physical activity of 60 minutes a day.  The service offers an initial assessment and referral to a physical activity specialist or service according to capability and needs</w:t>
      </w:r>
      <w:r w:rsidR="003F6215">
        <w:rPr>
          <w:rFonts w:eastAsiaTheme="minorHAnsi" w:cs="Arial"/>
          <w:szCs w:val="24"/>
          <w:lang w:eastAsia="en-US"/>
        </w:rPr>
        <w:t>,</w:t>
      </w:r>
      <w:r w:rsidRPr="00C7339C">
        <w:rPr>
          <w:rFonts w:eastAsiaTheme="minorHAnsi" w:cs="Arial"/>
          <w:szCs w:val="24"/>
          <w:lang w:eastAsia="en-US"/>
        </w:rPr>
        <w:t xml:space="preserve"> with opportunity to participate in a 12 week physical activity programme. </w:t>
      </w:r>
    </w:p>
    <w:p w14:paraId="29E2D7CE" w14:textId="77777777" w:rsidR="00F46F0B" w:rsidRDefault="00F46F0B" w:rsidP="00C7339C">
      <w:pPr>
        <w:jc w:val="both"/>
        <w:rPr>
          <w:rFonts w:eastAsiaTheme="minorHAnsi" w:cs="Arial"/>
          <w:szCs w:val="24"/>
          <w:lang w:eastAsia="en-US"/>
        </w:rPr>
      </w:pPr>
    </w:p>
    <w:p w14:paraId="7E7DB9BF" w14:textId="3A60F492" w:rsidR="00F46F0B" w:rsidRDefault="00F46F0B" w:rsidP="00C7339C">
      <w:pPr>
        <w:jc w:val="both"/>
        <w:rPr>
          <w:rFonts w:eastAsiaTheme="minorHAnsi" w:cs="Arial"/>
          <w:szCs w:val="24"/>
          <w:lang w:eastAsia="en-US"/>
        </w:rPr>
      </w:pPr>
      <w:r w:rsidRPr="00F46F0B">
        <w:rPr>
          <w:rFonts w:eastAsiaTheme="minorHAnsi" w:cs="Arial"/>
          <w:szCs w:val="24"/>
          <w:lang w:eastAsia="en-US"/>
        </w:rPr>
        <w:t>The Targeted Community Weight Management Service targets adults with a Body Mass Index (BMI) of between 25 and 35; and children aged 4-18 classified as being overweight and obese weight for their height; offering a 12 week programme of behaviour change support</w:t>
      </w:r>
      <w:r w:rsidR="008A3A4C">
        <w:rPr>
          <w:rFonts w:eastAsiaTheme="minorHAnsi" w:cs="Arial"/>
          <w:szCs w:val="24"/>
          <w:lang w:eastAsia="en-US"/>
        </w:rPr>
        <w:t>.</w:t>
      </w:r>
    </w:p>
    <w:p w14:paraId="4FCE5A89" w14:textId="77777777" w:rsidR="00A930E5" w:rsidRDefault="00A930E5" w:rsidP="003F7CFF">
      <w:pPr>
        <w:jc w:val="both"/>
        <w:rPr>
          <w:rFonts w:eastAsiaTheme="minorHAnsi" w:cs="Arial"/>
          <w:szCs w:val="24"/>
          <w:lang w:eastAsia="en-US"/>
        </w:rPr>
      </w:pPr>
    </w:p>
    <w:p w14:paraId="3A741FD3" w14:textId="11A3A212" w:rsidR="00A930E5" w:rsidRDefault="00B83303" w:rsidP="003F7CFF">
      <w:pPr>
        <w:jc w:val="both"/>
        <w:rPr>
          <w:rFonts w:eastAsiaTheme="minorHAnsi" w:cs="Arial"/>
          <w:szCs w:val="24"/>
          <w:lang w:eastAsia="en-US"/>
        </w:rPr>
      </w:pPr>
      <w:r>
        <w:rPr>
          <w:rFonts w:eastAsiaTheme="minorHAnsi" w:cs="Arial"/>
          <w:szCs w:val="24"/>
          <w:lang w:eastAsia="en-US"/>
        </w:rPr>
        <w:lastRenderedPageBreak/>
        <w:t>Referrals in both</w:t>
      </w:r>
      <w:r w:rsidR="00A930E5" w:rsidRPr="00A930E5">
        <w:rPr>
          <w:rFonts w:eastAsiaTheme="minorHAnsi" w:cs="Arial"/>
          <w:szCs w:val="24"/>
          <w:lang w:eastAsia="en-US"/>
        </w:rPr>
        <w:t xml:space="preserve"> </w:t>
      </w:r>
      <w:r w:rsidR="00A930E5">
        <w:rPr>
          <w:rFonts w:eastAsiaTheme="minorHAnsi" w:cs="Arial"/>
          <w:szCs w:val="24"/>
          <w:lang w:eastAsia="en-US"/>
        </w:rPr>
        <w:t xml:space="preserve">programmes are though </w:t>
      </w:r>
      <w:r w:rsidR="00A930E5" w:rsidRPr="00A930E5">
        <w:rPr>
          <w:rFonts w:eastAsiaTheme="minorHAnsi" w:cs="Arial"/>
          <w:szCs w:val="24"/>
          <w:lang w:eastAsia="en-US"/>
        </w:rPr>
        <w:t xml:space="preserve">self-referral </w:t>
      </w:r>
      <w:r w:rsidR="00A930E5">
        <w:rPr>
          <w:rFonts w:eastAsiaTheme="minorHAnsi" w:cs="Arial"/>
          <w:szCs w:val="24"/>
          <w:lang w:eastAsia="en-US"/>
        </w:rPr>
        <w:t xml:space="preserve">and </w:t>
      </w:r>
      <w:r w:rsidR="00A930E5" w:rsidRPr="00A930E5">
        <w:rPr>
          <w:rFonts w:eastAsiaTheme="minorHAnsi" w:cs="Arial"/>
          <w:szCs w:val="24"/>
          <w:lang w:eastAsia="en-US"/>
        </w:rPr>
        <w:t>indirectly through</w:t>
      </w:r>
      <w:r w:rsidR="00A930E5">
        <w:rPr>
          <w:rFonts w:eastAsiaTheme="minorHAnsi" w:cs="Arial"/>
          <w:szCs w:val="24"/>
          <w:lang w:eastAsia="en-US"/>
        </w:rPr>
        <w:t xml:space="preserve"> other professional staff such as GPs, pharmacies, health visitors etc. </w:t>
      </w:r>
      <w:r w:rsidR="00A45056">
        <w:rPr>
          <w:rFonts w:eastAsiaTheme="minorHAnsi" w:cs="Arial"/>
          <w:szCs w:val="24"/>
          <w:lang w:eastAsia="en-US"/>
        </w:rPr>
        <w:t xml:space="preserve">The providers are responsible for promoting the services in their locality, with quarterly targets for completions set at 65% of those recruited. </w:t>
      </w:r>
    </w:p>
    <w:p w14:paraId="32B2915A" w14:textId="77777777" w:rsidR="00C62AC4" w:rsidRDefault="00C62AC4" w:rsidP="003F7CFF">
      <w:pPr>
        <w:jc w:val="both"/>
        <w:rPr>
          <w:rFonts w:eastAsiaTheme="minorHAnsi" w:cs="Arial"/>
          <w:szCs w:val="24"/>
          <w:lang w:eastAsia="en-US"/>
        </w:rPr>
      </w:pPr>
    </w:p>
    <w:p w14:paraId="2C4D6C3F" w14:textId="54C88453" w:rsidR="00C62AC4" w:rsidRDefault="00C62AC4" w:rsidP="00C62AC4">
      <w:pPr>
        <w:jc w:val="both"/>
        <w:rPr>
          <w:rFonts w:eastAsiaTheme="minorHAnsi" w:cs="Arial"/>
          <w:szCs w:val="24"/>
          <w:lang w:eastAsia="en-US"/>
        </w:rPr>
      </w:pPr>
      <w:r w:rsidRPr="00C62AC4">
        <w:rPr>
          <w:rFonts w:eastAsiaTheme="minorHAnsi" w:cs="Arial"/>
          <w:szCs w:val="24"/>
          <w:lang w:eastAsia="en-US"/>
        </w:rPr>
        <w:t>Participate in a programme over a twelve week period which may span two reporting periods. Across Lancashire the Targeted Physical Activity programme is generally meeting completion targets, although those targets in the Community Weight Management programme are showing slight underperformance. Performance is discussed with providers to understand the reasons why people are not completing programmes, recognising that this is part of a much wider and complex behaviour change issue.</w:t>
      </w:r>
      <w:r>
        <w:rPr>
          <w:rFonts w:eastAsiaTheme="minorHAnsi" w:cs="Arial"/>
          <w:szCs w:val="24"/>
          <w:lang w:eastAsia="en-US"/>
        </w:rPr>
        <w:t xml:space="preserve"> </w:t>
      </w:r>
    </w:p>
    <w:p w14:paraId="12E2B7C9" w14:textId="77777777" w:rsidR="00B83303" w:rsidRPr="0061353A" w:rsidRDefault="00B83303" w:rsidP="00B83303">
      <w:pPr>
        <w:spacing w:after="160"/>
        <w:contextualSpacing/>
        <w:jc w:val="both"/>
        <w:rPr>
          <w:rFonts w:eastAsiaTheme="minorHAnsi" w:cs="Arial"/>
          <w:sz w:val="22"/>
          <w:szCs w:val="22"/>
          <w:lang w:eastAsia="en-US"/>
        </w:rPr>
      </w:pPr>
    </w:p>
    <w:p w14:paraId="2635D365" w14:textId="77777777" w:rsidR="008A3A4C" w:rsidRDefault="008A3A4C" w:rsidP="00D3788B">
      <w:pPr>
        <w:spacing w:after="160" w:line="259" w:lineRule="auto"/>
        <w:contextualSpacing/>
        <w:rPr>
          <w:b/>
        </w:rPr>
      </w:pPr>
    </w:p>
    <w:p w14:paraId="79FB870E" w14:textId="77777777" w:rsidR="008A3A4C" w:rsidRDefault="008A3A4C" w:rsidP="00D3788B">
      <w:pPr>
        <w:spacing w:after="160" w:line="259" w:lineRule="auto"/>
        <w:contextualSpacing/>
        <w:rPr>
          <w:b/>
        </w:rPr>
      </w:pPr>
    </w:p>
    <w:p w14:paraId="41791B39" w14:textId="77777777" w:rsidR="008A3A4C" w:rsidRDefault="008A3A4C" w:rsidP="00D3788B">
      <w:pPr>
        <w:spacing w:after="160" w:line="259" w:lineRule="auto"/>
        <w:contextualSpacing/>
        <w:rPr>
          <w:b/>
        </w:rPr>
      </w:pPr>
    </w:p>
    <w:p w14:paraId="5E162C5A" w14:textId="77777777" w:rsidR="008A3A4C" w:rsidRDefault="008A3A4C" w:rsidP="00D3788B">
      <w:pPr>
        <w:spacing w:after="160" w:line="259" w:lineRule="auto"/>
        <w:contextualSpacing/>
        <w:rPr>
          <w:b/>
        </w:rPr>
      </w:pPr>
    </w:p>
    <w:p w14:paraId="13B05FF3" w14:textId="77777777" w:rsidR="008A3A4C" w:rsidRDefault="008A3A4C" w:rsidP="00D3788B">
      <w:pPr>
        <w:spacing w:after="160" w:line="259" w:lineRule="auto"/>
        <w:contextualSpacing/>
        <w:rPr>
          <w:b/>
        </w:rPr>
      </w:pPr>
    </w:p>
    <w:p w14:paraId="705DAC4A" w14:textId="77777777" w:rsidR="008A3A4C" w:rsidRDefault="008A3A4C" w:rsidP="00D3788B">
      <w:pPr>
        <w:spacing w:after="160" w:line="259" w:lineRule="auto"/>
        <w:contextualSpacing/>
        <w:rPr>
          <w:b/>
        </w:rPr>
      </w:pPr>
    </w:p>
    <w:p w14:paraId="54A789DE" w14:textId="77777777" w:rsidR="008A3A4C" w:rsidRDefault="008A3A4C" w:rsidP="00D3788B">
      <w:pPr>
        <w:spacing w:after="160" w:line="259" w:lineRule="auto"/>
        <w:contextualSpacing/>
        <w:rPr>
          <w:b/>
        </w:rPr>
      </w:pPr>
    </w:p>
    <w:p w14:paraId="59E032F5" w14:textId="77777777" w:rsidR="00AF0E10" w:rsidRDefault="003422EC" w:rsidP="00D3788B">
      <w:pPr>
        <w:spacing w:after="160" w:line="259" w:lineRule="auto"/>
        <w:contextualSpacing/>
        <w:rPr>
          <w:b/>
        </w:rPr>
      </w:pPr>
      <w:r w:rsidRPr="00D3788B">
        <w:rPr>
          <w:b/>
        </w:rPr>
        <w:t xml:space="preserve">Age Well </w:t>
      </w:r>
    </w:p>
    <w:p w14:paraId="090FB9CC" w14:textId="77777777" w:rsidR="005E38F9" w:rsidRPr="005E38F9" w:rsidRDefault="005E38F9" w:rsidP="00D3788B">
      <w:pPr>
        <w:spacing w:after="160" w:line="259" w:lineRule="auto"/>
        <w:contextualSpacing/>
        <w:rPr>
          <w:rFonts w:eastAsiaTheme="minorHAnsi" w:cs="Arial"/>
          <w:sz w:val="16"/>
          <w:szCs w:val="16"/>
          <w:lang w:eastAsia="en-US"/>
        </w:rPr>
      </w:pPr>
      <w:r w:rsidRPr="005E38F9">
        <w:rPr>
          <w:sz w:val="16"/>
          <w:szCs w:val="16"/>
        </w:rPr>
        <w:t>Note: ASCOF refers to the Adult Social Care Outcomes Framework which is a suite of national performance indicators.</w:t>
      </w:r>
    </w:p>
    <w:tbl>
      <w:tblPr>
        <w:tblW w:w="5709" w:type="pct"/>
        <w:tblLayout w:type="fixed"/>
        <w:tblLook w:val="04A0" w:firstRow="1" w:lastRow="0" w:firstColumn="1" w:lastColumn="0" w:noHBand="0" w:noVBand="1"/>
      </w:tblPr>
      <w:tblGrid>
        <w:gridCol w:w="5339"/>
        <w:gridCol w:w="853"/>
        <w:gridCol w:w="1040"/>
        <w:gridCol w:w="1083"/>
        <w:gridCol w:w="1135"/>
        <w:gridCol w:w="846"/>
      </w:tblGrid>
      <w:tr w:rsidR="00824915" w:rsidRPr="00151242" w14:paraId="5C07B433" w14:textId="77777777" w:rsidTr="00A71235">
        <w:trPr>
          <w:trHeight w:val="1028"/>
          <w:tblHeader/>
        </w:trPr>
        <w:tc>
          <w:tcPr>
            <w:tcW w:w="2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783F4" w14:textId="77777777" w:rsidR="00151242" w:rsidRPr="005E38F9" w:rsidRDefault="00151242" w:rsidP="00151242">
            <w:pPr>
              <w:jc w:val="center"/>
              <w:rPr>
                <w:rFonts w:cs="Arial"/>
                <w:b/>
                <w:bCs/>
                <w:color w:val="000000"/>
                <w:sz w:val="20"/>
              </w:rPr>
            </w:pPr>
            <w:r w:rsidRPr="005E38F9">
              <w:rPr>
                <w:rFonts w:cs="Arial"/>
                <w:b/>
                <w:bCs/>
                <w:color w:val="000000"/>
                <w:sz w:val="20"/>
              </w:rPr>
              <w:t>Performance Indicator</w:t>
            </w:r>
          </w:p>
        </w:tc>
        <w:tc>
          <w:tcPr>
            <w:tcW w:w="41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6DEE00" w14:textId="77777777" w:rsidR="00151242" w:rsidRPr="005E38F9" w:rsidRDefault="00151242" w:rsidP="00151242">
            <w:pPr>
              <w:jc w:val="center"/>
              <w:rPr>
                <w:rFonts w:cs="Arial"/>
                <w:b/>
                <w:bCs/>
                <w:color w:val="000000"/>
                <w:sz w:val="20"/>
              </w:rPr>
            </w:pPr>
            <w:r w:rsidRPr="005E38F9">
              <w:rPr>
                <w:rFonts w:cs="Arial"/>
                <w:b/>
                <w:bCs/>
                <w:color w:val="000000"/>
                <w:sz w:val="20"/>
              </w:rPr>
              <w:t>Good is: H/L</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03EFB" w14:textId="77777777" w:rsidR="00151242" w:rsidRPr="005E38F9" w:rsidRDefault="00151242" w:rsidP="00151242">
            <w:pPr>
              <w:jc w:val="center"/>
              <w:rPr>
                <w:rFonts w:cs="Arial"/>
                <w:b/>
                <w:bCs/>
                <w:color w:val="000000"/>
                <w:sz w:val="20"/>
              </w:rPr>
            </w:pPr>
            <w:r w:rsidRPr="005E38F9">
              <w:rPr>
                <w:rFonts w:cs="Arial"/>
                <w:b/>
                <w:bCs/>
                <w:color w:val="000000"/>
                <w:sz w:val="20"/>
              </w:rPr>
              <w:t>Q1 2017/18</w:t>
            </w: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CF9E1" w14:textId="77777777" w:rsidR="00151242" w:rsidRPr="005E38F9" w:rsidRDefault="00151242" w:rsidP="00151242">
            <w:pPr>
              <w:jc w:val="center"/>
              <w:rPr>
                <w:rFonts w:cs="Arial"/>
                <w:b/>
                <w:bCs/>
                <w:color w:val="000000"/>
                <w:sz w:val="20"/>
              </w:rPr>
            </w:pPr>
            <w:r w:rsidRPr="005E38F9">
              <w:rPr>
                <w:rFonts w:cs="Arial"/>
                <w:b/>
                <w:bCs/>
                <w:color w:val="000000"/>
                <w:sz w:val="20"/>
              </w:rPr>
              <w:t>Q2 2017/18</w:t>
            </w:r>
          </w:p>
        </w:tc>
        <w:tc>
          <w:tcPr>
            <w:tcW w:w="55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5AE649" w14:textId="77777777" w:rsidR="00151242" w:rsidRPr="005E38F9" w:rsidRDefault="00151242" w:rsidP="00151242">
            <w:pPr>
              <w:jc w:val="center"/>
              <w:rPr>
                <w:rFonts w:cs="Arial"/>
                <w:b/>
                <w:bCs/>
                <w:color w:val="000000"/>
                <w:sz w:val="20"/>
              </w:rPr>
            </w:pPr>
            <w:r w:rsidRPr="005E38F9">
              <w:rPr>
                <w:rFonts w:cs="Arial"/>
                <w:b/>
                <w:bCs/>
                <w:color w:val="000000"/>
                <w:sz w:val="20"/>
              </w:rPr>
              <w:t>Q3 2017/18</w:t>
            </w:r>
          </w:p>
        </w:tc>
        <w:tc>
          <w:tcPr>
            <w:tcW w:w="41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D41452D" w14:textId="77777777" w:rsidR="00151242" w:rsidRPr="005E38F9" w:rsidRDefault="00A71235" w:rsidP="00151242">
            <w:pPr>
              <w:jc w:val="center"/>
              <w:rPr>
                <w:rFonts w:cs="Arial"/>
                <w:b/>
                <w:bCs/>
                <w:color w:val="000000"/>
                <w:sz w:val="20"/>
              </w:rPr>
            </w:pPr>
            <w:proofErr w:type="spellStart"/>
            <w:r>
              <w:rPr>
                <w:rFonts w:cs="Arial"/>
                <w:b/>
                <w:bCs/>
                <w:color w:val="000000"/>
                <w:sz w:val="20"/>
              </w:rPr>
              <w:t>Eng</w:t>
            </w:r>
            <w:proofErr w:type="spellEnd"/>
            <w:r>
              <w:rPr>
                <w:rFonts w:cs="Arial"/>
                <w:b/>
                <w:bCs/>
                <w:color w:val="000000"/>
                <w:sz w:val="20"/>
              </w:rPr>
              <w:t xml:space="preserve"> Av</w:t>
            </w:r>
          </w:p>
        </w:tc>
      </w:tr>
      <w:tr w:rsidR="005E38F9" w:rsidRPr="00151242" w14:paraId="3CFFA17D" w14:textId="77777777" w:rsidTr="00F8218F">
        <w:trPr>
          <w:trHeight w:val="36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8F51A" w14:textId="77777777" w:rsidR="005E38F9" w:rsidRPr="005E38F9" w:rsidRDefault="005E38F9" w:rsidP="00151242">
            <w:pPr>
              <w:jc w:val="center"/>
              <w:rPr>
                <w:rFonts w:cs="Arial"/>
                <w:b/>
                <w:bCs/>
                <w:color w:val="000000"/>
                <w:sz w:val="20"/>
              </w:rPr>
            </w:pPr>
            <w:r w:rsidRPr="005E38F9">
              <w:rPr>
                <w:rFonts w:cs="Arial"/>
                <w:b/>
                <w:bCs/>
                <w:color w:val="000000"/>
                <w:sz w:val="20"/>
              </w:rPr>
              <w:t>Adult social care - personalisation</w:t>
            </w:r>
          </w:p>
        </w:tc>
      </w:tr>
      <w:tr w:rsidR="00824915" w:rsidRPr="00151242" w14:paraId="1A96DB00" w14:textId="77777777" w:rsidTr="00E04831">
        <w:trPr>
          <w:trHeight w:val="510"/>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35E31758" w14:textId="77777777" w:rsidR="00151242" w:rsidRPr="005E38F9" w:rsidRDefault="00151242" w:rsidP="00151242">
            <w:pPr>
              <w:rPr>
                <w:rFonts w:cs="Arial"/>
                <w:color w:val="000000"/>
                <w:sz w:val="20"/>
              </w:rPr>
            </w:pPr>
            <w:r w:rsidRPr="005E38F9">
              <w:rPr>
                <w:rFonts w:cs="Arial"/>
                <w:color w:val="000000"/>
                <w:sz w:val="20"/>
              </w:rPr>
              <w:t xml:space="preserve">Adults aged over 18 receiving self-directed support </w:t>
            </w:r>
            <w:r w:rsidR="00A71235">
              <w:rPr>
                <w:rFonts w:cs="Arial"/>
                <w:color w:val="000000"/>
                <w:sz w:val="20"/>
              </w:rPr>
              <w:t xml:space="preserve">(personal budgets) </w:t>
            </w:r>
            <w:r w:rsidRPr="005E38F9">
              <w:rPr>
                <w:rFonts w:cs="Arial"/>
                <w:color w:val="000000"/>
                <w:sz w:val="20"/>
              </w:rPr>
              <w:t>(ASCOF)</w:t>
            </w:r>
          </w:p>
        </w:tc>
        <w:tc>
          <w:tcPr>
            <w:tcW w:w="414" w:type="pct"/>
            <w:tcBorders>
              <w:top w:val="nil"/>
              <w:left w:val="nil"/>
              <w:bottom w:val="single" w:sz="4" w:space="0" w:color="auto"/>
              <w:right w:val="single" w:sz="4" w:space="0" w:color="auto"/>
            </w:tcBorders>
            <w:shd w:val="clear" w:color="auto" w:fill="auto"/>
            <w:vAlign w:val="center"/>
            <w:hideMark/>
          </w:tcPr>
          <w:p w14:paraId="64036A20" w14:textId="77777777" w:rsidR="00151242" w:rsidRPr="005E38F9" w:rsidRDefault="00151242" w:rsidP="00824915">
            <w:pPr>
              <w:jc w:val="center"/>
              <w:rPr>
                <w:rFonts w:cs="Arial"/>
                <w:color w:val="000000"/>
                <w:sz w:val="20"/>
              </w:rPr>
            </w:pPr>
            <w:r w:rsidRPr="005E38F9">
              <w:rPr>
                <w:rFonts w:eastAsiaTheme="minorEastAsia"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720B41B0"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78.4%</w:t>
            </w:r>
          </w:p>
        </w:tc>
        <w:tc>
          <w:tcPr>
            <w:tcW w:w="526" w:type="pct"/>
            <w:tcBorders>
              <w:top w:val="nil"/>
              <w:left w:val="single" w:sz="4" w:space="0" w:color="auto"/>
              <w:bottom w:val="single" w:sz="4" w:space="0" w:color="auto"/>
              <w:right w:val="single" w:sz="4" w:space="0" w:color="auto"/>
            </w:tcBorders>
            <w:vAlign w:val="center"/>
          </w:tcPr>
          <w:p w14:paraId="34E3E4A4"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HAnsi" w:cs="Arial"/>
                <w:bCs/>
                <w:color w:val="000000"/>
                <w:sz w:val="20"/>
                <w:lang w:eastAsia="en-US"/>
              </w:rPr>
              <w:t>78.0%</w:t>
            </w:r>
          </w:p>
        </w:tc>
        <w:tc>
          <w:tcPr>
            <w:tcW w:w="551" w:type="pct"/>
            <w:tcBorders>
              <w:top w:val="nil"/>
              <w:left w:val="nil"/>
              <w:bottom w:val="single" w:sz="4" w:space="0" w:color="auto"/>
              <w:right w:val="single" w:sz="4" w:space="0" w:color="auto"/>
            </w:tcBorders>
            <w:shd w:val="clear" w:color="auto" w:fill="F7CAAC" w:themeFill="accent2" w:themeFillTint="66"/>
            <w:vAlign w:val="center"/>
            <w:hideMark/>
          </w:tcPr>
          <w:p w14:paraId="25C72A0B"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77.3%</w:t>
            </w:r>
          </w:p>
        </w:tc>
        <w:tc>
          <w:tcPr>
            <w:tcW w:w="411" w:type="pct"/>
            <w:tcBorders>
              <w:top w:val="nil"/>
              <w:left w:val="nil"/>
              <w:bottom w:val="single" w:sz="4" w:space="0" w:color="auto"/>
              <w:right w:val="single" w:sz="4" w:space="0" w:color="auto"/>
            </w:tcBorders>
            <w:vAlign w:val="center"/>
          </w:tcPr>
          <w:p w14:paraId="64A49FE4"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89.4%</w:t>
            </w:r>
          </w:p>
        </w:tc>
      </w:tr>
      <w:tr w:rsidR="00824915" w:rsidRPr="00151242" w14:paraId="74D14576" w14:textId="77777777" w:rsidTr="00E04831">
        <w:trPr>
          <w:trHeight w:val="300"/>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285C5B6E" w14:textId="77777777" w:rsidR="00151242" w:rsidRPr="005E38F9" w:rsidRDefault="00151242" w:rsidP="00151242">
            <w:pPr>
              <w:rPr>
                <w:rFonts w:cs="Arial"/>
                <w:color w:val="000000"/>
                <w:sz w:val="20"/>
              </w:rPr>
            </w:pPr>
            <w:r w:rsidRPr="005E38F9">
              <w:rPr>
                <w:rFonts w:cs="Arial"/>
                <w:color w:val="000000"/>
                <w:sz w:val="20"/>
              </w:rPr>
              <w:t xml:space="preserve">Adults receiving direct payments  (ASCOF) </w:t>
            </w:r>
          </w:p>
        </w:tc>
        <w:tc>
          <w:tcPr>
            <w:tcW w:w="414" w:type="pct"/>
            <w:tcBorders>
              <w:top w:val="nil"/>
              <w:left w:val="nil"/>
              <w:bottom w:val="single" w:sz="4" w:space="0" w:color="auto"/>
              <w:right w:val="single" w:sz="4" w:space="0" w:color="auto"/>
            </w:tcBorders>
            <w:shd w:val="clear" w:color="auto" w:fill="auto"/>
            <w:vAlign w:val="center"/>
            <w:hideMark/>
          </w:tcPr>
          <w:p w14:paraId="7A2C48EC" w14:textId="77777777" w:rsidR="00151242" w:rsidRPr="005E38F9" w:rsidRDefault="00151242" w:rsidP="00824915">
            <w:pPr>
              <w:jc w:val="center"/>
              <w:rPr>
                <w:rFonts w:cs="Arial"/>
                <w:color w:val="000000"/>
                <w:sz w:val="20"/>
              </w:rPr>
            </w:pPr>
            <w:r w:rsidRPr="005E38F9">
              <w:rPr>
                <w:rFonts w:eastAsiaTheme="minorEastAsia"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0FF68E42"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23.4%</w:t>
            </w:r>
          </w:p>
        </w:tc>
        <w:tc>
          <w:tcPr>
            <w:tcW w:w="526" w:type="pct"/>
            <w:tcBorders>
              <w:top w:val="nil"/>
              <w:left w:val="single" w:sz="4" w:space="0" w:color="auto"/>
              <w:bottom w:val="single" w:sz="4" w:space="0" w:color="auto"/>
              <w:right w:val="single" w:sz="4" w:space="0" w:color="auto"/>
            </w:tcBorders>
            <w:vAlign w:val="center"/>
          </w:tcPr>
          <w:p w14:paraId="00BC2BA9"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HAnsi" w:cs="Arial"/>
                <w:bCs/>
                <w:color w:val="000000"/>
                <w:sz w:val="20"/>
                <w:lang w:eastAsia="en-US"/>
              </w:rPr>
              <w:t>23.6%</w:t>
            </w:r>
          </w:p>
        </w:tc>
        <w:tc>
          <w:tcPr>
            <w:tcW w:w="551" w:type="pct"/>
            <w:tcBorders>
              <w:top w:val="nil"/>
              <w:left w:val="nil"/>
              <w:bottom w:val="single" w:sz="4" w:space="0" w:color="auto"/>
              <w:right w:val="single" w:sz="4" w:space="0" w:color="auto"/>
            </w:tcBorders>
            <w:shd w:val="clear" w:color="auto" w:fill="F7CAAC" w:themeFill="accent2" w:themeFillTint="66"/>
            <w:vAlign w:val="center"/>
            <w:hideMark/>
          </w:tcPr>
          <w:p w14:paraId="4DE38FEA"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24.0%</w:t>
            </w:r>
          </w:p>
        </w:tc>
        <w:tc>
          <w:tcPr>
            <w:tcW w:w="411" w:type="pct"/>
            <w:tcBorders>
              <w:top w:val="nil"/>
              <w:left w:val="nil"/>
              <w:bottom w:val="single" w:sz="4" w:space="0" w:color="auto"/>
              <w:right w:val="single" w:sz="4" w:space="0" w:color="auto"/>
            </w:tcBorders>
            <w:vAlign w:val="center"/>
          </w:tcPr>
          <w:p w14:paraId="2E14F394"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28.3%</w:t>
            </w:r>
          </w:p>
        </w:tc>
      </w:tr>
      <w:tr w:rsidR="005E38F9" w:rsidRPr="00151242" w14:paraId="344A3CEA" w14:textId="77777777" w:rsidTr="00F8218F">
        <w:trPr>
          <w:trHeight w:val="300"/>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1B62B1C3" w14:textId="77777777" w:rsidR="005E38F9" w:rsidRPr="00F8218F" w:rsidRDefault="005E38F9" w:rsidP="00824915">
            <w:pPr>
              <w:spacing w:line="276" w:lineRule="auto"/>
              <w:jc w:val="center"/>
              <w:rPr>
                <w:rFonts w:eastAsiaTheme="minorHAnsi" w:cs="Arial"/>
                <w:b/>
                <w:bCs/>
                <w:color w:val="000000"/>
                <w:sz w:val="20"/>
                <w:lang w:eastAsia="en-US"/>
              </w:rPr>
            </w:pPr>
            <w:r w:rsidRPr="00F8218F">
              <w:rPr>
                <w:rFonts w:cs="Arial"/>
                <w:b/>
                <w:color w:val="000000"/>
                <w:sz w:val="20"/>
              </w:rPr>
              <w:t>Support for carers</w:t>
            </w:r>
          </w:p>
        </w:tc>
      </w:tr>
      <w:tr w:rsidR="00824915" w:rsidRPr="00151242" w14:paraId="41DF1893" w14:textId="77777777" w:rsidTr="00E04831">
        <w:trPr>
          <w:trHeight w:val="480"/>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1F0FA3E4" w14:textId="77777777" w:rsidR="00151242" w:rsidRPr="005E38F9" w:rsidRDefault="00151242" w:rsidP="00151242">
            <w:pPr>
              <w:rPr>
                <w:rFonts w:cs="Arial"/>
                <w:color w:val="000000"/>
                <w:sz w:val="20"/>
              </w:rPr>
            </w:pPr>
            <w:r w:rsidRPr="005E38F9">
              <w:rPr>
                <w:rFonts w:cs="Arial"/>
                <w:color w:val="000000"/>
                <w:sz w:val="20"/>
              </w:rPr>
              <w:t>Carers receiving direct payments for support direct to carer (ASCOF)</w:t>
            </w:r>
          </w:p>
        </w:tc>
        <w:tc>
          <w:tcPr>
            <w:tcW w:w="414" w:type="pct"/>
            <w:tcBorders>
              <w:top w:val="nil"/>
              <w:left w:val="nil"/>
              <w:bottom w:val="single" w:sz="4" w:space="0" w:color="auto"/>
              <w:right w:val="single" w:sz="4" w:space="0" w:color="auto"/>
            </w:tcBorders>
            <w:shd w:val="clear" w:color="auto" w:fill="auto"/>
            <w:vAlign w:val="center"/>
            <w:hideMark/>
          </w:tcPr>
          <w:p w14:paraId="360F3539" w14:textId="77777777" w:rsidR="00151242" w:rsidRPr="005E38F9" w:rsidRDefault="00151242" w:rsidP="00824915">
            <w:pPr>
              <w:jc w:val="center"/>
              <w:rPr>
                <w:rFonts w:cs="Arial"/>
                <w:color w:val="000000"/>
                <w:sz w:val="20"/>
              </w:rPr>
            </w:pPr>
            <w:r w:rsidRPr="005E38F9">
              <w:rPr>
                <w:rFonts w:eastAsiaTheme="minorEastAsia"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0079ABEB"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99.1%</w:t>
            </w:r>
          </w:p>
        </w:tc>
        <w:tc>
          <w:tcPr>
            <w:tcW w:w="526" w:type="pct"/>
            <w:tcBorders>
              <w:top w:val="nil"/>
              <w:left w:val="single" w:sz="4" w:space="0" w:color="auto"/>
              <w:bottom w:val="single" w:sz="4" w:space="0" w:color="auto"/>
              <w:right w:val="single" w:sz="4" w:space="0" w:color="auto"/>
            </w:tcBorders>
            <w:vAlign w:val="center"/>
          </w:tcPr>
          <w:p w14:paraId="56C5128A"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HAnsi" w:cs="Arial"/>
                <w:bCs/>
                <w:color w:val="000000"/>
                <w:sz w:val="20"/>
                <w:lang w:eastAsia="en-US"/>
              </w:rPr>
              <w:t>98.8%</w:t>
            </w:r>
          </w:p>
        </w:tc>
        <w:tc>
          <w:tcPr>
            <w:tcW w:w="551" w:type="pct"/>
            <w:tcBorders>
              <w:top w:val="nil"/>
              <w:left w:val="nil"/>
              <w:bottom w:val="single" w:sz="4" w:space="0" w:color="auto"/>
              <w:right w:val="single" w:sz="4" w:space="0" w:color="auto"/>
            </w:tcBorders>
            <w:shd w:val="clear" w:color="auto" w:fill="C5E0B3" w:themeFill="accent6" w:themeFillTint="66"/>
            <w:vAlign w:val="center"/>
            <w:hideMark/>
          </w:tcPr>
          <w:p w14:paraId="61650C80"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98.7%</w:t>
            </w:r>
          </w:p>
        </w:tc>
        <w:tc>
          <w:tcPr>
            <w:tcW w:w="411" w:type="pct"/>
            <w:tcBorders>
              <w:top w:val="nil"/>
              <w:left w:val="nil"/>
              <w:bottom w:val="single" w:sz="4" w:space="0" w:color="auto"/>
              <w:right w:val="single" w:sz="4" w:space="0" w:color="auto"/>
            </w:tcBorders>
            <w:vAlign w:val="center"/>
          </w:tcPr>
          <w:p w14:paraId="7C9D8408"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74.3%</w:t>
            </w:r>
          </w:p>
        </w:tc>
      </w:tr>
      <w:tr w:rsidR="00824915" w:rsidRPr="00151242" w14:paraId="331675DF" w14:textId="77777777" w:rsidTr="00E04831">
        <w:trPr>
          <w:trHeight w:val="239"/>
        </w:trPr>
        <w:tc>
          <w:tcPr>
            <w:tcW w:w="2593" w:type="pct"/>
            <w:tcBorders>
              <w:top w:val="nil"/>
              <w:left w:val="single" w:sz="4" w:space="0" w:color="auto"/>
              <w:bottom w:val="single" w:sz="4" w:space="0" w:color="auto"/>
              <w:right w:val="single" w:sz="4" w:space="0" w:color="auto"/>
            </w:tcBorders>
            <w:shd w:val="clear" w:color="auto" w:fill="auto"/>
            <w:vAlign w:val="center"/>
          </w:tcPr>
          <w:p w14:paraId="26BE8802" w14:textId="77777777" w:rsidR="00151242" w:rsidRPr="005E38F9" w:rsidRDefault="00151242" w:rsidP="00151242">
            <w:pPr>
              <w:rPr>
                <w:rFonts w:cs="Arial"/>
                <w:color w:val="000000"/>
                <w:sz w:val="20"/>
              </w:rPr>
            </w:pPr>
            <w:r w:rsidRPr="005E38F9">
              <w:rPr>
                <w:rFonts w:cs="Arial"/>
                <w:color w:val="000000"/>
                <w:sz w:val="20"/>
              </w:rPr>
              <w:t>Carer assessments completed</w:t>
            </w:r>
          </w:p>
        </w:tc>
        <w:tc>
          <w:tcPr>
            <w:tcW w:w="414" w:type="pct"/>
            <w:tcBorders>
              <w:top w:val="nil"/>
              <w:left w:val="nil"/>
              <w:bottom w:val="single" w:sz="4" w:space="0" w:color="auto"/>
              <w:right w:val="single" w:sz="4" w:space="0" w:color="auto"/>
            </w:tcBorders>
            <w:shd w:val="clear" w:color="auto" w:fill="auto"/>
            <w:vAlign w:val="center"/>
          </w:tcPr>
          <w:p w14:paraId="76748EF0" w14:textId="77777777" w:rsidR="00151242" w:rsidRPr="005E38F9" w:rsidRDefault="00151242" w:rsidP="00824915">
            <w:pPr>
              <w:jc w:val="center"/>
              <w:rPr>
                <w:rFonts w:eastAsiaTheme="minorEastAsia" w:cs="Arial"/>
                <w:color w:val="000000"/>
                <w:sz w:val="20"/>
              </w:rPr>
            </w:pPr>
            <w:r w:rsidRPr="005E38F9">
              <w:rPr>
                <w:rFonts w:eastAsiaTheme="minorEastAsia"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709C81B3" w14:textId="77777777" w:rsidR="00151242" w:rsidRPr="005E38F9" w:rsidRDefault="00B2490E" w:rsidP="00824915">
            <w:pPr>
              <w:spacing w:line="276" w:lineRule="auto"/>
              <w:jc w:val="center"/>
              <w:rPr>
                <w:rFonts w:eastAsiaTheme="minorHAnsi" w:cs="Arial"/>
                <w:bCs/>
                <w:color w:val="000000"/>
                <w:sz w:val="20"/>
                <w:lang w:eastAsia="en-US"/>
              </w:rPr>
            </w:pPr>
            <w:r>
              <w:rPr>
                <w:rFonts w:eastAsiaTheme="minorHAnsi" w:cs="Arial"/>
                <w:bCs/>
                <w:color w:val="000000"/>
                <w:sz w:val="20"/>
                <w:lang w:eastAsia="en-US"/>
              </w:rPr>
              <w:t>1</w:t>
            </w:r>
            <w:r w:rsidR="00F06DEF">
              <w:rPr>
                <w:rFonts w:eastAsiaTheme="minorHAnsi" w:cs="Arial"/>
                <w:bCs/>
                <w:color w:val="000000"/>
                <w:sz w:val="20"/>
                <w:lang w:eastAsia="en-US"/>
              </w:rPr>
              <w:t xml:space="preserve">, </w:t>
            </w:r>
            <w:r>
              <w:rPr>
                <w:rFonts w:eastAsiaTheme="minorHAnsi" w:cs="Arial"/>
                <w:bCs/>
                <w:color w:val="000000"/>
                <w:sz w:val="20"/>
                <w:lang w:eastAsia="en-US"/>
              </w:rPr>
              <w:t>246</w:t>
            </w:r>
          </w:p>
        </w:tc>
        <w:tc>
          <w:tcPr>
            <w:tcW w:w="526" w:type="pct"/>
            <w:tcBorders>
              <w:top w:val="nil"/>
              <w:left w:val="single" w:sz="4" w:space="0" w:color="auto"/>
              <w:bottom w:val="single" w:sz="4" w:space="0" w:color="auto"/>
              <w:right w:val="single" w:sz="4" w:space="0" w:color="auto"/>
            </w:tcBorders>
            <w:vAlign w:val="center"/>
          </w:tcPr>
          <w:p w14:paraId="3F289B40" w14:textId="77777777" w:rsidR="00151242" w:rsidRPr="005E38F9" w:rsidRDefault="00151242"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1,198</w:t>
            </w:r>
          </w:p>
        </w:tc>
        <w:tc>
          <w:tcPr>
            <w:tcW w:w="551" w:type="pct"/>
            <w:tcBorders>
              <w:top w:val="nil"/>
              <w:left w:val="nil"/>
              <w:bottom w:val="single" w:sz="4" w:space="0" w:color="auto"/>
              <w:right w:val="single" w:sz="4" w:space="0" w:color="auto"/>
            </w:tcBorders>
            <w:shd w:val="clear" w:color="auto" w:fill="F7CAAC" w:themeFill="accent2" w:themeFillTint="66"/>
            <w:vAlign w:val="center"/>
          </w:tcPr>
          <w:p w14:paraId="13D8BD65" w14:textId="77777777" w:rsidR="00151242" w:rsidRPr="005E38F9" w:rsidRDefault="00F06DEF" w:rsidP="00824915">
            <w:pPr>
              <w:spacing w:line="276" w:lineRule="auto"/>
              <w:jc w:val="center"/>
              <w:rPr>
                <w:rFonts w:eastAsiaTheme="minorEastAsia" w:cs="Arial"/>
                <w:bCs/>
                <w:color w:val="000000"/>
                <w:sz w:val="20"/>
              </w:rPr>
            </w:pPr>
            <w:r w:rsidRPr="005E38F9">
              <w:rPr>
                <w:rFonts w:eastAsiaTheme="minorEastAsia" w:cs="Arial"/>
                <w:bCs/>
                <w:color w:val="000000"/>
                <w:sz w:val="20"/>
              </w:rPr>
              <w:t>1,170</w:t>
            </w:r>
          </w:p>
        </w:tc>
        <w:tc>
          <w:tcPr>
            <w:tcW w:w="411" w:type="pct"/>
            <w:tcBorders>
              <w:top w:val="nil"/>
              <w:left w:val="nil"/>
              <w:bottom w:val="single" w:sz="4" w:space="0" w:color="auto"/>
              <w:right w:val="single" w:sz="4" w:space="0" w:color="auto"/>
            </w:tcBorders>
            <w:vAlign w:val="center"/>
          </w:tcPr>
          <w:p w14:paraId="7CE688AE" w14:textId="77777777" w:rsidR="00151242" w:rsidRPr="005E38F9" w:rsidRDefault="00587F14" w:rsidP="00824915">
            <w:pPr>
              <w:spacing w:line="276" w:lineRule="auto"/>
              <w:jc w:val="center"/>
              <w:rPr>
                <w:rFonts w:eastAsiaTheme="minorHAnsi" w:cs="Arial"/>
                <w:bCs/>
                <w:color w:val="000000"/>
                <w:sz w:val="20"/>
                <w:lang w:eastAsia="en-US"/>
              </w:rPr>
            </w:pPr>
            <w:r w:rsidRPr="005E38F9">
              <w:rPr>
                <w:rFonts w:eastAsiaTheme="minorHAnsi" w:cs="Arial"/>
                <w:bCs/>
                <w:color w:val="000000"/>
                <w:sz w:val="20"/>
                <w:lang w:eastAsia="en-US"/>
              </w:rPr>
              <w:t>-</w:t>
            </w:r>
          </w:p>
        </w:tc>
      </w:tr>
      <w:tr w:rsidR="005E38F9" w:rsidRPr="00151242" w14:paraId="5156F910" w14:textId="77777777" w:rsidTr="00F8218F">
        <w:trPr>
          <w:trHeight w:val="239"/>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7FB4ACD2" w14:textId="77777777" w:rsidR="005E38F9" w:rsidRPr="00F8218F" w:rsidRDefault="005E38F9" w:rsidP="00824915">
            <w:pPr>
              <w:spacing w:line="276" w:lineRule="auto"/>
              <w:jc w:val="center"/>
              <w:rPr>
                <w:rFonts w:eastAsiaTheme="minorHAnsi" w:cs="Arial"/>
                <w:b/>
                <w:bCs/>
                <w:color w:val="000000"/>
                <w:sz w:val="20"/>
                <w:lang w:eastAsia="en-US"/>
              </w:rPr>
            </w:pPr>
            <w:r w:rsidRPr="00F8218F">
              <w:rPr>
                <w:rFonts w:cs="Arial"/>
                <w:b/>
                <w:color w:val="000000"/>
                <w:sz w:val="20"/>
              </w:rPr>
              <w:t>Support for people with learning disabilities</w:t>
            </w:r>
          </w:p>
        </w:tc>
      </w:tr>
      <w:tr w:rsidR="00824915" w:rsidRPr="00151242" w14:paraId="2B415234" w14:textId="77777777" w:rsidTr="00E04831">
        <w:trPr>
          <w:trHeight w:val="102"/>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109DAF8F" w14:textId="77777777" w:rsidR="00151242" w:rsidRPr="005E38F9" w:rsidRDefault="00151242" w:rsidP="00151242">
            <w:pPr>
              <w:rPr>
                <w:rFonts w:cs="Arial"/>
                <w:color w:val="000000"/>
                <w:sz w:val="20"/>
              </w:rPr>
            </w:pPr>
            <w:r w:rsidRPr="005E38F9">
              <w:rPr>
                <w:rFonts w:cs="Arial"/>
                <w:color w:val="000000"/>
                <w:sz w:val="20"/>
              </w:rPr>
              <w:t xml:space="preserve">Proportion of adults with learning disabilities who live in their own home or with their family (ASCOF) </w:t>
            </w:r>
          </w:p>
        </w:tc>
        <w:tc>
          <w:tcPr>
            <w:tcW w:w="414" w:type="pct"/>
            <w:tcBorders>
              <w:top w:val="nil"/>
              <w:left w:val="nil"/>
              <w:bottom w:val="single" w:sz="4" w:space="0" w:color="auto"/>
              <w:right w:val="single" w:sz="4" w:space="0" w:color="auto"/>
            </w:tcBorders>
            <w:shd w:val="clear" w:color="auto" w:fill="auto"/>
            <w:vAlign w:val="center"/>
            <w:hideMark/>
          </w:tcPr>
          <w:p w14:paraId="0C64C523" w14:textId="77777777" w:rsidR="00151242" w:rsidRPr="005E38F9" w:rsidRDefault="00151242" w:rsidP="00824915">
            <w:pPr>
              <w:jc w:val="center"/>
              <w:rPr>
                <w:rFonts w:cs="Arial"/>
                <w:color w:val="000000"/>
                <w:sz w:val="20"/>
              </w:rPr>
            </w:pPr>
            <w:r w:rsidRPr="005E38F9">
              <w:rPr>
                <w:rFonts w:eastAsiaTheme="minorEastAsia"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10EB8E6F"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80.2%</w:t>
            </w:r>
          </w:p>
        </w:tc>
        <w:tc>
          <w:tcPr>
            <w:tcW w:w="526" w:type="pct"/>
            <w:tcBorders>
              <w:top w:val="nil"/>
              <w:left w:val="single" w:sz="4" w:space="0" w:color="auto"/>
              <w:bottom w:val="single" w:sz="4" w:space="0" w:color="auto"/>
              <w:right w:val="single" w:sz="4" w:space="0" w:color="auto"/>
            </w:tcBorders>
            <w:vAlign w:val="center"/>
          </w:tcPr>
          <w:p w14:paraId="37C3ED13"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83.0%</w:t>
            </w:r>
          </w:p>
        </w:tc>
        <w:tc>
          <w:tcPr>
            <w:tcW w:w="551" w:type="pct"/>
            <w:tcBorders>
              <w:top w:val="nil"/>
              <w:left w:val="nil"/>
              <w:bottom w:val="single" w:sz="4" w:space="0" w:color="auto"/>
              <w:right w:val="single" w:sz="4" w:space="0" w:color="auto"/>
            </w:tcBorders>
            <w:shd w:val="clear" w:color="auto" w:fill="C5E0B3" w:themeFill="accent6" w:themeFillTint="66"/>
            <w:vAlign w:val="center"/>
            <w:hideMark/>
          </w:tcPr>
          <w:p w14:paraId="726AC6F1"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82.5%</w:t>
            </w:r>
          </w:p>
        </w:tc>
        <w:tc>
          <w:tcPr>
            <w:tcW w:w="411" w:type="pct"/>
            <w:tcBorders>
              <w:top w:val="nil"/>
              <w:left w:val="nil"/>
              <w:bottom w:val="single" w:sz="4" w:space="0" w:color="auto"/>
              <w:right w:val="single" w:sz="4" w:space="0" w:color="auto"/>
            </w:tcBorders>
            <w:vAlign w:val="center"/>
          </w:tcPr>
          <w:p w14:paraId="055F11FA" w14:textId="77777777" w:rsidR="00151242" w:rsidRPr="005E38F9" w:rsidRDefault="00151242" w:rsidP="00824915">
            <w:pPr>
              <w:spacing w:line="276" w:lineRule="auto"/>
              <w:jc w:val="center"/>
              <w:rPr>
                <w:rFonts w:eastAsiaTheme="minorEastAsia" w:cs="Arial"/>
                <w:bCs/>
                <w:color w:val="000000"/>
                <w:sz w:val="20"/>
              </w:rPr>
            </w:pPr>
            <w:r w:rsidRPr="005E38F9">
              <w:rPr>
                <w:rFonts w:eastAsiaTheme="minorEastAsia" w:cs="Arial"/>
                <w:bCs/>
                <w:color w:val="000000"/>
                <w:sz w:val="20"/>
              </w:rPr>
              <w:t>76.2%</w:t>
            </w:r>
          </w:p>
        </w:tc>
      </w:tr>
      <w:tr w:rsidR="005E38F9" w:rsidRPr="00151242" w14:paraId="5C9512FB" w14:textId="77777777" w:rsidTr="00F8218F">
        <w:trPr>
          <w:trHeight w:val="102"/>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3FB5914" w14:textId="77777777" w:rsidR="005E38F9" w:rsidRPr="00F8218F" w:rsidRDefault="005E38F9" w:rsidP="00824915">
            <w:pPr>
              <w:spacing w:line="276" w:lineRule="auto"/>
              <w:jc w:val="center"/>
              <w:rPr>
                <w:rFonts w:eastAsiaTheme="minorEastAsia" w:cs="Arial"/>
                <w:b/>
                <w:bCs/>
                <w:color w:val="000000"/>
                <w:sz w:val="20"/>
              </w:rPr>
            </w:pPr>
            <w:r w:rsidRPr="00F8218F">
              <w:rPr>
                <w:rFonts w:eastAsiaTheme="minorEastAsia" w:cs="Arial"/>
                <w:b/>
                <w:bCs/>
                <w:color w:val="000000"/>
                <w:sz w:val="20"/>
              </w:rPr>
              <w:t>Support for people to remain independent</w:t>
            </w:r>
          </w:p>
        </w:tc>
      </w:tr>
      <w:tr w:rsidR="00824915" w:rsidRPr="00151242" w14:paraId="37BCC488" w14:textId="77777777" w:rsidTr="00537D19">
        <w:trPr>
          <w:trHeight w:val="70"/>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5E06024B" w14:textId="77777777" w:rsidR="00151242" w:rsidRPr="005E38F9" w:rsidRDefault="00151242" w:rsidP="00151242">
            <w:pPr>
              <w:rPr>
                <w:rFonts w:cs="Arial"/>
                <w:color w:val="000000"/>
                <w:sz w:val="20"/>
              </w:rPr>
            </w:pPr>
            <w:r w:rsidRPr="005E38F9">
              <w:rPr>
                <w:rFonts w:cs="Arial"/>
                <w:color w:val="000000"/>
                <w:sz w:val="20"/>
              </w:rPr>
              <w:t>Permanent admissions to residential and nursing care homes per 100,000 pop aged 18-64 (ASCOF)</w:t>
            </w:r>
          </w:p>
        </w:tc>
        <w:tc>
          <w:tcPr>
            <w:tcW w:w="414" w:type="pct"/>
            <w:tcBorders>
              <w:top w:val="nil"/>
              <w:left w:val="nil"/>
              <w:bottom w:val="single" w:sz="4" w:space="0" w:color="auto"/>
              <w:right w:val="single" w:sz="4" w:space="0" w:color="auto"/>
            </w:tcBorders>
            <w:shd w:val="clear" w:color="auto" w:fill="auto"/>
            <w:vAlign w:val="center"/>
            <w:hideMark/>
          </w:tcPr>
          <w:p w14:paraId="2792F2A8" w14:textId="77777777" w:rsidR="00151242" w:rsidRPr="005E38F9" w:rsidRDefault="00151242" w:rsidP="00824915">
            <w:pPr>
              <w:jc w:val="center"/>
              <w:rPr>
                <w:rFonts w:cs="Arial"/>
                <w:color w:val="000000"/>
                <w:sz w:val="20"/>
              </w:rPr>
            </w:pPr>
            <w:r w:rsidRPr="005E38F9">
              <w:rPr>
                <w:rFonts w:eastAsiaTheme="minorEastAsia" w:cs="Arial"/>
                <w:color w:val="000000"/>
                <w:sz w:val="20"/>
              </w:rPr>
              <w:t>L</w:t>
            </w:r>
          </w:p>
        </w:tc>
        <w:tc>
          <w:tcPr>
            <w:tcW w:w="505" w:type="pct"/>
            <w:tcBorders>
              <w:top w:val="nil"/>
              <w:left w:val="single" w:sz="4" w:space="0" w:color="auto"/>
              <w:bottom w:val="single" w:sz="4" w:space="0" w:color="auto"/>
              <w:right w:val="single" w:sz="4" w:space="0" w:color="auto"/>
            </w:tcBorders>
            <w:vAlign w:val="center"/>
          </w:tcPr>
          <w:p w14:paraId="4B73D0BA"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19.6</w:t>
            </w:r>
          </w:p>
        </w:tc>
        <w:tc>
          <w:tcPr>
            <w:tcW w:w="526" w:type="pct"/>
            <w:tcBorders>
              <w:top w:val="nil"/>
              <w:left w:val="single" w:sz="4" w:space="0" w:color="auto"/>
              <w:bottom w:val="single" w:sz="4" w:space="0" w:color="auto"/>
              <w:right w:val="single" w:sz="4" w:space="0" w:color="auto"/>
            </w:tcBorders>
            <w:vAlign w:val="center"/>
          </w:tcPr>
          <w:p w14:paraId="351B442A"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18.6</w:t>
            </w:r>
          </w:p>
        </w:tc>
        <w:tc>
          <w:tcPr>
            <w:tcW w:w="551" w:type="pct"/>
            <w:tcBorders>
              <w:top w:val="nil"/>
              <w:left w:val="nil"/>
              <w:bottom w:val="single" w:sz="4" w:space="0" w:color="auto"/>
              <w:right w:val="single" w:sz="4" w:space="0" w:color="auto"/>
            </w:tcBorders>
            <w:shd w:val="clear" w:color="auto" w:fill="E6B8B7"/>
            <w:vAlign w:val="center"/>
            <w:hideMark/>
          </w:tcPr>
          <w:p w14:paraId="7212DBDE" w14:textId="77777777" w:rsidR="00151242" w:rsidRPr="00A21B01" w:rsidRDefault="00151242" w:rsidP="00E04831">
            <w:pPr>
              <w:jc w:val="center"/>
              <w:rPr>
                <w:rFonts w:eastAsiaTheme="minorEastAsia" w:cs="Arial"/>
                <w:bCs/>
                <w:color w:val="000000"/>
                <w:sz w:val="20"/>
              </w:rPr>
            </w:pPr>
            <w:r w:rsidRPr="00A21B01">
              <w:rPr>
                <w:rFonts w:eastAsiaTheme="minorHAnsi" w:cs="Arial"/>
                <w:sz w:val="20"/>
              </w:rPr>
              <w:t>17</w:t>
            </w:r>
            <w:r w:rsidRPr="00A21B01">
              <w:rPr>
                <w:rFonts w:eastAsiaTheme="minorEastAsia" w:cs="Arial"/>
                <w:bCs/>
                <w:color w:val="000000"/>
                <w:sz w:val="20"/>
              </w:rPr>
              <w:t>.0</w:t>
            </w:r>
          </w:p>
        </w:tc>
        <w:tc>
          <w:tcPr>
            <w:tcW w:w="411" w:type="pct"/>
            <w:tcBorders>
              <w:top w:val="nil"/>
              <w:left w:val="nil"/>
              <w:bottom w:val="single" w:sz="4" w:space="0" w:color="auto"/>
              <w:right w:val="single" w:sz="4" w:space="0" w:color="auto"/>
            </w:tcBorders>
            <w:vAlign w:val="center"/>
          </w:tcPr>
          <w:p w14:paraId="5889C0F8" w14:textId="77777777" w:rsidR="00151242" w:rsidRPr="005E38F9" w:rsidRDefault="00824915"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12.8</w:t>
            </w:r>
          </w:p>
        </w:tc>
      </w:tr>
      <w:tr w:rsidR="00824915" w:rsidRPr="00151242" w14:paraId="43E06865" w14:textId="77777777" w:rsidTr="00537D19">
        <w:trPr>
          <w:trHeight w:val="510"/>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5FCC7876" w14:textId="77777777" w:rsidR="00151242" w:rsidRPr="005E38F9" w:rsidRDefault="00151242" w:rsidP="00151242">
            <w:pPr>
              <w:rPr>
                <w:rFonts w:cs="Arial"/>
                <w:color w:val="000000"/>
                <w:sz w:val="20"/>
              </w:rPr>
            </w:pPr>
            <w:r w:rsidRPr="005E38F9">
              <w:rPr>
                <w:rFonts w:cs="Arial"/>
                <w:color w:val="000000"/>
                <w:sz w:val="20"/>
              </w:rPr>
              <w:t xml:space="preserve">Permanent admissions to residential and nursing care homes per 100,000 pop aged 65+ (ASCOF)  </w:t>
            </w:r>
          </w:p>
        </w:tc>
        <w:tc>
          <w:tcPr>
            <w:tcW w:w="414" w:type="pct"/>
            <w:tcBorders>
              <w:top w:val="nil"/>
              <w:left w:val="nil"/>
              <w:bottom w:val="single" w:sz="4" w:space="0" w:color="auto"/>
              <w:right w:val="single" w:sz="4" w:space="0" w:color="auto"/>
            </w:tcBorders>
            <w:shd w:val="clear" w:color="auto" w:fill="auto"/>
            <w:vAlign w:val="center"/>
            <w:hideMark/>
          </w:tcPr>
          <w:p w14:paraId="423625A7" w14:textId="77777777" w:rsidR="00151242" w:rsidRPr="005E38F9" w:rsidRDefault="00151242" w:rsidP="00824915">
            <w:pPr>
              <w:jc w:val="center"/>
              <w:rPr>
                <w:rFonts w:cs="Arial"/>
                <w:color w:val="000000"/>
                <w:sz w:val="20"/>
              </w:rPr>
            </w:pPr>
            <w:r w:rsidRPr="005E38F9">
              <w:rPr>
                <w:rFonts w:eastAsiaTheme="minorEastAsia" w:cs="Arial"/>
                <w:color w:val="000000"/>
                <w:sz w:val="20"/>
              </w:rPr>
              <w:t>L</w:t>
            </w:r>
          </w:p>
        </w:tc>
        <w:tc>
          <w:tcPr>
            <w:tcW w:w="505" w:type="pct"/>
            <w:tcBorders>
              <w:top w:val="nil"/>
              <w:left w:val="single" w:sz="4" w:space="0" w:color="auto"/>
              <w:bottom w:val="single" w:sz="4" w:space="0" w:color="auto"/>
              <w:right w:val="single" w:sz="4" w:space="0" w:color="auto"/>
            </w:tcBorders>
            <w:vAlign w:val="center"/>
          </w:tcPr>
          <w:p w14:paraId="324F48E4" w14:textId="77777777" w:rsidR="00151242" w:rsidRPr="005E38F9" w:rsidRDefault="00824915"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782.4</w:t>
            </w:r>
          </w:p>
        </w:tc>
        <w:tc>
          <w:tcPr>
            <w:tcW w:w="526" w:type="pct"/>
            <w:tcBorders>
              <w:top w:val="nil"/>
              <w:left w:val="single" w:sz="4" w:space="0" w:color="auto"/>
              <w:bottom w:val="single" w:sz="4" w:space="0" w:color="auto"/>
              <w:right w:val="single" w:sz="4" w:space="0" w:color="auto"/>
            </w:tcBorders>
            <w:vAlign w:val="center"/>
          </w:tcPr>
          <w:p w14:paraId="26AC28C6"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778.2</w:t>
            </w:r>
          </w:p>
        </w:tc>
        <w:tc>
          <w:tcPr>
            <w:tcW w:w="551" w:type="pct"/>
            <w:tcBorders>
              <w:top w:val="nil"/>
              <w:left w:val="nil"/>
              <w:bottom w:val="single" w:sz="4" w:space="0" w:color="auto"/>
              <w:right w:val="single" w:sz="4" w:space="0" w:color="auto"/>
            </w:tcBorders>
            <w:shd w:val="clear" w:color="auto" w:fill="E6B8B7"/>
            <w:vAlign w:val="center"/>
            <w:hideMark/>
          </w:tcPr>
          <w:p w14:paraId="35A4F485"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734.2</w:t>
            </w:r>
          </w:p>
        </w:tc>
        <w:tc>
          <w:tcPr>
            <w:tcW w:w="411" w:type="pct"/>
            <w:tcBorders>
              <w:top w:val="nil"/>
              <w:left w:val="nil"/>
              <w:bottom w:val="single" w:sz="4" w:space="0" w:color="auto"/>
              <w:right w:val="single" w:sz="4" w:space="0" w:color="auto"/>
            </w:tcBorders>
            <w:vAlign w:val="center"/>
          </w:tcPr>
          <w:p w14:paraId="14455BD3" w14:textId="77777777" w:rsidR="00151242" w:rsidRPr="005E38F9" w:rsidRDefault="00824915"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610.7</w:t>
            </w:r>
          </w:p>
        </w:tc>
      </w:tr>
      <w:tr w:rsidR="00824915" w:rsidRPr="00151242" w14:paraId="73C1D9A7" w14:textId="77777777" w:rsidTr="00537D19">
        <w:trPr>
          <w:trHeight w:val="510"/>
        </w:trPr>
        <w:tc>
          <w:tcPr>
            <w:tcW w:w="2593" w:type="pct"/>
            <w:tcBorders>
              <w:top w:val="nil"/>
              <w:left w:val="single" w:sz="4" w:space="0" w:color="auto"/>
              <w:bottom w:val="single" w:sz="4" w:space="0" w:color="auto"/>
              <w:right w:val="single" w:sz="4" w:space="0" w:color="auto"/>
            </w:tcBorders>
            <w:shd w:val="clear" w:color="auto" w:fill="auto"/>
            <w:vAlign w:val="center"/>
          </w:tcPr>
          <w:p w14:paraId="1311D41E" w14:textId="77777777" w:rsidR="00151242" w:rsidRPr="005E38F9" w:rsidRDefault="00151242" w:rsidP="00151242">
            <w:pPr>
              <w:rPr>
                <w:rFonts w:cs="Arial"/>
                <w:color w:val="000000"/>
                <w:sz w:val="20"/>
              </w:rPr>
            </w:pPr>
            <w:r w:rsidRPr="005E38F9">
              <w:rPr>
                <w:rFonts w:cs="Arial"/>
                <w:color w:val="000000"/>
                <w:sz w:val="20"/>
              </w:rPr>
              <w:lastRenderedPageBreak/>
              <w:t>Number of permanent admissions to residential and nursing care h</w:t>
            </w:r>
            <w:r w:rsidR="00824915" w:rsidRPr="005E38F9">
              <w:rPr>
                <w:rFonts w:cs="Arial"/>
                <w:color w:val="000000"/>
                <w:sz w:val="20"/>
              </w:rPr>
              <w:t xml:space="preserve">omes pop aged 65+ </w:t>
            </w:r>
            <w:r w:rsidR="00A71235">
              <w:rPr>
                <w:rFonts w:cs="Arial"/>
                <w:color w:val="000000"/>
                <w:sz w:val="20"/>
              </w:rPr>
              <w:t>in a rolling year</w:t>
            </w:r>
          </w:p>
        </w:tc>
        <w:tc>
          <w:tcPr>
            <w:tcW w:w="414" w:type="pct"/>
            <w:tcBorders>
              <w:top w:val="nil"/>
              <w:left w:val="nil"/>
              <w:bottom w:val="single" w:sz="4" w:space="0" w:color="auto"/>
              <w:right w:val="single" w:sz="4" w:space="0" w:color="auto"/>
            </w:tcBorders>
            <w:shd w:val="clear" w:color="auto" w:fill="auto"/>
            <w:vAlign w:val="center"/>
          </w:tcPr>
          <w:p w14:paraId="2E034C2E" w14:textId="77777777" w:rsidR="00151242" w:rsidRPr="005E38F9" w:rsidRDefault="00151242" w:rsidP="00824915">
            <w:pPr>
              <w:jc w:val="center"/>
              <w:rPr>
                <w:rFonts w:eastAsiaTheme="minorEastAsia" w:cs="Arial"/>
                <w:color w:val="000000"/>
                <w:sz w:val="20"/>
              </w:rPr>
            </w:pPr>
            <w:r w:rsidRPr="005E38F9">
              <w:rPr>
                <w:rFonts w:eastAsiaTheme="minorEastAsia" w:cs="Arial"/>
                <w:color w:val="000000"/>
                <w:sz w:val="20"/>
              </w:rPr>
              <w:t>L</w:t>
            </w:r>
          </w:p>
        </w:tc>
        <w:tc>
          <w:tcPr>
            <w:tcW w:w="505" w:type="pct"/>
            <w:tcBorders>
              <w:top w:val="nil"/>
              <w:left w:val="single" w:sz="4" w:space="0" w:color="auto"/>
              <w:bottom w:val="single" w:sz="4" w:space="0" w:color="auto"/>
              <w:right w:val="single" w:sz="4" w:space="0" w:color="auto"/>
            </w:tcBorders>
            <w:vAlign w:val="center"/>
          </w:tcPr>
          <w:p w14:paraId="4F8E4CEA" w14:textId="77777777" w:rsidR="00151242" w:rsidRPr="005E38F9" w:rsidRDefault="00824915"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1,892</w:t>
            </w:r>
          </w:p>
        </w:tc>
        <w:tc>
          <w:tcPr>
            <w:tcW w:w="526" w:type="pct"/>
            <w:tcBorders>
              <w:top w:val="nil"/>
              <w:left w:val="single" w:sz="4" w:space="0" w:color="auto"/>
              <w:bottom w:val="single" w:sz="4" w:space="0" w:color="auto"/>
              <w:right w:val="single" w:sz="4" w:space="0" w:color="auto"/>
            </w:tcBorders>
            <w:vAlign w:val="center"/>
          </w:tcPr>
          <w:p w14:paraId="21297C6F"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1,883</w:t>
            </w:r>
          </w:p>
        </w:tc>
        <w:tc>
          <w:tcPr>
            <w:tcW w:w="551" w:type="pct"/>
            <w:tcBorders>
              <w:top w:val="nil"/>
              <w:left w:val="nil"/>
              <w:bottom w:val="single" w:sz="4" w:space="0" w:color="auto"/>
              <w:right w:val="single" w:sz="4" w:space="0" w:color="auto"/>
            </w:tcBorders>
            <w:shd w:val="clear" w:color="auto" w:fill="E6B8B7"/>
            <w:vAlign w:val="center"/>
          </w:tcPr>
          <w:p w14:paraId="4F97767B"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1,826</w:t>
            </w:r>
          </w:p>
        </w:tc>
        <w:tc>
          <w:tcPr>
            <w:tcW w:w="411" w:type="pct"/>
            <w:tcBorders>
              <w:top w:val="nil"/>
              <w:left w:val="nil"/>
              <w:bottom w:val="single" w:sz="4" w:space="0" w:color="auto"/>
              <w:right w:val="single" w:sz="4" w:space="0" w:color="auto"/>
            </w:tcBorders>
            <w:vAlign w:val="center"/>
          </w:tcPr>
          <w:p w14:paraId="00A92374" w14:textId="77777777" w:rsidR="00151242" w:rsidRPr="005E38F9" w:rsidRDefault="00587F14"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w:t>
            </w:r>
          </w:p>
        </w:tc>
      </w:tr>
      <w:tr w:rsidR="00824915" w:rsidRPr="00151242" w14:paraId="44DCA138" w14:textId="77777777" w:rsidTr="00E04831">
        <w:trPr>
          <w:trHeight w:val="374"/>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6EC7C491" w14:textId="77777777" w:rsidR="00151242" w:rsidRPr="005E38F9" w:rsidRDefault="00151242" w:rsidP="00151242">
            <w:pPr>
              <w:rPr>
                <w:rFonts w:cs="Arial"/>
                <w:color w:val="000000"/>
                <w:sz w:val="20"/>
              </w:rPr>
            </w:pPr>
            <w:r w:rsidRPr="005E38F9">
              <w:rPr>
                <w:rFonts w:cs="Arial"/>
                <w:color w:val="000000"/>
                <w:sz w:val="20"/>
              </w:rPr>
              <w:t xml:space="preserve">Number of </w:t>
            </w:r>
            <w:proofErr w:type="spellStart"/>
            <w:r w:rsidRPr="005E38F9">
              <w:rPr>
                <w:rFonts w:cs="Arial"/>
                <w:color w:val="000000"/>
                <w:sz w:val="20"/>
              </w:rPr>
              <w:t>reablement</w:t>
            </w:r>
            <w:proofErr w:type="spellEnd"/>
            <w:r w:rsidRPr="005E38F9">
              <w:rPr>
                <w:rFonts w:cs="Arial"/>
                <w:color w:val="000000"/>
                <w:sz w:val="20"/>
              </w:rPr>
              <w:t xml:space="preserve"> referrals </w:t>
            </w:r>
          </w:p>
        </w:tc>
        <w:tc>
          <w:tcPr>
            <w:tcW w:w="414" w:type="pct"/>
            <w:tcBorders>
              <w:top w:val="nil"/>
              <w:left w:val="nil"/>
              <w:bottom w:val="single" w:sz="4" w:space="0" w:color="auto"/>
              <w:right w:val="single" w:sz="4" w:space="0" w:color="auto"/>
            </w:tcBorders>
            <w:shd w:val="clear" w:color="auto" w:fill="auto"/>
            <w:vAlign w:val="center"/>
          </w:tcPr>
          <w:p w14:paraId="00CCDF72" w14:textId="77777777" w:rsidR="00151242" w:rsidRPr="005E38F9" w:rsidRDefault="00151242" w:rsidP="00824915">
            <w:pPr>
              <w:jc w:val="center"/>
              <w:rPr>
                <w:rFonts w:cs="Arial"/>
                <w:color w:val="000000"/>
                <w:sz w:val="20"/>
              </w:rPr>
            </w:pPr>
            <w:r w:rsidRPr="005E38F9">
              <w:rPr>
                <w:rFonts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4EA4DA20" w14:textId="77777777" w:rsidR="00151242" w:rsidRPr="005E38F9" w:rsidRDefault="00824915" w:rsidP="00806E23">
            <w:pPr>
              <w:jc w:val="center"/>
              <w:rPr>
                <w:rFonts w:eastAsiaTheme="minorEastAsia" w:cs="Arial"/>
                <w:color w:val="000000"/>
                <w:sz w:val="20"/>
              </w:rPr>
            </w:pPr>
            <w:r w:rsidRPr="005E38F9">
              <w:rPr>
                <w:rFonts w:eastAsiaTheme="minorEastAsia" w:cs="Arial"/>
                <w:color w:val="000000"/>
                <w:sz w:val="20"/>
              </w:rPr>
              <w:t>1,492</w:t>
            </w:r>
          </w:p>
        </w:tc>
        <w:tc>
          <w:tcPr>
            <w:tcW w:w="526" w:type="pct"/>
            <w:tcBorders>
              <w:top w:val="nil"/>
              <w:left w:val="single" w:sz="4" w:space="0" w:color="auto"/>
              <w:bottom w:val="single" w:sz="4" w:space="0" w:color="auto"/>
              <w:right w:val="single" w:sz="4" w:space="0" w:color="auto"/>
            </w:tcBorders>
            <w:vAlign w:val="center"/>
          </w:tcPr>
          <w:p w14:paraId="2550E2EE" w14:textId="77777777" w:rsidR="00151242" w:rsidRPr="005E38F9" w:rsidRDefault="00151242" w:rsidP="00806E23">
            <w:pPr>
              <w:jc w:val="center"/>
              <w:rPr>
                <w:rFonts w:eastAsiaTheme="minorEastAsia" w:cs="Arial"/>
                <w:color w:val="000000"/>
                <w:sz w:val="20"/>
              </w:rPr>
            </w:pPr>
            <w:r w:rsidRPr="005E38F9">
              <w:rPr>
                <w:rFonts w:eastAsiaTheme="minorEastAsia" w:cs="Arial"/>
                <w:color w:val="000000"/>
                <w:sz w:val="20"/>
              </w:rPr>
              <w:t>1,827</w:t>
            </w:r>
          </w:p>
        </w:tc>
        <w:tc>
          <w:tcPr>
            <w:tcW w:w="551" w:type="pct"/>
            <w:tcBorders>
              <w:top w:val="nil"/>
              <w:left w:val="nil"/>
              <w:bottom w:val="single" w:sz="4" w:space="0" w:color="auto"/>
              <w:right w:val="single" w:sz="4" w:space="0" w:color="auto"/>
            </w:tcBorders>
            <w:shd w:val="clear" w:color="auto" w:fill="C5E0B3" w:themeFill="accent6" w:themeFillTint="66"/>
            <w:vAlign w:val="center"/>
          </w:tcPr>
          <w:p w14:paraId="2B1E9995" w14:textId="77777777" w:rsidR="00151242" w:rsidRPr="005E38F9" w:rsidRDefault="00151242" w:rsidP="00806E23">
            <w:pPr>
              <w:jc w:val="center"/>
              <w:rPr>
                <w:rFonts w:eastAsiaTheme="minorEastAsia" w:cs="Arial"/>
                <w:bCs/>
                <w:color w:val="000000"/>
                <w:sz w:val="20"/>
              </w:rPr>
            </w:pPr>
            <w:r w:rsidRPr="005E38F9">
              <w:rPr>
                <w:rFonts w:eastAsiaTheme="minorEastAsia" w:cs="Arial"/>
                <w:bCs/>
                <w:color w:val="000000"/>
                <w:sz w:val="20"/>
              </w:rPr>
              <w:t>1,904</w:t>
            </w:r>
          </w:p>
        </w:tc>
        <w:tc>
          <w:tcPr>
            <w:tcW w:w="411" w:type="pct"/>
            <w:tcBorders>
              <w:top w:val="nil"/>
              <w:left w:val="nil"/>
              <w:bottom w:val="single" w:sz="4" w:space="0" w:color="auto"/>
              <w:right w:val="single" w:sz="4" w:space="0" w:color="auto"/>
            </w:tcBorders>
            <w:vAlign w:val="center"/>
          </w:tcPr>
          <w:p w14:paraId="4FF6A9CB" w14:textId="77777777" w:rsidR="00151242" w:rsidRPr="005E38F9" w:rsidRDefault="00587F14" w:rsidP="00806E23">
            <w:pPr>
              <w:jc w:val="center"/>
              <w:rPr>
                <w:rFonts w:eastAsiaTheme="minorEastAsia" w:cs="Arial"/>
                <w:color w:val="000000"/>
                <w:sz w:val="20"/>
              </w:rPr>
            </w:pPr>
            <w:r w:rsidRPr="005E38F9">
              <w:rPr>
                <w:rFonts w:eastAsiaTheme="minorEastAsia" w:cs="Arial"/>
                <w:color w:val="000000"/>
                <w:sz w:val="20"/>
              </w:rPr>
              <w:t>-</w:t>
            </w:r>
          </w:p>
        </w:tc>
      </w:tr>
      <w:tr w:rsidR="00824915" w:rsidRPr="00151242" w14:paraId="43070653" w14:textId="77777777" w:rsidTr="00E04831">
        <w:trPr>
          <w:trHeight w:val="374"/>
        </w:trPr>
        <w:tc>
          <w:tcPr>
            <w:tcW w:w="2593" w:type="pct"/>
            <w:tcBorders>
              <w:top w:val="nil"/>
              <w:left w:val="single" w:sz="4" w:space="0" w:color="auto"/>
              <w:bottom w:val="single" w:sz="4" w:space="0" w:color="auto"/>
              <w:right w:val="single" w:sz="4" w:space="0" w:color="auto"/>
            </w:tcBorders>
            <w:shd w:val="clear" w:color="auto" w:fill="auto"/>
            <w:vAlign w:val="center"/>
          </w:tcPr>
          <w:p w14:paraId="5F21BE54" w14:textId="77777777" w:rsidR="00151242" w:rsidRPr="005E38F9" w:rsidRDefault="00151242" w:rsidP="00151242">
            <w:pPr>
              <w:rPr>
                <w:rFonts w:cs="Arial"/>
                <w:color w:val="000000"/>
                <w:sz w:val="20"/>
              </w:rPr>
            </w:pPr>
            <w:r w:rsidRPr="005E38F9">
              <w:rPr>
                <w:rFonts w:cs="Arial"/>
                <w:color w:val="000000"/>
                <w:sz w:val="20"/>
              </w:rPr>
              <w:t xml:space="preserve">Number of completed </w:t>
            </w:r>
            <w:proofErr w:type="spellStart"/>
            <w:r w:rsidRPr="005E38F9">
              <w:rPr>
                <w:rFonts w:cs="Arial"/>
                <w:color w:val="000000"/>
                <w:sz w:val="20"/>
              </w:rPr>
              <w:t>reablement</w:t>
            </w:r>
            <w:proofErr w:type="spellEnd"/>
            <w:r w:rsidRPr="005E38F9">
              <w:rPr>
                <w:rFonts w:cs="Arial"/>
                <w:color w:val="000000"/>
                <w:sz w:val="20"/>
              </w:rPr>
              <w:t xml:space="preserve"> support plans</w:t>
            </w:r>
          </w:p>
        </w:tc>
        <w:tc>
          <w:tcPr>
            <w:tcW w:w="414" w:type="pct"/>
            <w:tcBorders>
              <w:top w:val="nil"/>
              <w:left w:val="nil"/>
              <w:bottom w:val="single" w:sz="4" w:space="0" w:color="auto"/>
              <w:right w:val="single" w:sz="4" w:space="0" w:color="auto"/>
            </w:tcBorders>
            <w:shd w:val="clear" w:color="auto" w:fill="auto"/>
            <w:vAlign w:val="center"/>
          </w:tcPr>
          <w:p w14:paraId="2C8F8651" w14:textId="77777777" w:rsidR="00151242" w:rsidRPr="005E38F9" w:rsidRDefault="00151242" w:rsidP="00824915">
            <w:pPr>
              <w:jc w:val="center"/>
              <w:rPr>
                <w:rFonts w:cs="Arial"/>
                <w:color w:val="000000"/>
                <w:sz w:val="20"/>
              </w:rPr>
            </w:pPr>
            <w:r w:rsidRPr="005E38F9">
              <w:rPr>
                <w:rFonts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19209730" w14:textId="77777777" w:rsidR="00151242" w:rsidRPr="005E38F9" w:rsidRDefault="00824915" w:rsidP="00806E23">
            <w:pPr>
              <w:jc w:val="center"/>
              <w:rPr>
                <w:rFonts w:eastAsiaTheme="minorEastAsia" w:cs="Arial"/>
                <w:color w:val="000000"/>
                <w:sz w:val="20"/>
              </w:rPr>
            </w:pPr>
            <w:r w:rsidRPr="005E38F9">
              <w:rPr>
                <w:rFonts w:eastAsiaTheme="minorEastAsia" w:cs="Arial"/>
                <w:color w:val="000000"/>
                <w:sz w:val="20"/>
              </w:rPr>
              <w:t>1,486</w:t>
            </w:r>
          </w:p>
        </w:tc>
        <w:tc>
          <w:tcPr>
            <w:tcW w:w="526" w:type="pct"/>
            <w:tcBorders>
              <w:top w:val="nil"/>
              <w:left w:val="single" w:sz="4" w:space="0" w:color="auto"/>
              <w:bottom w:val="single" w:sz="4" w:space="0" w:color="auto"/>
              <w:right w:val="single" w:sz="4" w:space="0" w:color="auto"/>
            </w:tcBorders>
            <w:vAlign w:val="center"/>
          </w:tcPr>
          <w:p w14:paraId="1254C40A" w14:textId="77777777" w:rsidR="00151242" w:rsidRPr="005E38F9" w:rsidRDefault="00151242" w:rsidP="00806E23">
            <w:pPr>
              <w:jc w:val="center"/>
              <w:rPr>
                <w:rFonts w:eastAsiaTheme="minorEastAsia" w:cs="Arial"/>
                <w:color w:val="000000"/>
                <w:sz w:val="20"/>
              </w:rPr>
            </w:pPr>
            <w:r w:rsidRPr="005E38F9">
              <w:rPr>
                <w:rFonts w:eastAsiaTheme="minorEastAsia" w:cs="Arial"/>
                <w:color w:val="000000"/>
                <w:sz w:val="20"/>
              </w:rPr>
              <w:t>1,427</w:t>
            </w:r>
          </w:p>
        </w:tc>
        <w:tc>
          <w:tcPr>
            <w:tcW w:w="551" w:type="pct"/>
            <w:tcBorders>
              <w:top w:val="nil"/>
              <w:left w:val="nil"/>
              <w:bottom w:val="single" w:sz="4" w:space="0" w:color="auto"/>
              <w:right w:val="single" w:sz="4" w:space="0" w:color="auto"/>
            </w:tcBorders>
            <w:shd w:val="clear" w:color="auto" w:fill="C5E0B3" w:themeFill="accent6" w:themeFillTint="66"/>
            <w:vAlign w:val="center"/>
          </w:tcPr>
          <w:p w14:paraId="58F15E91" w14:textId="77777777" w:rsidR="00151242" w:rsidRPr="005E38F9" w:rsidRDefault="00151242" w:rsidP="00806E23">
            <w:pPr>
              <w:jc w:val="center"/>
              <w:rPr>
                <w:rFonts w:eastAsiaTheme="minorEastAsia" w:cs="Arial"/>
                <w:bCs/>
                <w:color w:val="000000"/>
                <w:sz w:val="20"/>
              </w:rPr>
            </w:pPr>
            <w:r w:rsidRPr="005E38F9">
              <w:rPr>
                <w:rFonts w:eastAsiaTheme="minorEastAsia" w:cs="Arial"/>
                <w:color w:val="000000"/>
                <w:sz w:val="20"/>
              </w:rPr>
              <w:t>1,807</w:t>
            </w:r>
          </w:p>
        </w:tc>
        <w:tc>
          <w:tcPr>
            <w:tcW w:w="411" w:type="pct"/>
            <w:tcBorders>
              <w:top w:val="nil"/>
              <w:left w:val="nil"/>
              <w:bottom w:val="single" w:sz="4" w:space="0" w:color="auto"/>
              <w:right w:val="single" w:sz="4" w:space="0" w:color="auto"/>
            </w:tcBorders>
            <w:vAlign w:val="center"/>
          </w:tcPr>
          <w:p w14:paraId="3EC5BD96" w14:textId="77777777" w:rsidR="00151242" w:rsidRPr="005E38F9" w:rsidRDefault="00587F14" w:rsidP="00806E23">
            <w:pPr>
              <w:jc w:val="center"/>
              <w:rPr>
                <w:rFonts w:eastAsiaTheme="minorEastAsia" w:cs="Arial"/>
                <w:color w:val="000000"/>
                <w:sz w:val="20"/>
              </w:rPr>
            </w:pPr>
            <w:r w:rsidRPr="005E38F9">
              <w:rPr>
                <w:rFonts w:eastAsiaTheme="minorEastAsia" w:cs="Arial"/>
                <w:color w:val="000000"/>
                <w:sz w:val="20"/>
              </w:rPr>
              <w:t>-</w:t>
            </w:r>
          </w:p>
        </w:tc>
      </w:tr>
      <w:tr w:rsidR="00824915" w:rsidRPr="00151242" w14:paraId="70BCD09C" w14:textId="77777777" w:rsidTr="00E04831">
        <w:trPr>
          <w:trHeight w:val="374"/>
        </w:trPr>
        <w:tc>
          <w:tcPr>
            <w:tcW w:w="2593" w:type="pct"/>
            <w:tcBorders>
              <w:top w:val="nil"/>
              <w:left w:val="single" w:sz="4" w:space="0" w:color="auto"/>
              <w:bottom w:val="single" w:sz="4" w:space="0" w:color="auto"/>
              <w:right w:val="single" w:sz="4" w:space="0" w:color="auto"/>
            </w:tcBorders>
            <w:shd w:val="clear" w:color="auto" w:fill="auto"/>
            <w:vAlign w:val="center"/>
          </w:tcPr>
          <w:p w14:paraId="7F8A6807" w14:textId="77777777" w:rsidR="00151242" w:rsidRPr="005E38F9" w:rsidRDefault="00151242" w:rsidP="00151242">
            <w:pPr>
              <w:rPr>
                <w:rFonts w:cs="Arial"/>
                <w:color w:val="000000"/>
                <w:sz w:val="20"/>
              </w:rPr>
            </w:pPr>
            <w:r w:rsidRPr="005E38F9">
              <w:rPr>
                <w:rFonts w:cs="Arial"/>
                <w:color w:val="000000"/>
                <w:sz w:val="20"/>
              </w:rPr>
              <w:t xml:space="preserve">Proportion of older people (65 and over) who were still at home 91 days after discharge from hospital into </w:t>
            </w:r>
            <w:proofErr w:type="spellStart"/>
            <w:r w:rsidRPr="005E38F9">
              <w:rPr>
                <w:rFonts w:cs="Arial"/>
                <w:color w:val="000000"/>
                <w:sz w:val="20"/>
              </w:rPr>
              <w:t>reablement</w:t>
            </w:r>
            <w:proofErr w:type="spellEnd"/>
            <w:r w:rsidRPr="005E38F9">
              <w:rPr>
                <w:rFonts w:cs="Arial"/>
                <w:color w:val="000000"/>
                <w:sz w:val="20"/>
              </w:rPr>
              <w:t xml:space="preserve">/rehabilitation services (ASCOF)   </w:t>
            </w:r>
          </w:p>
        </w:tc>
        <w:tc>
          <w:tcPr>
            <w:tcW w:w="414" w:type="pct"/>
            <w:tcBorders>
              <w:top w:val="nil"/>
              <w:left w:val="nil"/>
              <w:bottom w:val="single" w:sz="4" w:space="0" w:color="auto"/>
              <w:right w:val="single" w:sz="4" w:space="0" w:color="auto"/>
            </w:tcBorders>
            <w:shd w:val="clear" w:color="auto" w:fill="auto"/>
            <w:vAlign w:val="center"/>
          </w:tcPr>
          <w:p w14:paraId="7BC5D87D" w14:textId="77777777" w:rsidR="00151242" w:rsidRPr="005E38F9" w:rsidRDefault="00151242" w:rsidP="00824915">
            <w:pPr>
              <w:jc w:val="center"/>
              <w:rPr>
                <w:rFonts w:cs="Arial"/>
                <w:color w:val="000000"/>
                <w:sz w:val="20"/>
              </w:rPr>
            </w:pPr>
            <w:r w:rsidRPr="005E38F9">
              <w:rPr>
                <w:rFonts w:cs="Arial"/>
                <w:color w:val="000000"/>
                <w:sz w:val="20"/>
              </w:rPr>
              <w:t>H</w:t>
            </w:r>
          </w:p>
        </w:tc>
        <w:tc>
          <w:tcPr>
            <w:tcW w:w="505" w:type="pct"/>
            <w:tcBorders>
              <w:top w:val="nil"/>
              <w:left w:val="single" w:sz="4" w:space="0" w:color="auto"/>
              <w:bottom w:val="single" w:sz="4" w:space="0" w:color="auto"/>
              <w:right w:val="single" w:sz="4" w:space="0" w:color="auto"/>
            </w:tcBorders>
            <w:vAlign w:val="center"/>
          </w:tcPr>
          <w:p w14:paraId="700F2EAA" w14:textId="77777777" w:rsidR="00151242" w:rsidRPr="005E38F9" w:rsidRDefault="00824915" w:rsidP="00824915">
            <w:pPr>
              <w:spacing w:after="200" w:line="276" w:lineRule="auto"/>
              <w:jc w:val="center"/>
              <w:rPr>
                <w:rFonts w:eastAsiaTheme="minorEastAsia" w:cs="Arial"/>
                <w:color w:val="000000"/>
                <w:sz w:val="20"/>
              </w:rPr>
            </w:pPr>
            <w:r w:rsidRPr="005E38F9">
              <w:rPr>
                <w:rFonts w:eastAsiaTheme="minorEastAsia" w:cs="Arial"/>
                <w:color w:val="000000"/>
                <w:sz w:val="20"/>
              </w:rPr>
              <w:t>83.9%</w:t>
            </w:r>
          </w:p>
        </w:tc>
        <w:tc>
          <w:tcPr>
            <w:tcW w:w="526" w:type="pct"/>
            <w:tcBorders>
              <w:top w:val="nil"/>
              <w:left w:val="single" w:sz="4" w:space="0" w:color="auto"/>
              <w:bottom w:val="single" w:sz="4" w:space="0" w:color="auto"/>
              <w:right w:val="single" w:sz="4" w:space="0" w:color="auto"/>
            </w:tcBorders>
            <w:vAlign w:val="center"/>
          </w:tcPr>
          <w:p w14:paraId="117E2852" w14:textId="77777777" w:rsidR="00151242" w:rsidRPr="005E38F9" w:rsidRDefault="00151242" w:rsidP="00824915">
            <w:pPr>
              <w:spacing w:after="200" w:line="276" w:lineRule="auto"/>
              <w:jc w:val="center"/>
              <w:rPr>
                <w:rFonts w:eastAsiaTheme="minorEastAsia" w:cs="Arial"/>
                <w:color w:val="000000"/>
                <w:sz w:val="20"/>
              </w:rPr>
            </w:pPr>
            <w:r w:rsidRPr="005E38F9">
              <w:rPr>
                <w:rFonts w:eastAsiaTheme="minorEastAsia" w:cs="Arial"/>
                <w:color w:val="000000"/>
                <w:sz w:val="20"/>
              </w:rPr>
              <w:t>87.6%</w:t>
            </w:r>
          </w:p>
        </w:tc>
        <w:tc>
          <w:tcPr>
            <w:tcW w:w="551" w:type="pct"/>
            <w:tcBorders>
              <w:top w:val="nil"/>
              <w:left w:val="nil"/>
              <w:bottom w:val="single" w:sz="4" w:space="0" w:color="auto"/>
              <w:right w:val="single" w:sz="4" w:space="0" w:color="auto"/>
            </w:tcBorders>
            <w:shd w:val="clear" w:color="auto" w:fill="C5E0B3" w:themeFill="accent6" w:themeFillTint="66"/>
            <w:vAlign w:val="center"/>
          </w:tcPr>
          <w:p w14:paraId="2FDD8F4E" w14:textId="77777777" w:rsidR="00151242" w:rsidRPr="005E38F9" w:rsidRDefault="00151242" w:rsidP="00824915">
            <w:pPr>
              <w:spacing w:after="200" w:line="276" w:lineRule="auto"/>
              <w:jc w:val="center"/>
              <w:rPr>
                <w:rFonts w:eastAsiaTheme="minorEastAsia" w:cs="Arial"/>
                <w:bCs/>
                <w:color w:val="000000"/>
                <w:sz w:val="20"/>
              </w:rPr>
            </w:pPr>
            <w:r w:rsidRPr="005E38F9">
              <w:rPr>
                <w:rFonts w:eastAsiaTheme="minorEastAsia" w:cs="Arial"/>
                <w:bCs/>
                <w:color w:val="000000"/>
                <w:sz w:val="20"/>
              </w:rPr>
              <w:t>87.4%</w:t>
            </w:r>
          </w:p>
        </w:tc>
        <w:tc>
          <w:tcPr>
            <w:tcW w:w="411" w:type="pct"/>
            <w:tcBorders>
              <w:top w:val="nil"/>
              <w:left w:val="nil"/>
              <w:bottom w:val="single" w:sz="4" w:space="0" w:color="auto"/>
              <w:right w:val="single" w:sz="4" w:space="0" w:color="auto"/>
            </w:tcBorders>
            <w:vAlign w:val="center"/>
          </w:tcPr>
          <w:p w14:paraId="61CF820B" w14:textId="77777777" w:rsidR="00151242" w:rsidRPr="005E38F9" w:rsidRDefault="00824915" w:rsidP="00824915">
            <w:pPr>
              <w:spacing w:after="200" w:line="276" w:lineRule="auto"/>
              <w:jc w:val="center"/>
              <w:rPr>
                <w:rFonts w:eastAsiaTheme="minorEastAsia" w:cs="Arial"/>
                <w:color w:val="000000"/>
                <w:sz w:val="20"/>
              </w:rPr>
            </w:pPr>
            <w:r w:rsidRPr="005E38F9">
              <w:rPr>
                <w:rFonts w:eastAsiaTheme="minorEastAsia" w:cs="Arial"/>
                <w:color w:val="000000"/>
                <w:sz w:val="20"/>
              </w:rPr>
              <w:t>82.5%</w:t>
            </w:r>
          </w:p>
        </w:tc>
      </w:tr>
      <w:tr w:rsidR="005E38F9" w:rsidRPr="00151242" w14:paraId="777D32CE" w14:textId="77777777" w:rsidTr="00F8218F">
        <w:trPr>
          <w:trHeight w:val="374"/>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169BF11A" w14:textId="77777777" w:rsidR="005E38F9" w:rsidRPr="00F8218F" w:rsidRDefault="005E38F9" w:rsidP="00806E23">
            <w:pPr>
              <w:jc w:val="center"/>
              <w:rPr>
                <w:rFonts w:eastAsiaTheme="minorEastAsia" w:cs="Arial"/>
                <w:b/>
                <w:color w:val="000000"/>
                <w:sz w:val="20"/>
              </w:rPr>
            </w:pPr>
            <w:r w:rsidRPr="00F8218F">
              <w:rPr>
                <w:rFonts w:eastAsiaTheme="minorEastAsia" w:cs="Arial"/>
                <w:b/>
                <w:color w:val="000000"/>
                <w:sz w:val="20"/>
              </w:rPr>
              <w:t>Timeliness of assessment and support</w:t>
            </w:r>
          </w:p>
        </w:tc>
      </w:tr>
      <w:tr w:rsidR="00824915" w:rsidRPr="00151242" w14:paraId="75833C3D" w14:textId="77777777" w:rsidTr="00806E23">
        <w:trPr>
          <w:trHeight w:val="374"/>
        </w:trPr>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14:paraId="19130A2A" w14:textId="77777777" w:rsidR="00151242" w:rsidRPr="005E38F9" w:rsidRDefault="00151242" w:rsidP="00151242">
            <w:pPr>
              <w:rPr>
                <w:rFonts w:cs="Arial"/>
                <w:color w:val="000000"/>
                <w:sz w:val="20"/>
              </w:rPr>
            </w:pPr>
            <w:r w:rsidRPr="005E38F9">
              <w:rPr>
                <w:rFonts w:cs="Arial"/>
                <w:color w:val="000000"/>
                <w:sz w:val="20"/>
              </w:rPr>
              <w:t>Assessments completed within 7 days</w:t>
            </w:r>
          </w:p>
        </w:tc>
        <w:tc>
          <w:tcPr>
            <w:tcW w:w="414" w:type="pct"/>
            <w:tcBorders>
              <w:top w:val="single" w:sz="4" w:space="0" w:color="auto"/>
              <w:left w:val="nil"/>
              <w:bottom w:val="single" w:sz="4" w:space="0" w:color="auto"/>
              <w:right w:val="single" w:sz="4" w:space="0" w:color="auto"/>
            </w:tcBorders>
            <w:shd w:val="clear" w:color="auto" w:fill="auto"/>
            <w:vAlign w:val="center"/>
          </w:tcPr>
          <w:p w14:paraId="0A79B485" w14:textId="77777777" w:rsidR="00151242" w:rsidRPr="005E38F9" w:rsidRDefault="00151242" w:rsidP="00824915">
            <w:pPr>
              <w:jc w:val="center"/>
              <w:rPr>
                <w:rFonts w:cs="Arial"/>
                <w:color w:val="000000"/>
                <w:sz w:val="20"/>
              </w:rPr>
            </w:pPr>
            <w:r w:rsidRPr="005E38F9">
              <w:rPr>
                <w:rFonts w:cs="Arial"/>
                <w:color w:val="000000"/>
                <w:sz w:val="20"/>
              </w:rPr>
              <w:t>H</w:t>
            </w:r>
          </w:p>
        </w:tc>
        <w:tc>
          <w:tcPr>
            <w:tcW w:w="505" w:type="pct"/>
            <w:tcBorders>
              <w:top w:val="single" w:sz="4" w:space="0" w:color="auto"/>
              <w:left w:val="single" w:sz="4" w:space="0" w:color="auto"/>
              <w:bottom w:val="single" w:sz="4" w:space="0" w:color="auto"/>
              <w:right w:val="single" w:sz="4" w:space="0" w:color="auto"/>
            </w:tcBorders>
            <w:vAlign w:val="center"/>
          </w:tcPr>
          <w:p w14:paraId="7A0EFBD3" w14:textId="77777777" w:rsidR="00151242" w:rsidRPr="005E38F9" w:rsidRDefault="00824915" w:rsidP="00806E23">
            <w:pPr>
              <w:jc w:val="center"/>
              <w:rPr>
                <w:rFonts w:eastAsiaTheme="minorEastAsia" w:cs="Arial"/>
                <w:color w:val="000000"/>
                <w:sz w:val="20"/>
              </w:rPr>
            </w:pPr>
            <w:r w:rsidRPr="005E38F9">
              <w:rPr>
                <w:rFonts w:eastAsiaTheme="minorEastAsia" w:cs="Arial"/>
                <w:color w:val="000000"/>
                <w:sz w:val="20"/>
              </w:rPr>
              <w:t>82.2%</w:t>
            </w:r>
          </w:p>
        </w:tc>
        <w:tc>
          <w:tcPr>
            <w:tcW w:w="526" w:type="pct"/>
            <w:tcBorders>
              <w:top w:val="single" w:sz="4" w:space="0" w:color="auto"/>
              <w:left w:val="single" w:sz="4" w:space="0" w:color="auto"/>
              <w:bottom w:val="single" w:sz="4" w:space="0" w:color="auto"/>
              <w:right w:val="single" w:sz="4" w:space="0" w:color="auto"/>
            </w:tcBorders>
            <w:vAlign w:val="center"/>
          </w:tcPr>
          <w:p w14:paraId="2BDFBF9F" w14:textId="77777777" w:rsidR="00151242" w:rsidRPr="005E38F9" w:rsidRDefault="00151242" w:rsidP="00806E23">
            <w:pPr>
              <w:jc w:val="center"/>
              <w:rPr>
                <w:rFonts w:eastAsiaTheme="minorEastAsia" w:cs="Arial"/>
                <w:color w:val="000000"/>
                <w:sz w:val="20"/>
              </w:rPr>
            </w:pPr>
            <w:r w:rsidRPr="005E38F9">
              <w:rPr>
                <w:rFonts w:eastAsiaTheme="minorEastAsia" w:cs="Arial"/>
                <w:color w:val="000000"/>
                <w:sz w:val="20"/>
              </w:rPr>
              <w:t>85.1%</w:t>
            </w:r>
          </w:p>
        </w:tc>
        <w:tc>
          <w:tcPr>
            <w:tcW w:w="551" w:type="pct"/>
            <w:tcBorders>
              <w:top w:val="nil"/>
              <w:left w:val="nil"/>
              <w:bottom w:val="single" w:sz="4" w:space="0" w:color="auto"/>
              <w:right w:val="single" w:sz="4" w:space="0" w:color="auto"/>
            </w:tcBorders>
            <w:shd w:val="clear" w:color="auto" w:fill="C5E0B3" w:themeFill="accent6" w:themeFillTint="66"/>
            <w:vAlign w:val="center"/>
          </w:tcPr>
          <w:p w14:paraId="41C6F4E1" w14:textId="77777777" w:rsidR="00151242" w:rsidRPr="005E38F9" w:rsidRDefault="00151242" w:rsidP="00806E23">
            <w:pPr>
              <w:jc w:val="center"/>
              <w:rPr>
                <w:rFonts w:eastAsiaTheme="minorEastAsia" w:cs="Arial"/>
                <w:bCs/>
                <w:color w:val="000000"/>
                <w:sz w:val="20"/>
              </w:rPr>
            </w:pPr>
            <w:r w:rsidRPr="005E38F9">
              <w:rPr>
                <w:rFonts w:eastAsiaTheme="minorEastAsia" w:cs="Arial"/>
                <w:bCs/>
                <w:color w:val="000000"/>
                <w:sz w:val="20"/>
              </w:rPr>
              <w:t>85.6%</w:t>
            </w:r>
          </w:p>
        </w:tc>
        <w:tc>
          <w:tcPr>
            <w:tcW w:w="411" w:type="pct"/>
            <w:tcBorders>
              <w:top w:val="nil"/>
              <w:left w:val="nil"/>
              <w:bottom w:val="single" w:sz="4" w:space="0" w:color="auto"/>
              <w:right w:val="single" w:sz="4" w:space="0" w:color="auto"/>
            </w:tcBorders>
            <w:vAlign w:val="center"/>
          </w:tcPr>
          <w:p w14:paraId="08AD2579" w14:textId="77777777" w:rsidR="00151242" w:rsidRPr="005E38F9" w:rsidRDefault="00587F14" w:rsidP="00806E23">
            <w:pPr>
              <w:jc w:val="center"/>
              <w:rPr>
                <w:rFonts w:eastAsiaTheme="minorHAnsi" w:cs="Arial"/>
                <w:bCs/>
                <w:color w:val="000000"/>
                <w:sz w:val="20"/>
                <w:lang w:eastAsia="en-US"/>
              </w:rPr>
            </w:pPr>
            <w:r w:rsidRPr="005E38F9">
              <w:rPr>
                <w:rFonts w:eastAsiaTheme="minorHAnsi" w:cs="Arial"/>
                <w:bCs/>
                <w:color w:val="000000"/>
                <w:sz w:val="20"/>
                <w:lang w:eastAsia="en-US"/>
              </w:rPr>
              <w:t>-</w:t>
            </w:r>
          </w:p>
        </w:tc>
      </w:tr>
      <w:tr w:rsidR="00824915" w:rsidRPr="00151242" w14:paraId="2F69DDC9" w14:textId="77777777" w:rsidTr="00E04831">
        <w:trPr>
          <w:trHeight w:val="374"/>
        </w:trPr>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14:paraId="46AAF396" w14:textId="77777777" w:rsidR="00151242" w:rsidRPr="005E38F9" w:rsidRDefault="00151242" w:rsidP="00151242">
            <w:pPr>
              <w:rPr>
                <w:rFonts w:cs="Arial"/>
                <w:color w:val="000000"/>
                <w:sz w:val="20"/>
              </w:rPr>
            </w:pPr>
            <w:r w:rsidRPr="005E38F9">
              <w:rPr>
                <w:rFonts w:cs="Arial"/>
                <w:color w:val="000000"/>
                <w:sz w:val="20"/>
              </w:rPr>
              <w:t>Assessments completed within 28 days</w:t>
            </w:r>
          </w:p>
        </w:tc>
        <w:tc>
          <w:tcPr>
            <w:tcW w:w="414" w:type="pct"/>
            <w:tcBorders>
              <w:top w:val="single" w:sz="4" w:space="0" w:color="auto"/>
              <w:left w:val="nil"/>
              <w:bottom w:val="single" w:sz="4" w:space="0" w:color="auto"/>
              <w:right w:val="single" w:sz="4" w:space="0" w:color="auto"/>
            </w:tcBorders>
            <w:shd w:val="clear" w:color="auto" w:fill="auto"/>
            <w:vAlign w:val="center"/>
          </w:tcPr>
          <w:p w14:paraId="274F8C0C" w14:textId="77777777" w:rsidR="00151242" w:rsidRPr="005E38F9" w:rsidRDefault="00151242" w:rsidP="00824915">
            <w:pPr>
              <w:jc w:val="center"/>
              <w:rPr>
                <w:rFonts w:cs="Arial"/>
                <w:color w:val="000000"/>
                <w:sz w:val="20"/>
              </w:rPr>
            </w:pPr>
            <w:r w:rsidRPr="005E38F9">
              <w:rPr>
                <w:rFonts w:cs="Arial"/>
                <w:color w:val="000000"/>
                <w:sz w:val="20"/>
              </w:rPr>
              <w:t>H</w:t>
            </w:r>
          </w:p>
        </w:tc>
        <w:tc>
          <w:tcPr>
            <w:tcW w:w="505" w:type="pct"/>
            <w:tcBorders>
              <w:top w:val="single" w:sz="4" w:space="0" w:color="auto"/>
              <w:left w:val="single" w:sz="4" w:space="0" w:color="auto"/>
              <w:bottom w:val="single" w:sz="4" w:space="0" w:color="auto"/>
              <w:right w:val="single" w:sz="4" w:space="0" w:color="auto"/>
            </w:tcBorders>
            <w:vAlign w:val="center"/>
          </w:tcPr>
          <w:p w14:paraId="31BC77EF" w14:textId="77777777" w:rsidR="00151242" w:rsidRPr="005E38F9" w:rsidRDefault="00824915" w:rsidP="00806E23">
            <w:pPr>
              <w:spacing w:line="276" w:lineRule="auto"/>
              <w:jc w:val="center"/>
              <w:rPr>
                <w:rFonts w:eastAsiaTheme="minorEastAsia" w:cs="Arial"/>
                <w:color w:val="000000"/>
                <w:sz w:val="20"/>
              </w:rPr>
            </w:pPr>
            <w:r w:rsidRPr="005E38F9">
              <w:rPr>
                <w:rFonts w:eastAsiaTheme="minorEastAsia" w:cs="Arial"/>
                <w:color w:val="000000"/>
                <w:sz w:val="20"/>
              </w:rPr>
              <w:t>94.6%</w:t>
            </w:r>
          </w:p>
        </w:tc>
        <w:tc>
          <w:tcPr>
            <w:tcW w:w="526" w:type="pct"/>
            <w:tcBorders>
              <w:top w:val="single" w:sz="4" w:space="0" w:color="auto"/>
              <w:left w:val="single" w:sz="4" w:space="0" w:color="auto"/>
              <w:bottom w:val="single" w:sz="4" w:space="0" w:color="auto"/>
              <w:right w:val="single" w:sz="4" w:space="0" w:color="auto"/>
            </w:tcBorders>
            <w:vAlign w:val="center"/>
          </w:tcPr>
          <w:p w14:paraId="2651E1EB" w14:textId="77777777" w:rsidR="00151242" w:rsidRPr="005E38F9" w:rsidRDefault="00151242" w:rsidP="00806E23">
            <w:pPr>
              <w:spacing w:line="276" w:lineRule="auto"/>
              <w:jc w:val="center"/>
              <w:rPr>
                <w:rFonts w:eastAsiaTheme="minorEastAsia" w:cs="Arial"/>
                <w:color w:val="000000"/>
                <w:sz w:val="20"/>
              </w:rPr>
            </w:pPr>
            <w:r w:rsidRPr="005E38F9">
              <w:rPr>
                <w:rFonts w:eastAsiaTheme="minorEastAsia" w:cs="Arial"/>
                <w:color w:val="000000"/>
                <w:sz w:val="20"/>
              </w:rPr>
              <w:t>95.6%</w:t>
            </w:r>
          </w:p>
        </w:tc>
        <w:tc>
          <w:tcPr>
            <w:tcW w:w="55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E54C2E6" w14:textId="77777777" w:rsidR="00151242" w:rsidRPr="005E38F9" w:rsidRDefault="00151242" w:rsidP="00806E23">
            <w:pPr>
              <w:spacing w:line="276" w:lineRule="auto"/>
              <w:jc w:val="center"/>
              <w:rPr>
                <w:rFonts w:eastAsiaTheme="minorEastAsia" w:cs="Arial"/>
                <w:bCs/>
                <w:color w:val="000000"/>
                <w:sz w:val="20"/>
              </w:rPr>
            </w:pPr>
            <w:r w:rsidRPr="00E04831">
              <w:rPr>
                <w:rFonts w:eastAsiaTheme="minorEastAsia" w:cs="Arial"/>
                <w:bCs/>
                <w:color w:val="000000"/>
                <w:sz w:val="20"/>
                <w:shd w:val="clear" w:color="auto" w:fill="C5E0B3" w:themeFill="accent6" w:themeFillTint="66"/>
              </w:rPr>
              <w:t>95.6</w:t>
            </w:r>
            <w:r w:rsidRPr="005E38F9">
              <w:rPr>
                <w:rFonts w:eastAsiaTheme="minorEastAsia" w:cs="Arial"/>
                <w:bCs/>
                <w:color w:val="000000"/>
                <w:sz w:val="20"/>
              </w:rPr>
              <w:t>%</w:t>
            </w:r>
          </w:p>
        </w:tc>
        <w:tc>
          <w:tcPr>
            <w:tcW w:w="411" w:type="pct"/>
            <w:tcBorders>
              <w:top w:val="single" w:sz="4" w:space="0" w:color="auto"/>
              <w:left w:val="nil"/>
              <w:bottom w:val="single" w:sz="4" w:space="0" w:color="auto"/>
              <w:right w:val="single" w:sz="4" w:space="0" w:color="auto"/>
            </w:tcBorders>
            <w:vAlign w:val="center"/>
          </w:tcPr>
          <w:p w14:paraId="04C5B2D2" w14:textId="77777777" w:rsidR="00151242" w:rsidRPr="005E38F9" w:rsidRDefault="00587F14" w:rsidP="00824915">
            <w:pPr>
              <w:spacing w:after="200" w:line="276" w:lineRule="auto"/>
              <w:jc w:val="center"/>
              <w:rPr>
                <w:rFonts w:eastAsiaTheme="minorEastAsia" w:cs="Arial"/>
                <w:color w:val="000000"/>
                <w:sz w:val="20"/>
              </w:rPr>
            </w:pPr>
            <w:r w:rsidRPr="005E38F9">
              <w:rPr>
                <w:rFonts w:eastAsiaTheme="minorEastAsia" w:cs="Arial"/>
                <w:color w:val="000000"/>
                <w:sz w:val="20"/>
              </w:rPr>
              <w:t>-</w:t>
            </w:r>
          </w:p>
        </w:tc>
      </w:tr>
      <w:tr w:rsidR="0055235F" w:rsidRPr="00151242" w14:paraId="016396DD" w14:textId="77777777" w:rsidTr="00E04831">
        <w:trPr>
          <w:trHeight w:val="374"/>
        </w:trPr>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14:paraId="41CF6860" w14:textId="4F8174FA" w:rsidR="0055235F" w:rsidRPr="005E38F9" w:rsidRDefault="0055235F" w:rsidP="00151242">
            <w:pPr>
              <w:rPr>
                <w:rFonts w:cs="Arial"/>
                <w:color w:val="000000"/>
                <w:sz w:val="20"/>
              </w:rPr>
            </w:pPr>
            <w:r>
              <w:rPr>
                <w:rFonts w:cs="Arial"/>
                <w:color w:val="000000"/>
                <w:sz w:val="20"/>
              </w:rPr>
              <w:t>Total number of Occupational Therapy (OT) assessments</w:t>
            </w:r>
          </w:p>
        </w:tc>
        <w:tc>
          <w:tcPr>
            <w:tcW w:w="414" w:type="pct"/>
            <w:tcBorders>
              <w:top w:val="single" w:sz="4" w:space="0" w:color="auto"/>
              <w:left w:val="nil"/>
              <w:bottom w:val="single" w:sz="4" w:space="0" w:color="auto"/>
              <w:right w:val="single" w:sz="4" w:space="0" w:color="auto"/>
            </w:tcBorders>
            <w:shd w:val="clear" w:color="auto" w:fill="auto"/>
            <w:vAlign w:val="center"/>
          </w:tcPr>
          <w:p w14:paraId="4CE3F85A" w14:textId="34717C3A" w:rsidR="0055235F" w:rsidRPr="005E38F9" w:rsidRDefault="0055235F" w:rsidP="00824915">
            <w:pPr>
              <w:jc w:val="center"/>
              <w:rPr>
                <w:rFonts w:cs="Arial"/>
                <w:color w:val="000000"/>
                <w:sz w:val="20"/>
              </w:rPr>
            </w:pPr>
            <w:r>
              <w:rPr>
                <w:rFonts w:cs="Arial"/>
                <w:color w:val="000000"/>
                <w:sz w:val="20"/>
              </w:rPr>
              <w:t>H</w:t>
            </w:r>
          </w:p>
        </w:tc>
        <w:tc>
          <w:tcPr>
            <w:tcW w:w="505" w:type="pct"/>
            <w:tcBorders>
              <w:top w:val="single" w:sz="4" w:space="0" w:color="auto"/>
              <w:left w:val="single" w:sz="4" w:space="0" w:color="auto"/>
              <w:bottom w:val="single" w:sz="4" w:space="0" w:color="auto"/>
              <w:right w:val="single" w:sz="4" w:space="0" w:color="auto"/>
            </w:tcBorders>
            <w:vAlign w:val="center"/>
          </w:tcPr>
          <w:p w14:paraId="60BB677D" w14:textId="254106E7" w:rsidR="0055235F" w:rsidRPr="005E38F9" w:rsidRDefault="007B4747" w:rsidP="00806E23">
            <w:pPr>
              <w:spacing w:line="276" w:lineRule="auto"/>
              <w:jc w:val="center"/>
              <w:rPr>
                <w:rFonts w:eastAsiaTheme="minorEastAsia" w:cs="Arial"/>
                <w:color w:val="000000"/>
                <w:sz w:val="20"/>
              </w:rPr>
            </w:pPr>
            <w:r>
              <w:rPr>
                <w:rFonts w:eastAsiaTheme="minorEastAsia" w:cs="Arial"/>
                <w:color w:val="000000"/>
                <w:sz w:val="20"/>
              </w:rPr>
              <w:t>1406</w:t>
            </w:r>
          </w:p>
        </w:tc>
        <w:tc>
          <w:tcPr>
            <w:tcW w:w="526" w:type="pct"/>
            <w:tcBorders>
              <w:top w:val="single" w:sz="4" w:space="0" w:color="auto"/>
              <w:left w:val="single" w:sz="4" w:space="0" w:color="auto"/>
              <w:bottom w:val="single" w:sz="4" w:space="0" w:color="auto"/>
              <w:right w:val="single" w:sz="4" w:space="0" w:color="auto"/>
            </w:tcBorders>
            <w:vAlign w:val="center"/>
          </w:tcPr>
          <w:p w14:paraId="107E1B9A" w14:textId="3EE7C700" w:rsidR="0055235F" w:rsidRPr="005E38F9" w:rsidRDefault="007B4747" w:rsidP="00806E23">
            <w:pPr>
              <w:spacing w:line="276" w:lineRule="auto"/>
              <w:jc w:val="center"/>
              <w:rPr>
                <w:rFonts w:eastAsiaTheme="minorEastAsia" w:cs="Arial"/>
                <w:color w:val="000000"/>
                <w:sz w:val="20"/>
              </w:rPr>
            </w:pPr>
            <w:r>
              <w:rPr>
                <w:rFonts w:eastAsiaTheme="minorEastAsia" w:cs="Arial"/>
                <w:color w:val="000000"/>
                <w:sz w:val="20"/>
              </w:rPr>
              <w:t>1779</w:t>
            </w:r>
          </w:p>
        </w:tc>
        <w:tc>
          <w:tcPr>
            <w:tcW w:w="55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0F599B8" w14:textId="520DFC9D" w:rsidR="0055235F" w:rsidRPr="00E04831" w:rsidRDefault="007B4747" w:rsidP="00806E23">
            <w:pPr>
              <w:spacing w:line="276" w:lineRule="auto"/>
              <w:jc w:val="center"/>
              <w:rPr>
                <w:rFonts w:eastAsiaTheme="minorEastAsia" w:cs="Arial"/>
                <w:bCs/>
                <w:color w:val="000000"/>
                <w:sz w:val="20"/>
                <w:shd w:val="clear" w:color="auto" w:fill="C5E0B3" w:themeFill="accent6" w:themeFillTint="66"/>
              </w:rPr>
            </w:pPr>
            <w:r>
              <w:rPr>
                <w:rFonts w:eastAsiaTheme="minorEastAsia" w:cs="Arial"/>
                <w:bCs/>
                <w:color w:val="000000"/>
                <w:sz w:val="20"/>
                <w:shd w:val="clear" w:color="auto" w:fill="C5E0B3" w:themeFill="accent6" w:themeFillTint="66"/>
              </w:rPr>
              <w:t>2161</w:t>
            </w:r>
          </w:p>
        </w:tc>
        <w:tc>
          <w:tcPr>
            <w:tcW w:w="411" w:type="pct"/>
            <w:tcBorders>
              <w:top w:val="single" w:sz="4" w:space="0" w:color="auto"/>
              <w:left w:val="nil"/>
              <w:bottom w:val="single" w:sz="4" w:space="0" w:color="auto"/>
              <w:right w:val="single" w:sz="4" w:space="0" w:color="auto"/>
            </w:tcBorders>
            <w:vAlign w:val="center"/>
          </w:tcPr>
          <w:p w14:paraId="7916F936" w14:textId="7DA0EDB2" w:rsidR="0055235F" w:rsidRPr="005E38F9" w:rsidRDefault="007B4747" w:rsidP="00824915">
            <w:pPr>
              <w:spacing w:after="200" w:line="276" w:lineRule="auto"/>
              <w:jc w:val="center"/>
              <w:rPr>
                <w:rFonts w:eastAsiaTheme="minorEastAsia" w:cs="Arial"/>
                <w:color w:val="000000"/>
                <w:sz w:val="20"/>
              </w:rPr>
            </w:pPr>
            <w:r>
              <w:rPr>
                <w:rFonts w:eastAsiaTheme="minorEastAsia" w:cs="Arial"/>
                <w:color w:val="000000"/>
                <w:sz w:val="20"/>
              </w:rPr>
              <w:t>-</w:t>
            </w:r>
          </w:p>
        </w:tc>
      </w:tr>
      <w:tr w:rsidR="00824915" w:rsidRPr="00151242" w14:paraId="0C237942" w14:textId="77777777" w:rsidTr="00537D19">
        <w:trPr>
          <w:trHeight w:val="403"/>
        </w:trPr>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14:paraId="0B6E240A" w14:textId="77777777" w:rsidR="00151242" w:rsidRPr="005E38F9" w:rsidRDefault="00151242" w:rsidP="00151242">
            <w:pPr>
              <w:rPr>
                <w:rFonts w:cs="Arial"/>
                <w:color w:val="000000"/>
                <w:sz w:val="20"/>
              </w:rPr>
            </w:pPr>
            <w:r w:rsidRPr="005E38F9">
              <w:rPr>
                <w:rFonts w:cs="Arial"/>
                <w:color w:val="000000"/>
                <w:sz w:val="20"/>
              </w:rPr>
              <w:t>Delayed Transfers of care (</w:t>
            </w:r>
            <w:proofErr w:type="spellStart"/>
            <w:r w:rsidRPr="005E38F9">
              <w:rPr>
                <w:rFonts w:cs="Arial"/>
                <w:color w:val="000000"/>
                <w:sz w:val="20"/>
              </w:rPr>
              <w:t>DToC</w:t>
            </w:r>
            <w:proofErr w:type="spellEnd"/>
            <w:r w:rsidRPr="005E38F9">
              <w:rPr>
                <w:rFonts w:cs="Arial"/>
                <w:color w:val="000000"/>
                <w:sz w:val="20"/>
              </w:rPr>
              <w:t>) – total delayed days</w:t>
            </w:r>
          </w:p>
        </w:tc>
        <w:tc>
          <w:tcPr>
            <w:tcW w:w="414" w:type="pct"/>
            <w:tcBorders>
              <w:top w:val="single" w:sz="4" w:space="0" w:color="auto"/>
              <w:left w:val="nil"/>
              <w:bottom w:val="single" w:sz="4" w:space="0" w:color="auto"/>
              <w:right w:val="single" w:sz="4" w:space="0" w:color="auto"/>
            </w:tcBorders>
            <w:shd w:val="clear" w:color="auto" w:fill="auto"/>
            <w:vAlign w:val="center"/>
          </w:tcPr>
          <w:p w14:paraId="1B695A11" w14:textId="77777777" w:rsidR="00151242" w:rsidRPr="005E38F9" w:rsidRDefault="00151242" w:rsidP="00824915">
            <w:pPr>
              <w:jc w:val="center"/>
              <w:rPr>
                <w:rFonts w:cs="Arial"/>
                <w:color w:val="000000"/>
                <w:sz w:val="20"/>
              </w:rPr>
            </w:pPr>
            <w:r w:rsidRPr="005E38F9">
              <w:rPr>
                <w:rFonts w:cs="Arial"/>
                <w:color w:val="000000"/>
                <w:sz w:val="20"/>
              </w:rPr>
              <w:t>L</w:t>
            </w:r>
          </w:p>
        </w:tc>
        <w:tc>
          <w:tcPr>
            <w:tcW w:w="505" w:type="pct"/>
            <w:tcBorders>
              <w:top w:val="single" w:sz="4" w:space="0" w:color="auto"/>
              <w:left w:val="single" w:sz="4" w:space="0" w:color="auto"/>
              <w:bottom w:val="single" w:sz="4" w:space="0" w:color="auto"/>
              <w:right w:val="single" w:sz="4" w:space="0" w:color="auto"/>
            </w:tcBorders>
            <w:vAlign w:val="center"/>
          </w:tcPr>
          <w:p w14:paraId="33B10E20" w14:textId="109F4127" w:rsidR="00151242" w:rsidRPr="005E38F9" w:rsidRDefault="00BC1448" w:rsidP="00806E23">
            <w:pPr>
              <w:spacing w:line="276" w:lineRule="auto"/>
              <w:jc w:val="center"/>
              <w:rPr>
                <w:rFonts w:eastAsiaTheme="minorEastAsia" w:cs="Arial"/>
                <w:color w:val="000000"/>
                <w:sz w:val="20"/>
              </w:rPr>
            </w:pPr>
            <w:r>
              <w:rPr>
                <w:rFonts w:eastAsiaTheme="minorEastAsia" w:cs="Arial"/>
                <w:color w:val="000000"/>
                <w:sz w:val="20"/>
              </w:rPr>
              <w:t>4,643 (June</w:t>
            </w:r>
            <w:r w:rsidR="00824915" w:rsidRPr="005E38F9">
              <w:rPr>
                <w:rFonts w:eastAsiaTheme="minorEastAsia" w:cs="Arial"/>
                <w:color w:val="000000"/>
                <w:sz w:val="20"/>
              </w:rPr>
              <w:t>17)</w:t>
            </w:r>
          </w:p>
        </w:tc>
        <w:tc>
          <w:tcPr>
            <w:tcW w:w="526" w:type="pct"/>
            <w:tcBorders>
              <w:top w:val="single" w:sz="4" w:space="0" w:color="auto"/>
              <w:left w:val="single" w:sz="4" w:space="0" w:color="auto"/>
              <w:bottom w:val="single" w:sz="4" w:space="0" w:color="auto"/>
              <w:right w:val="single" w:sz="4" w:space="0" w:color="auto"/>
            </w:tcBorders>
            <w:vAlign w:val="center"/>
          </w:tcPr>
          <w:p w14:paraId="2A77B433" w14:textId="4DEF2AE7" w:rsidR="00151242" w:rsidRPr="005E38F9" w:rsidRDefault="00BC1448" w:rsidP="00806E23">
            <w:pPr>
              <w:spacing w:line="276" w:lineRule="auto"/>
              <w:jc w:val="center"/>
              <w:rPr>
                <w:rFonts w:eastAsiaTheme="minorEastAsia" w:cs="Arial"/>
                <w:sz w:val="20"/>
              </w:rPr>
            </w:pPr>
            <w:r>
              <w:rPr>
                <w:rFonts w:eastAsiaTheme="minorEastAsia" w:cs="Arial"/>
                <w:color w:val="000000"/>
                <w:sz w:val="20"/>
              </w:rPr>
              <w:t>4,511</w:t>
            </w:r>
            <w:r w:rsidR="00824915" w:rsidRPr="005E38F9">
              <w:rPr>
                <w:rFonts w:eastAsiaTheme="minorEastAsia" w:cs="Arial"/>
                <w:color w:val="000000"/>
                <w:sz w:val="20"/>
              </w:rPr>
              <w:t xml:space="preserve">     </w:t>
            </w:r>
            <w:r>
              <w:rPr>
                <w:rFonts w:eastAsiaTheme="minorEastAsia" w:cs="Arial"/>
                <w:color w:val="000000"/>
                <w:sz w:val="20"/>
              </w:rPr>
              <w:t xml:space="preserve"> (Sept</w:t>
            </w:r>
            <w:r w:rsidR="00151242" w:rsidRPr="005E38F9">
              <w:rPr>
                <w:rFonts w:eastAsiaTheme="minorEastAsia" w:cs="Arial"/>
                <w:color w:val="000000"/>
                <w:sz w:val="20"/>
              </w:rPr>
              <w:t xml:space="preserve"> 17)</w:t>
            </w:r>
          </w:p>
        </w:tc>
        <w:tc>
          <w:tcPr>
            <w:tcW w:w="551" w:type="pct"/>
            <w:tcBorders>
              <w:top w:val="nil"/>
              <w:left w:val="nil"/>
              <w:bottom w:val="single" w:sz="4" w:space="0" w:color="auto"/>
              <w:right w:val="single" w:sz="4" w:space="0" w:color="auto"/>
            </w:tcBorders>
            <w:shd w:val="clear" w:color="auto" w:fill="E6B8B7"/>
            <w:vAlign w:val="center"/>
          </w:tcPr>
          <w:p w14:paraId="4D48C272" w14:textId="2BE707BD" w:rsidR="007B3E3F" w:rsidRPr="005E38F9" w:rsidRDefault="00151242" w:rsidP="00806E23">
            <w:pPr>
              <w:spacing w:line="276" w:lineRule="auto"/>
              <w:jc w:val="center"/>
              <w:rPr>
                <w:rFonts w:eastAsiaTheme="minorEastAsia" w:cs="Arial"/>
                <w:bCs/>
                <w:color w:val="000000"/>
                <w:sz w:val="20"/>
              </w:rPr>
            </w:pPr>
            <w:r w:rsidRPr="005E38F9">
              <w:rPr>
                <w:rFonts w:eastAsiaTheme="minorEastAsia" w:cs="Arial"/>
                <w:bCs/>
                <w:color w:val="000000"/>
                <w:sz w:val="20"/>
              </w:rPr>
              <w:t xml:space="preserve">3,903 </w:t>
            </w:r>
            <w:r w:rsidR="00824915" w:rsidRPr="005E38F9">
              <w:rPr>
                <w:rFonts w:eastAsiaTheme="minorEastAsia" w:cs="Arial"/>
                <w:bCs/>
                <w:color w:val="000000"/>
                <w:sz w:val="20"/>
              </w:rPr>
              <w:t xml:space="preserve">      </w:t>
            </w:r>
            <w:r w:rsidRPr="005E38F9">
              <w:rPr>
                <w:rFonts w:eastAsiaTheme="minorEastAsia" w:cs="Arial"/>
                <w:bCs/>
                <w:color w:val="000000"/>
                <w:sz w:val="20"/>
              </w:rPr>
              <w:t>(Dec 17)</w:t>
            </w:r>
          </w:p>
        </w:tc>
        <w:tc>
          <w:tcPr>
            <w:tcW w:w="411" w:type="pct"/>
            <w:tcBorders>
              <w:top w:val="nil"/>
              <w:left w:val="nil"/>
              <w:bottom w:val="single" w:sz="4" w:space="0" w:color="auto"/>
              <w:right w:val="single" w:sz="4" w:space="0" w:color="auto"/>
            </w:tcBorders>
            <w:vAlign w:val="center"/>
          </w:tcPr>
          <w:p w14:paraId="7B5878E9" w14:textId="77777777" w:rsidR="00151242" w:rsidRPr="005E38F9" w:rsidRDefault="00537D19" w:rsidP="00824915">
            <w:pPr>
              <w:spacing w:after="200" w:line="276" w:lineRule="auto"/>
              <w:jc w:val="center"/>
              <w:rPr>
                <w:rFonts w:eastAsiaTheme="minorEastAsia" w:cs="Arial"/>
                <w:bCs/>
                <w:color w:val="000000"/>
                <w:sz w:val="20"/>
              </w:rPr>
            </w:pPr>
            <w:r>
              <w:rPr>
                <w:rFonts w:eastAsiaTheme="minorEastAsia" w:cs="Arial"/>
                <w:bCs/>
                <w:color w:val="000000"/>
                <w:sz w:val="20"/>
              </w:rPr>
              <w:t>-</w:t>
            </w:r>
          </w:p>
        </w:tc>
      </w:tr>
      <w:tr w:rsidR="00F8218F" w:rsidRPr="00151242" w14:paraId="4F056C1E" w14:textId="77777777" w:rsidTr="00806E23">
        <w:trPr>
          <w:trHeight w:val="259"/>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FA122" w14:textId="77777777" w:rsidR="00F8218F" w:rsidRPr="00F8218F" w:rsidRDefault="00F8218F" w:rsidP="00806E23">
            <w:pPr>
              <w:spacing w:line="276" w:lineRule="auto"/>
              <w:jc w:val="center"/>
              <w:rPr>
                <w:rFonts w:cs="Arial"/>
                <w:b/>
                <w:sz w:val="20"/>
              </w:rPr>
            </w:pPr>
            <w:r w:rsidRPr="00F8218F">
              <w:rPr>
                <w:rFonts w:cs="Arial"/>
                <w:b/>
                <w:sz w:val="20"/>
              </w:rPr>
              <w:t>Quality of services</w:t>
            </w:r>
          </w:p>
        </w:tc>
      </w:tr>
      <w:tr w:rsidR="00824915" w:rsidRPr="00151242" w14:paraId="6EAFB993" w14:textId="77777777" w:rsidTr="00806E23">
        <w:trPr>
          <w:trHeight w:val="475"/>
        </w:trPr>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14:paraId="1E11A1C7" w14:textId="77777777" w:rsidR="00824915" w:rsidRPr="005E38F9" w:rsidRDefault="00824915" w:rsidP="00806E23">
            <w:pPr>
              <w:rPr>
                <w:rFonts w:cs="Arial"/>
                <w:color w:val="000000"/>
                <w:sz w:val="20"/>
              </w:rPr>
            </w:pPr>
            <w:r w:rsidRPr="005E38F9">
              <w:rPr>
                <w:rFonts w:cs="Arial"/>
                <w:color w:val="000000"/>
                <w:sz w:val="20"/>
              </w:rPr>
              <w:t>Care Quality Commission</w:t>
            </w:r>
            <w:r w:rsidR="009E7E58" w:rsidRPr="005E38F9">
              <w:rPr>
                <w:rFonts w:cs="Arial"/>
                <w:color w:val="000000"/>
                <w:sz w:val="20"/>
              </w:rPr>
              <w:t xml:space="preserve"> (CQC)</w:t>
            </w:r>
            <w:r w:rsidRPr="005E38F9">
              <w:rPr>
                <w:rFonts w:cs="Arial"/>
                <w:color w:val="000000"/>
                <w:sz w:val="20"/>
              </w:rPr>
              <w:t xml:space="preserve"> – Care Home ratings</w:t>
            </w:r>
            <w:r w:rsidR="007B3E3F" w:rsidRPr="005E38F9">
              <w:rPr>
                <w:rFonts w:cs="Arial"/>
                <w:color w:val="000000"/>
                <w:sz w:val="20"/>
              </w:rPr>
              <w:t xml:space="preserve"> good/outstanding</w:t>
            </w:r>
          </w:p>
        </w:tc>
        <w:tc>
          <w:tcPr>
            <w:tcW w:w="414" w:type="pct"/>
            <w:tcBorders>
              <w:top w:val="single" w:sz="4" w:space="0" w:color="auto"/>
              <w:left w:val="nil"/>
              <w:bottom w:val="single" w:sz="4" w:space="0" w:color="auto"/>
              <w:right w:val="single" w:sz="4" w:space="0" w:color="auto"/>
            </w:tcBorders>
            <w:shd w:val="clear" w:color="auto" w:fill="auto"/>
            <w:vAlign w:val="center"/>
          </w:tcPr>
          <w:p w14:paraId="257811D5" w14:textId="77777777" w:rsidR="00824915" w:rsidRPr="005E38F9" w:rsidRDefault="00E73C17" w:rsidP="00806E23">
            <w:pPr>
              <w:rPr>
                <w:rFonts w:cs="Arial"/>
                <w:color w:val="000000"/>
                <w:sz w:val="20"/>
              </w:rPr>
            </w:pPr>
            <w:r w:rsidRPr="005E38F9">
              <w:rPr>
                <w:rFonts w:cs="Arial"/>
                <w:color w:val="000000"/>
                <w:sz w:val="20"/>
              </w:rPr>
              <w:t>H</w:t>
            </w:r>
          </w:p>
        </w:tc>
        <w:tc>
          <w:tcPr>
            <w:tcW w:w="505" w:type="pct"/>
            <w:tcBorders>
              <w:top w:val="single" w:sz="4" w:space="0" w:color="auto"/>
              <w:left w:val="single" w:sz="4" w:space="0" w:color="auto"/>
              <w:bottom w:val="single" w:sz="4" w:space="0" w:color="auto"/>
              <w:right w:val="single" w:sz="4" w:space="0" w:color="auto"/>
            </w:tcBorders>
            <w:vAlign w:val="center"/>
          </w:tcPr>
          <w:p w14:paraId="0A50D73F" w14:textId="21CBBDA0" w:rsidR="00824915" w:rsidRPr="005E38F9" w:rsidRDefault="007B4747" w:rsidP="00806E23">
            <w:pPr>
              <w:jc w:val="center"/>
              <w:rPr>
                <w:rFonts w:eastAsiaTheme="minorEastAsia" w:cs="Arial"/>
                <w:color w:val="000000"/>
                <w:sz w:val="20"/>
              </w:rPr>
            </w:pPr>
            <w:r>
              <w:rPr>
                <w:rFonts w:eastAsiaTheme="minorEastAsia" w:cs="Arial"/>
                <w:color w:val="000000"/>
                <w:sz w:val="20"/>
              </w:rPr>
              <w:t>74%</w:t>
            </w:r>
          </w:p>
        </w:tc>
        <w:tc>
          <w:tcPr>
            <w:tcW w:w="526" w:type="pct"/>
            <w:tcBorders>
              <w:top w:val="single" w:sz="4" w:space="0" w:color="auto"/>
              <w:left w:val="nil"/>
              <w:bottom w:val="single" w:sz="4" w:space="0" w:color="auto"/>
              <w:right w:val="single" w:sz="4" w:space="0" w:color="auto"/>
            </w:tcBorders>
            <w:shd w:val="clear" w:color="auto" w:fill="auto"/>
            <w:vAlign w:val="center"/>
          </w:tcPr>
          <w:p w14:paraId="5A5E4E92" w14:textId="77777777" w:rsidR="00824915" w:rsidRPr="005E38F9" w:rsidRDefault="007B3E3F" w:rsidP="00806E23">
            <w:pPr>
              <w:jc w:val="center"/>
              <w:rPr>
                <w:rFonts w:cs="Arial"/>
                <w:color w:val="000000"/>
                <w:sz w:val="20"/>
              </w:rPr>
            </w:pPr>
            <w:r w:rsidRPr="005E38F9">
              <w:rPr>
                <w:rFonts w:eastAsiaTheme="minorEastAsia" w:cs="Arial"/>
                <w:color w:val="000000"/>
                <w:sz w:val="20"/>
              </w:rPr>
              <w:t>74%</w:t>
            </w:r>
          </w:p>
        </w:tc>
        <w:tc>
          <w:tcPr>
            <w:tcW w:w="551" w:type="pct"/>
            <w:tcBorders>
              <w:top w:val="single" w:sz="4" w:space="0" w:color="auto"/>
              <w:left w:val="single" w:sz="4" w:space="0" w:color="auto"/>
              <w:bottom w:val="single" w:sz="4" w:space="0" w:color="auto"/>
              <w:right w:val="single" w:sz="4" w:space="0" w:color="auto"/>
            </w:tcBorders>
            <w:shd w:val="clear" w:color="auto" w:fill="F7CAAC"/>
            <w:vAlign w:val="center"/>
          </w:tcPr>
          <w:p w14:paraId="6EF92A34" w14:textId="77777777" w:rsidR="00824915" w:rsidRPr="005E38F9" w:rsidRDefault="007B3E3F" w:rsidP="00806E23">
            <w:pPr>
              <w:jc w:val="center"/>
              <w:rPr>
                <w:rFonts w:eastAsiaTheme="minorEastAsia" w:cs="Arial"/>
                <w:color w:val="000000"/>
                <w:sz w:val="20"/>
              </w:rPr>
            </w:pPr>
            <w:r w:rsidRPr="005E38F9">
              <w:rPr>
                <w:rFonts w:cs="Arial"/>
                <w:color w:val="000000"/>
                <w:sz w:val="20"/>
              </w:rPr>
              <w:t>74.5%</w:t>
            </w:r>
          </w:p>
        </w:tc>
        <w:tc>
          <w:tcPr>
            <w:tcW w:w="411" w:type="pct"/>
            <w:tcBorders>
              <w:top w:val="single" w:sz="4" w:space="0" w:color="auto"/>
              <w:left w:val="nil"/>
              <w:bottom w:val="single" w:sz="4" w:space="0" w:color="auto"/>
              <w:right w:val="single" w:sz="4" w:space="0" w:color="auto"/>
            </w:tcBorders>
            <w:shd w:val="clear" w:color="auto" w:fill="auto"/>
            <w:vAlign w:val="center"/>
          </w:tcPr>
          <w:p w14:paraId="67D4EDB2" w14:textId="77777777" w:rsidR="00824915" w:rsidRPr="005E38F9" w:rsidRDefault="007B3E3F" w:rsidP="00806E23">
            <w:pPr>
              <w:jc w:val="center"/>
              <w:rPr>
                <w:rFonts w:cs="Arial"/>
                <w:color w:val="000000"/>
                <w:sz w:val="20"/>
              </w:rPr>
            </w:pPr>
            <w:r w:rsidRPr="005E38F9">
              <w:rPr>
                <w:rFonts w:cs="Arial"/>
                <w:color w:val="000000"/>
                <w:sz w:val="20"/>
              </w:rPr>
              <w:t>78.9%</w:t>
            </w:r>
          </w:p>
        </w:tc>
      </w:tr>
      <w:tr w:rsidR="00824915" w:rsidRPr="00151242" w14:paraId="242CA91E" w14:textId="77777777" w:rsidTr="00806E23">
        <w:trPr>
          <w:trHeight w:val="616"/>
        </w:trPr>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14:paraId="666F3C87" w14:textId="77777777" w:rsidR="00824915" w:rsidRPr="005E38F9" w:rsidRDefault="009E7E58" w:rsidP="00806E23">
            <w:pPr>
              <w:rPr>
                <w:rFonts w:cs="Arial"/>
                <w:color w:val="000000"/>
                <w:sz w:val="20"/>
              </w:rPr>
            </w:pPr>
            <w:r w:rsidRPr="005E38F9">
              <w:rPr>
                <w:rFonts w:cs="Arial"/>
                <w:color w:val="000000"/>
                <w:sz w:val="20"/>
              </w:rPr>
              <w:t>CQC Community Care Service ratings</w:t>
            </w:r>
          </w:p>
        </w:tc>
        <w:tc>
          <w:tcPr>
            <w:tcW w:w="414" w:type="pct"/>
            <w:tcBorders>
              <w:top w:val="single" w:sz="4" w:space="0" w:color="auto"/>
              <w:left w:val="nil"/>
              <w:bottom w:val="single" w:sz="4" w:space="0" w:color="auto"/>
              <w:right w:val="single" w:sz="4" w:space="0" w:color="auto"/>
            </w:tcBorders>
            <w:shd w:val="clear" w:color="auto" w:fill="auto"/>
            <w:vAlign w:val="center"/>
          </w:tcPr>
          <w:p w14:paraId="5471F842" w14:textId="77777777" w:rsidR="00824915" w:rsidRPr="005E38F9" w:rsidRDefault="00E73C17" w:rsidP="00806E23">
            <w:pPr>
              <w:rPr>
                <w:rFonts w:cs="Arial"/>
                <w:color w:val="000000"/>
                <w:sz w:val="20"/>
              </w:rPr>
            </w:pPr>
            <w:r w:rsidRPr="005E38F9">
              <w:rPr>
                <w:rFonts w:cs="Arial"/>
                <w:color w:val="000000"/>
                <w:sz w:val="20"/>
              </w:rPr>
              <w:t>H</w:t>
            </w:r>
          </w:p>
        </w:tc>
        <w:tc>
          <w:tcPr>
            <w:tcW w:w="505" w:type="pct"/>
            <w:tcBorders>
              <w:top w:val="single" w:sz="4" w:space="0" w:color="auto"/>
              <w:left w:val="single" w:sz="4" w:space="0" w:color="auto"/>
              <w:bottom w:val="single" w:sz="4" w:space="0" w:color="auto"/>
              <w:right w:val="single" w:sz="4" w:space="0" w:color="auto"/>
            </w:tcBorders>
            <w:vAlign w:val="center"/>
          </w:tcPr>
          <w:p w14:paraId="334DE76D" w14:textId="203675A0" w:rsidR="00824915" w:rsidRPr="005E38F9" w:rsidRDefault="007B4747" w:rsidP="00806E23">
            <w:pPr>
              <w:jc w:val="center"/>
              <w:rPr>
                <w:rFonts w:eastAsiaTheme="minorEastAsia" w:cs="Arial"/>
                <w:color w:val="000000"/>
                <w:sz w:val="20"/>
              </w:rPr>
            </w:pPr>
            <w:r>
              <w:rPr>
                <w:rFonts w:eastAsiaTheme="minorEastAsia" w:cs="Arial"/>
                <w:color w:val="000000"/>
                <w:sz w:val="20"/>
              </w:rPr>
              <w:t>85.5%</w:t>
            </w:r>
          </w:p>
        </w:tc>
        <w:tc>
          <w:tcPr>
            <w:tcW w:w="526" w:type="pct"/>
            <w:tcBorders>
              <w:top w:val="single" w:sz="4" w:space="0" w:color="auto"/>
              <w:left w:val="nil"/>
              <w:bottom w:val="single" w:sz="4" w:space="0" w:color="auto"/>
              <w:right w:val="single" w:sz="4" w:space="0" w:color="auto"/>
            </w:tcBorders>
            <w:shd w:val="clear" w:color="auto" w:fill="auto"/>
            <w:vAlign w:val="center"/>
          </w:tcPr>
          <w:p w14:paraId="4EB40635" w14:textId="77777777" w:rsidR="00824915" w:rsidRPr="003F6046" w:rsidRDefault="003210C0" w:rsidP="00806E23">
            <w:pPr>
              <w:jc w:val="center"/>
              <w:rPr>
                <w:rFonts w:eastAsiaTheme="minorEastAsia" w:cs="Arial"/>
                <w:color w:val="000000"/>
                <w:sz w:val="20"/>
              </w:rPr>
            </w:pPr>
            <w:r w:rsidRPr="003F6046">
              <w:rPr>
                <w:rFonts w:eastAsiaTheme="minorEastAsia" w:cs="Arial"/>
                <w:color w:val="000000"/>
                <w:sz w:val="20"/>
              </w:rPr>
              <w:t>86%</w:t>
            </w:r>
          </w:p>
        </w:tc>
        <w:tc>
          <w:tcPr>
            <w:tcW w:w="55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5EEF46" w14:textId="77777777" w:rsidR="00824915" w:rsidRPr="005E38F9" w:rsidRDefault="003210C0" w:rsidP="00806E23">
            <w:pPr>
              <w:jc w:val="center"/>
              <w:rPr>
                <w:rFonts w:eastAsiaTheme="minorEastAsia" w:cs="Arial"/>
                <w:color w:val="000000"/>
                <w:sz w:val="20"/>
              </w:rPr>
            </w:pPr>
            <w:r w:rsidRPr="005E38F9">
              <w:rPr>
                <w:rFonts w:cs="Arial"/>
                <w:color w:val="000000"/>
                <w:sz w:val="20"/>
              </w:rPr>
              <w:t>87.5%</w:t>
            </w:r>
          </w:p>
        </w:tc>
        <w:tc>
          <w:tcPr>
            <w:tcW w:w="411" w:type="pct"/>
            <w:tcBorders>
              <w:top w:val="single" w:sz="4" w:space="0" w:color="auto"/>
              <w:left w:val="nil"/>
              <w:bottom w:val="single" w:sz="4" w:space="0" w:color="auto"/>
              <w:right w:val="single" w:sz="4" w:space="0" w:color="auto"/>
            </w:tcBorders>
            <w:shd w:val="clear" w:color="auto" w:fill="auto"/>
            <w:vAlign w:val="center"/>
          </w:tcPr>
          <w:p w14:paraId="340E5055" w14:textId="77777777" w:rsidR="00824915" w:rsidRPr="005E38F9" w:rsidRDefault="003210C0" w:rsidP="00806E23">
            <w:pPr>
              <w:jc w:val="center"/>
              <w:rPr>
                <w:rFonts w:cs="Arial"/>
                <w:color w:val="000000"/>
                <w:sz w:val="20"/>
              </w:rPr>
            </w:pPr>
            <w:r w:rsidRPr="005E38F9">
              <w:rPr>
                <w:rFonts w:cs="Arial"/>
                <w:color w:val="000000"/>
                <w:sz w:val="20"/>
              </w:rPr>
              <w:t>84.4%</w:t>
            </w:r>
          </w:p>
        </w:tc>
      </w:tr>
    </w:tbl>
    <w:p w14:paraId="6060AE60" w14:textId="77777777" w:rsidR="00456FA8" w:rsidRPr="009A1190" w:rsidRDefault="00456FA8" w:rsidP="00436BAB">
      <w:pPr>
        <w:pStyle w:val="NoSpacing"/>
        <w:rPr>
          <w:rFonts w:ascii="Arial" w:hAnsi="Arial" w:cs="Arial"/>
          <w:sz w:val="24"/>
          <w:szCs w:val="24"/>
        </w:rPr>
      </w:pPr>
    </w:p>
    <w:p w14:paraId="780E87D7" w14:textId="77777777" w:rsidR="00587F14" w:rsidRPr="00935491" w:rsidRDefault="00587F14" w:rsidP="00E46CCF">
      <w:pPr>
        <w:jc w:val="both"/>
        <w:rPr>
          <w:rFonts w:cs="Arial"/>
          <w:sz w:val="22"/>
          <w:szCs w:val="22"/>
        </w:rPr>
      </w:pPr>
      <w:r w:rsidRPr="00935491">
        <w:rPr>
          <w:rFonts w:cs="Arial"/>
          <w:sz w:val="22"/>
          <w:szCs w:val="22"/>
        </w:rPr>
        <w:t xml:space="preserve">The proportion </w:t>
      </w:r>
      <w:r w:rsidR="00DD1097" w:rsidRPr="00935491">
        <w:rPr>
          <w:rFonts w:cs="Arial"/>
          <w:sz w:val="22"/>
          <w:szCs w:val="22"/>
        </w:rPr>
        <w:t>of people with personal budgets</w:t>
      </w:r>
      <w:r w:rsidRPr="00935491">
        <w:rPr>
          <w:rFonts w:cs="Arial"/>
          <w:sz w:val="22"/>
          <w:szCs w:val="22"/>
        </w:rPr>
        <w:t xml:space="preserve"> is below the national average, but is improving steadily as expected through </w:t>
      </w:r>
      <w:r w:rsidR="00DA2D26" w:rsidRPr="00935491">
        <w:rPr>
          <w:rFonts w:cs="Arial"/>
          <w:sz w:val="22"/>
          <w:szCs w:val="22"/>
        </w:rPr>
        <w:t>targeted reviews</w:t>
      </w:r>
      <w:r w:rsidRPr="00935491">
        <w:rPr>
          <w:rFonts w:cs="Arial"/>
          <w:sz w:val="22"/>
          <w:szCs w:val="22"/>
        </w:rPr>
        <w:t xml:space="preserve">. </w:t>
      </w:r>
    </w:p>
    <w:p w14:paraId="607E43AE" w14:textId="77777777" w:rsidR="00587F14" w:rsidRPr="00935491" w:rsidRDefault="00587F14" w:rsidP="00E46CCF">
      <w:pPr>
        <w:jc w:val="both"/>
        <w:rPr>
          <w:rFonts w:eastAsiaTheme="majorEastAsia" w:cs="Arial"/>
          <w:b/>
          <w:color w:val="5B9BD5" w:themeColor="accent1"/>
          <w:sz w:val="22"/>
          <w:szCs w:val="22"/>
        </w:rPr>
      </w:pPr>
    </w:p>
    <w:p w14:paraId="66F75EB9" w14:textId="77777777" w:rsidR="00587F14" w:rsidRPr="00935491" w:rsidRDefault="00DD1097" w:rsidP="00E46CCF">
      <w:pPr>
        <w:jc w:val="both"/>
        <w:rPr>
          <w:rFonts w:cs="Arial"/>
          <w:sz w:val="22"/>
          <w:szCs w:val="22"/>
        </w:rPr>
      </w:pPr>
      <w:r w:rsidRPr="00935491">
        <w:rPr>
          <w:rFonts w:cs="Arial"/>
          <w:sz w:val="22"/>
          <w:szCs w:val="22"/>
        </w:rPr>
        <w:t xml:space="preserve">The </w:t>
      </w:r>
      <w:r w:rsidR="00587F14" w:rsidRPr="00935491">
        <w:rPr>
          <w:rFonts w:cs="Arial"/>
          <w:sz w:val="22"/>
          <w:szCs w:val="22"/>
        </w:rPr>
        <w:t xml:space="preserve">Q3 residential admissions indicators for </w:t>
      </w:r>
      <w:r w:rsidRPr="00935491">
        <w:rPr>
          <w:rFonts w:cs="Arial"/>
          <w:sz w:val="22"/>
          <w:szCs w:val="22"/>
        </w:rPr>
        <w:t>adults and older people h</w:t>
      </w:r>
      <w:r w:rsidR="00587F14" w:rsidRPr="00935491">
        <w:rPr>
          <w:rFonts w:cs="Arial"/>
          <w:sz w:val="22"/>
          <w:szCs w:val="22"/>
        </w:rPr>
        <w:t>ave both improved slightly from Q2</w:t>
      </w:r>
      <w:r w:rsidRPr="00935491">
        <w:rPr>
          <w:rFonts w:cs="Arial"/>
          <w:sz w:val="22"/>
          <w:szCs w:val="22"/>
        </w:rPr>
        <w:t xml:space="preserve"> which is in line with the Passport to Independence work.</w:t>
      </w:r>
      <w:r w:rsidR="00587F14" w:rsidRPr="00935491">
        <w:rPr>
          <w:rFonts w:cs="Arial"/>
          <w:sz w:val="22"/>
          <w:szCs w:val="22"/>
        </w:rPr>
        <w:t xml:space="preserve"> </w:t>
      </w:r>
      <w:r w:rsidRPr="00935491">
        <w:rPr>
          <w:rFonts w:cs="Arial"/>
          <w:sz w:val="22"/>
          <w:szCs w:val="22"/>
        </w:rPr>
        <w:t xml:space="preserve"> The admissions to residential care for older people are</w:t>
      </w:r>
      <w:r w:rsidR="00935491" w:rsidRPr="00935491">
        <w:rPr>
          <w:rFonts w:cs="Arial"/>
          <w:sz w:val="22"/>
          <w:szCs w:val="22"/>
        </w:rPr>
        <w:t xml:space="preserve"> still significantly higher than the national average and are</w:t>
      </w:r>
      <w:r w:rsidRPr="00935491">
        <w:rPr>
          <w:rFonts w:cs="Arial"/>
          <w:sz w:val="22"/>
          <w:szCs w:val="22"/>
        </w:rPr>
        <w:t xml:space="preserve"> unlikely to achieve the Better Care Fund target of 1795.</w:t>
      </w:r>
    </w:p>
    <w:p w14:paraId="3AF9CA5B" w14:textId="77777777" w:rsidR="00BC2C8E" w:rsidRPr="00935491" w:rsidRDefault="00BC2C8E" w:rsidP="00E46CCF">
      <w:pPr>
        <w:jc w:val="both"/>
        <w:rPr>
          <w:rFonts w:cs="Arial"/>
          <w:sz w:val="22"/>
          <w:szCs w:val="22"/>
        </w:rPr>
      </w:pPr>
    </w:p>
    <w:p w14:paraId="1BD4D529" w14:textId="77777777" w:rsidR="00BC2C8E" w:rsidRPr="00935491" w:rsidRDefault="00587F14" w:rsidP="00E46CCF">
      <w:pPr>
        <w:spacing w:after="120"/>
        <w:jc w:val="both"/>
        <w:rPr>
          <w:rFonts w:cs="Arial"/>
          <w:sz w:val="22"/>
          <w:szCs w:val="22"/>
        </w:rPr>
      </w:pPr>
      <w:r w:rsidRPr="00935491">
        <w:rPr>
          <w:rFonts w:cs="Arial"/>
          <w:sz w:val="22"/>
          <w:szCs w:val="22"/>
        </w:rPr>
        <w:lastRenderedPageBreak/>
        <w:t xml:space="preserve">The number of </w:t>
      </w:r>
      <w:proofErr w:type="spellStart"/>
      <w:r w:rsidRPr="00935491">
        <w:rPr>
          <w:rFonts w:cs="Arial"/>
          <w:sz w:val="22"/>
          <w:szCs w:val="22"/>
        </w:rPr>
        <w:t>reablement</w:t>
      </w:r>
      <w:proofErr w:type="spellEnd"/>
      <w:r w:rsidRPr="00935491">
        <w:rPr>
          <w:rFonts w:cs="Arial"/>
          <w:sz w:val="22"/>
          <w:szCs w:val="22"/>
        </w:rPr>
        <w:t xml:space="preserve"> </w:t>
      </w:r>
      <w:r w:rsidR="00DD1097" w:rsidRPr="00935491">
        <w:rPr>
          <w:rFonts w:cs="Arial"/>
          <w:sz w:val="22"/>
          <w:szCs w:val="22"/>
        </w:rPr>
        <w:t>referrals has increased by 4.2% with the</w:t>
      </w:r>
      <w:r w:rsidRPr="00935491">
        <w:rPr>
          <w:rFonts w:cs="Arial"/>
          <w:sz w:val="22"/>
          <w:szCs w:val="22"/>
        </w:rPr>
        <w:t xml:space="preserve"> number of comple</w:t>
      </w:r>
      <w:r w:rsidR="00DD1097" w:rsidRPr="00935491">
        <w:rPr>
          <w:rFonts w:cs="Arial"/>
          <w:sz w:val="22"/>
          <w:szCs w:val="22"/>
        </w:rPr>
        <w:t xml:space="preserve">ted </w:t>
      </w:r>
      <w:proofErr w:type="spellStart"/>
      <w:r w:rsidR="00DD1097" w:rsidRPr="00935491">
        <w:rPr>
          <w:rFonts w:cs="Arial"/>
          <w:sz w:val="22"/>
          <w:szCs w:val="22"/>
        </w:rPr>
        <w:t>reablement</w:t>
      </w:r>
      <w:proofErr w:type="spellEnd"/>
      <w:r w:rsidR="00DD1097" w:rsidRPr="00935491">
        <w:rPr>
          <w:rFonts w:cs="Arial"/>
          <w:sz w:val="22"/>
          <w:szCs w:val="22"/>
        </w:rPr>
        <w:t xml:space="preserve"> support plans increasing by </w:t>
      </w:r>
      <w:r w:rsidRPr="00935491">
        <w:rPr>
          <w:rFonts w:cs="Arial"/>
          <w:sz w:val="22"/>
          <w:szCs w:val="22"/>
        </w:rPr>
        <w:t xml:space="preserve">26.6%. Both measures indicate that greater numbers of people are being offered </w:t>
      </w:r>
      <w:proofErr w:type="spellStart"/>
      <w:r w:rsidRPr="00935491">
        <w:rPr>
          <w:rFonts w:cs="Arial"/>
          <w:sz w:val="22"/>
          <w:szCs w:val="22"/>
        </w:rPr>
        <w:t>reablement</w:t>
      </w:r>
      <w:proofErr w:type="spellEnd"/>
      <w:r w:rsidRPr="00935491">
        <w:rPr>
          <w:rFonts w:cs="Arial"/>
          <w:sz w:val="22"/>
          <w:szCs w:val="22"/>
        </w:rPr>
        <w:t xml:space="preserve"> in accordance with the aims of the Passport to Independence programme. </w:t>
      </w:r>
    </w:p>
    <w:p w14:paraId="4F02400A" w14:textId="77777777" w:rsidR="00587F14" w:rsidRPr="00935491" w:rsidRDefault="00587F14" w:rsidP="00E46CCF">
      <w:pPr>
        <w:spacing w:after="120"/>
        <w:jc w:val="both"/>
        <w:rPr>
          <w:rFonts w:cs="Arial"/>
          <w:sz w:val="22"/>
          <w:szCs w:val="22"/>
        </w:rPr>
      </w:pPr>
      <w:r w:rsidRPr="00935491">
        <w:rPr>
          <w:rFonts w:cs="Arial"/>
          <w:sz w:val="22"/>
          <w:szCs w:val="22"/>
        </w:rPr>
        <w:t xml:space="preserve">The Lancashire monthly total for </w:t>
      </w:r>
      <w:r w:rsidR="00DD1097" w:rsidRPr="00935491">
        <w:rPr>
          <w:rFonts w:cs="Arial"/>
          <w:sz w:val="22"/>
          <w:szCs w:val="22"/>
        </w:rPr>
        <w:t xml:space="preserve">delayed transfer </w:t>
      </w:r>
      <w:r w:rsidR="00BC2C8E" w:rsidRPr="00935491">
        <w:rPr>
          <w:rFonts w:cs="Arial"/>
          <w:sz w:val="22"/>
          <w:szCs w:val="22"/>
        </w:rPr>
        <w:t>o</w:t>
      </w:r>
      <w:r w:rsidR="00DD1097" w:rsidRPr="00935491">
        <w:rPr>
          <w:rFonts w:cs="Arial"/>
          <w:sz w:val="22"/>
          <w:szCs w:val="22"/>
        </w:rPr>
        <w:t>f care (</w:t>
      </w:r>
      <w:r w:rsidRPr="00935491">
        <w:rPr>
          <w:rFonts w:cs="Arial"/>
          <w:sz w:val="22"/>
          <w:szCs w:val="22"/>
        </w:rPr>
        <w:t>delayed days</w:t>
      </w:r>
      <w:r w:rsidR="00DD1097" w:rsidRPr="00935491">
        <w:rPr>
          <w:rFonts w:cs="Arial"/>
          <w:sz w:val="22"/>
          <w:szCs w:val="22"/>
        </w:rPr>
        <w:t>)</w:t>
      </w:r>
      <w:r w:rsidRPr="00935491">
        <w:rPr>
          <w:rFonts w:cs="Arial"/>
          <w:sz w:val="22"/>
          <w:szCs w:val="22"/>
        </w:rPr>
        <w:t xml:space="preserve"> has decreas</w:t>
      </w:r>
      <w:r w:rsidR="00DD1097" w:rsidRPr="00935491">
        <w:rPr>
          <w:rFonts w:cs="Arial"/>
          <w:sz w:val="22"/>
          <w:szCs w:val="22"/>
        </w:rPr>
        <w:t xml:space="preserve">ed by 644 days (-14.2%) </w:t>
      </w:r>
      <w:r w:rsidRPr="00935491">
        <w:rPr>
          <w:rFonts w:cs="Arial"/>
          <w:sz w:val="22"/>
          <w:szCs w:val="22"/>
        </w:rPr>
        <w:t>compared with an overall decrease of 3.8% for our comparator authorities and a decre</w:t>
      </w:r>
      <w:r w:rsidR="00DD1097" w:rsidRPr="00935491">
        <w:rPr>
          <w:rFonts w:cs="Arial"/>
          <w:sz w:val="22"/>
          <w:szCs w:val="22"/>
        </w:rPr>
        <w:t>ase of 6.3% for all authorities</w:t>
      </w:r>
      <w:r w:rsidRPr="00935491">
        <w:rPr>
          <w:rFonts w:cs="Arial"/>
          <w:sz w:val="22"/>
          <w:szCs w:val="22"/>
        </w:rPr>
        <w:t>.</w:t>
      </w:r>
      <w:r w:rsidR="00935491" w:rsidRPr="00935491">
        <w:rPr>
          <w:rFonts w:cs="Arial"/>
          <w:sz w:val="22"/>
          <w:szCs w:val="22"/>
        </w:rPr>
        <w:t xml:space="preserve">  </w:t>
      </w:r>
    </w:p>
    <w:p w14:paraId="245F97AD" w14:textId="77777777" w:rsidR="00DE08E3" w:rsidRDefault="00935491" w:rsidP="00E46CCF">
      <w:pPr>
        <w:spacing w:before="120" w:after="120"/>
        <w:contextualSpacing/>
        <w:jc w:val="both"/>
        <w:rPr>
          <w:rFonts w:cs="Arial"/>
          <w:sz w:val="22"/>
          <w:szCs w:val="22"/>
        </w:rPr>
      </w:pPr>
      <w:r w:rsidRPr="00935491">
        <w:rPr>
          <w:rFonts w:cs="Arial"/>
          <w:sz w:val="22"/>
          <w:szCs w:val="22"/>
        </w:rPr>
        <w:t>Timeliness of assessments has continued to improve.  The number of occupational therapy assessments has increased in Q3 by 21.5% (from 1779 to 2161) which suggests that waiting times for OT assessments are improving.  This is in line with the increased capacity within the service and a more robustly managed OT workforce.</w:t>
      </w:r>
      <w:r w:rsidR="00587F14" w:rsidRPr="00935491">
        <w:rPr>
          <w:rFonts w:cs="Arial"/>
          <w:sz w:val="22"/>
          <w:szCs w:val="22"/>
        </w:rPr>
        <w:t xml:space="preserve"> However, OT waits are still often excessive and are not always easy to track.</w:t>
      </w:r>
    </w:p>
    <w:p w14:paraId="024A8BBD" w14:textId="77777777" w:rsidR="00E46CCF" w:rsidRPr="00935491" w:rsidRDefault="00E46CCF" w:rsidP="00E46CCF">
      <w:pPr>
        <w:spacing w:before="120" w:after="120"/>
        <w:contextualSpacing/>
        <w:jc w:val="both"/>
        <w:rPr>
          <w:rFonts w:cs="Arial"/>
          <w:sz w:val="22"/>
          <w:szCs w:val="22"/>
        </w:rPr>
      </w:pPr>
    </w:p>
    <w:p w14:paraId="00DF7482" w14:textId="77777777" w:rsidR="003210C0" w:rsidRPr="00935491" w:rsidRDefault="003210C0" w:rsidP="00E46CCF">
      <w:pPr>
        <w:spacing w:before="120" w:after="120"/>
        <w:jc w:val="both"/>
        <w:rPr>
          <w:rFonts w:cs="Arial"/>
          <w:sz w:val="22"/>
          <w:szCs w:val="22"/>
        </w:rPr>
      </w:pPr>
      <w:r w:rsidRPr="00935491">
        <w:rPr>
          <w:rFonts w:cs="Arial"/>
          <w:sz w:val="22"/>
          <w:szCs w:val="22"/>
        </w:rPr>
        <w:t>The Lancashire figure of 74.5%</w:t>
      </w:r>
      <w:r w:rsidR="00935491" w:rsidRPr="00935491">
        <w:rPr>
          <w:rFonts w:cs="Arial"/>
          <w:sz w:val="22"/>
          <w:szCs w:val="22"/>
        </w:rPr>
        <w:t xml:space="preserve"> of care home ratings being</w:t>
      </w:r>
      <w:r w:rsidRPr="00935491">
        <w:rPr>
          <w:rFonts w:cs="Arial"/>
          <w:sz w:val="22"/>
          <w:szCs w:val="22"/>
        </w:rPr>
        <w:t xml:space="preserve"> good or outstanding now falls within the third quartile of NW authorities </w:t>
      </w:r>
      <w:r w:rsidR="00935491" w:rsidRPr="00935491">
        <w:rPr>
          <w:rFonts w:cs="Arial"/>
          <w:sz w:val="22"/>
          <w:szCs w:val="22"/>
        </w:rPr>
        <w:t>(4</w:t>
      </w:r>
      <w:r w:rsidR="00935491" w:rsidRPr="00935491">
        <w:rPr>
          <w:rFonts w:cs="Arial"/>
          <w:sz w:val="22"/>
          <w:szCs w:val="22"/>
          <w:vertAlign w:val="superscript"/>
        </w:rPr>
        <w:t>th</w:t>
      </w:r>
      <w:r w:rsidR="00935491" w:rsidRPr="00935491">
        <w:rPr>
          <w:rFonts w:cs="Arial"/>
          <w:sz w:val="22"/>
          <w:szCs w:val="22"/>
        </w:rPr>
        <w:t xml:space="preserve"> quartile is best) </w:t>
      </w:r>
      <w:r w:rsidRPr="00935491">
        <w:rPr>
          <w:rFonts w:cs="Arial"/>
          <w:sz w:val="22"/>
          <w:szCs w:val="22"/>
        </w:rPr>
        <w:t>and the second quartile of all English authorities when ranked by percentage of overall rating o</w:t>
      </w:r>
      <w:r w:rsidR="00935491" w:rsidRPr="00935491">
        <w:rPr>
          <w:rFonts w:cs="Arial"/>
          <w:sz w:val="22"/>
          <w:szCs w:val="22"/>
        </w:rPr>
        <w:t>f good or outstanding</w:t>
      </w:r>
      <w:r w:rsidRPr="00935491">
        <w:rPr>
          <w:rFonts w:cs="Arial"/>
          <w:sz w:val="22"/>
          <w:szCs w:val="22"/>
        </w:rPr>
        <w:t>. Lancashire has now exceeded the above-average threshold for the NW (71.5%), but remains short of the above-average threshold for England (80.0%).</w:t>
      </w:r>
    </w:p>
    <w:p w14:paraId="17853E1A" w14:textId="77777777" w:rsidR="003D57BA" w:rsidRPr="00935491" w:rsidRDefault="003210C0" w:rsidP="00E46CCF">
      <w:pPr>
        <w:pStyle w:val="NoSpacing"/>
        <w:jc w:val="both"/>
        <w:rPr>
          <w:rFonts w:ascii="Arial" w:hAnsi="Arial" w:cs="Arial"/>
        </w:rPr>
      </w:pPr>
      <w:r w:rsidRPr="00935491">
        <w:rPr>
          <w:rFonts w:ascii="Arial" w:hAnsi="Arial" w:cs="Arial"/>
        </w:rPr>
        <w:t>Of the total 200 community care services inspected, 17 services are operated by the County Council itself. 3 (17.6%) out of 17 community care service achieved an overall rating of an outstanding service, 13 (76.5%) community care services achieved an overall rating as good and only 1 (5.9%) service was overall rated as requiring improvement.</w:t>
      </w:r>
    </w:p>
    <w:p w14:paraId="6DAC2F9F" w14:textId="77777777" w:rsidR="002D18D1" w:rsidRDefault="002D18D1" w:rsidP="003210C0">
      <w:pPr>
        <w:pStyle w:val="NoSpacing"/>
        <w:rPr>
          <w:rFonts w:ascii="Arial" w:hAnsi="Arial" w:cs="Arial"/>
          <w:b/>
          <w:sz w:val="24"/>
          <w:szCs w:val="24"/>
        </w:rPr>
      </w:pPr>
    </w:p>
    <w:p w14:paraId="01ABDF15" w14:textId="77777777" w:rsidR="00A90B6F" w:rsidRPr="00935491" w:rsidRDefault="003E6A45" w:rsidP="00935491">
      <w:pPr>
        <w:pStyle w:val="Heading1"/>
        <w:jc w:val="both"/>
        <w:rPr>
          <w:sz w:val="22"/>
          <w:szCs w:val="22"/>
        </w:rPr>
      </w:pPr>
      <w:r w:rsidRPr="00935491">
        <w:rPr>
          <w:sz w:val="22"/>
          <w:szCs w:val="22"/>
        </w:rPr>
        <w:t>Consultations</w:t>
      </w:r>
    </w:p>
    <w:p w14:paraId="3999D91C" w14:textId="77777777" w:rsidR="0003555B" w:rsidRPr="00935491" w:rsidRDefault="0003555B" w:rsidP="00935491">
      <w:pPr>
        <w:jc w:val="both"/>
        <w:rPr>
          <w:sz w:val="22"/>
          <w:szCs w:val="22"/>
        </w:rPr>
      </w:pPr>
    </w:p>
    <w:p w14:paraId="5E2ACEA7" w14:textId="77777777" w:rsidR="00586AB8" w:rsidRPr="00935491" w:rsidRDefault="001342BE" w:rsidP="00935491">
      <w:pPr>
        <w:jc w:val="both"/>
        <w:rPr>
          <w:sz w:val="22"/>
          <w:szCs w:val="22"/>
        </w:rPr>
      </w:pPr>
      <w:r w:rsidRPr="00935491">
        <w:rPr>
          <w:sz w:val="22"/>
          <w:szCs w:val="22"/>
        </w:rPr>
        <w:t>Members</w:t>
      </w:r>
      <w:r w:rsidR="005D4BD0" w:rsidRPr="00935491">
        <w:rPr>
          <w:sz w:val="22"/>
          <w:szCs w:val="22"/>
        </w:rPr>
        <w:t xml:space="preserve"> </w:t>
      </w:r>
      <w:r w:rsidR="00BA25DD" w:rsidRPr="00935491">
        <w:rPr>
          <w:sz w:val="22"/>
          <w:szCs w:val="22"/>
        </w:rPr>
        <w:t>of Management Team</w:t>
      </w:r>
      <w:r w:rsidR="005D4BD0" w:rsidRPr="00935491">
        <w:rPr>
          <w:sz w:val="22"/>
          <w:szCs w:val="22"/>
        </w:rPr>
        <w:t>(s)</w:t>
      </w:r>
      <w:r w:rsidR="001818BC" w:rsidRPr="00935491">
        <w:rPr>
          <w:sz w:val="22"/>
          <w:szCs w:val="22"/>
        </w:rPr>
        <w:t xml:space="preserve"> have</w:t>
      </w:r>
      <w:r w:rsidR="008E5C1C" w:rsidRPr="00935491">
        <w:rPr>
          <w:sz w:val="22"/>
          <w:szCs w:val="22"/>
        </w:rPr>
        <w:t xml:space="preserve"> previously</w:t>
      </w:r>
      <w:r w:rsidR="00A50DE1" w:rsidRPr="00935491">
        <w:rPr>
          <w:sz w:val="22"/>
          <w:szCs w:val="22"/>
        </w:rPr>
        <w:t xml:space="preserve"> received the information in</w:t>
      </w:r>
      <w:r w:rsidR="001818BC" w:rsidRPr="00935491">
        <w:rPr>
          <w:sz w:val="22"/>
          <w:szCs w:val="22"/>
        </w:rPr>
        <w:t xml:space="preserve"> </w:t>
      </w:r>
      <w:r w:rsidR="005E0F58" w:rsidRPr="00935491">
        <w:rPr>
          <w:sz w:val="22"/>
          <w:szCs w:val="22"/>
        </w:rPr>
        <w:t>this report</w:t>
      </w:r>
      <w:r w:rsidR="00E16D84" w:rsidRPr="00935491">
        <w:rPr>
          <w:sz w:val="22"/>
          <w:szCs w:val="22"/>
        </w:rPr>
        <w:t>.</w:t>
      </w:r>
    </w:p>
    <w:p w14:paraId="2B46D873" w14:textId="77777777" w:rsidR="00294B23" w:rsidRPr="00935491" w:rsidRDefault="00294B23" w:rsidP="00935491">
      <w:pPr>
        <w:jc w:val="both"/>
        <w:rPr>
          <w:sz w:val="22"/>
          <w:szCs w:val="22"/>
        </w:rPr>
      </w:pPr>
    </w:p>
    <w:p w14:paraId="57EA9050" w14:textId="77777777" w:rsidR="0003555B" w:rsidRDefault="003E6A45" w:rsidP="00935491">
      <w:pPr>
        <w:jc w:val="both"/>
        <w:rPr>
          <w:sz w:val="22"/>
          <w:szCs w:val="22"/>
        </w:rPr>
      </w:pPr>
      <w:r w:rsidRPr="00935491">
        <w:rPr>
          <w:b/>
          <w:sz w:val="22"/>
          <w:szCs w:val="22"/>
        </w:rPr>
        <w:t>Implications</w:t>
      </w:r>
      <w:r w:rsidRPr="00935491">
        <w:rPr>
          <w:sz w:val="22"/>
          <w:szCs w:val="22"/>
        </w:rPr>
        <w:t>:</w:t>
      </w:r>
    </w:p>
    <w:p w14:paraId="34936699" w14:textId="77777777" w:rsidR="008A3A4C" w:rsidRPr="00935491" w:rsidRDefault="008A3A4C" w:rsidP="00935491">
      <w:pPr>
        <w:jc w:val="both"/>
        <w:rPr>
          <w:sz w:val="22"/>
          <w:szCs w:val="22"/>
        </w:rPr>
      </w:pPr>
    </w:p>
    <w:p w14:paraId="5CAF336A" w14:textId="77777777" w:rsidR="00772BBA" w:rsidRPr="00935491" w:rsidRDefault="00772BBA" w:rsidP="00935491">
      <w:pPr>
        <w:jc w:val="both"/>
        <w:rPr>
          <w:sz w:val="22"/>
          <w:szCs w:val="22"/>
        </w:rPr>
      </w:pPr>
      <w:r w:rsidRPr="00935491">
        <w:rPr>
          <w:sz w:val="22"/>
          <w:szCs w:val="22"/>
        </w:rPr>
        <w:t>This item has the following implications, as indicated:</w:t>
      </w:r>
    </w:p>
    <w:p w14:paraId="485447FE" w14:textId="77777777" w:rsidR="00BB6EA6" w:rsidRPr="00935491" w:rsidRDefault="00BB6EA6" w:rsidP="00935491">
      <w:pPr>
        <w:jc w:val="both"/>
        <w:rPr>
          <w:b/>
          <w:sz w:val="22"/>
          <w:szCs w:val="22"/>
        </w:rPr>
      </w:pPr>
    </w:p>
    <w:p w14:paraId="645AB6FC" w14:textId="77777777" w:rsidR="0003555B" w:rsidRDefault="00772BBA" w:rsidP="00935491">
      <w:pPr>
        <w:jc w:val="both"/>
        <w:rPr>
          <w:b/>
          <w:sz w:val="22"/>
          <w:szCs w:val="22"/>
        </w:rPr>
      </w:pPr>
      <w:r w:rsidRPr="00935491">
        <w:rPr>
          <w:b/>
          <w:sz w:val="22"/>
          <w:szCs w:val="22"/>
        </w:rPr>
        <w:t>Risk management</w:t>
      </w:r>
    </w:p>
    <w:p w14:paraId="15D3C218" w14:textId="77777777" w:rsidR="008A3A4C" w:rsidRPr="00935491" w:rsidRDefault="008A3A4C" w:rsidP="00935491">
      <w:pPr>
        <w:jc w:val="both"/>
        <w:rPr>
          <w:b/>
          <w:sz w:val="22"/>
          <w:szCs w:val="22"/>
        </w:rPr>
      </w:pPr>
    </w:p>
    <w:p w14:paraId="072AC7FA" w14:textId="77777777" w:rsidR="00CF6C60" w:rsidRPr="00935491" w:rsidRDefault="00F863F2" w:rsidP="00935491">
      <w:pPr>
        <w:jc w:val="both"/>
        <w:rPr>
          <w:sz w:val="22"/>
          <w:szCs w:val="22"/>
        </w:rPr>
      </w:pPr>
      <w:r w:rsidRPr="00935491">
        <w:rPr>
          <w:sz w:val="22"/>
          <w:szCs w:val="22"/>
        </w:rPr>
        <w:t>No significant risks have been identified in relation to the proposals contained within this report.</w:t>
      </w:r>
    </w:p>
    <w:p w14:paraId="0F4680EA" w14:textId="77777777" w:rsidR="00CF6C60" w:rsidRPr="00DF4E26" w:rsidRDefault="00CF6C60" w:rsidP="00F55192">
      <w:pPr>
        <w:jc w:val="both"/>
      </w:pPr>
    </w:p>
    <w:p w14:paraId="1ECC423D" w14:textId="77777777" w:rsidR="009A1917" w:rsidRPr="00DF4E26" w:rsidRDefault="009A1917" w:rsidP="009A1917">
      <w:pPr>
        <w:jc w:val="both"/>
        <w:rPr>
          <w:b/>
        </w:rPr>
      </w:pPr>
      <w:r w:rsidRPr="00DF4E26">
        <w:rPr>
          <w:b/>
        </w:rPr>
        <w:t>Local Government (Access to Information) Act 1985</w:t>
      </w:r>
    </w:p>
    <w:p w14:paraId="1D15DE9A" w14:textId="77777777" w:rsidR="00CF6C60" w:rsidRPr="00DF4E26" w:rsidRDefault="00CF6C60" w:rsidP="009A1917">
      <w:pPr>
        <w:jc w:val="both"/>
        <w:rPr>
          <w:b/>
        </w:rPr>
      </w:pPr>
    </w:p>
    <w:p w14:paraId="6B097583" w14:textId="77777777" w:rsidR="00CF67FC" w:rsidRPr="00DF4E26" w:rsidRDefault="003E6A45" w:rsidP="00051CB8">
      <w:pPr>
        <w:pStyle w:val="Heading5"/>
        <w:rPr>
          <w:rFonts w:ascii="Arial" w:hAnsi="Arial"/>
          <w:u w:val="none"/>
        </w:rPr>
      </w:pPr>
      <w:r w:rsidRPr="00DF4E26">
        <w:rPr>
          <w:rFonts w:ascii="Arial" w:hAnsi="Arial"/>
          <w:u w:val="none"/>
        </w:rPr>
        <w:t>List of Background Papers</w:t>
      </w:r>
    </w:p>
    <w:p w14:paraId="64EE0BF0" w14:textId="77777777" w:rsidR="0003555B" w:rsidRPr="00DF4E26" w:rsidRDefault="0003555B" w:rsidP="006D01A3">
      <w:pPr>
        <w:pStyle w:val="NoSpacing"/>
      </w:pPr>
    </w:p>
    <w:p w14:paraId="1B4CDF04" w14:textId="77777777" w:rsidR="003210C0" w:rsidRPr="006B18FD" w:rsidRDefault="0003555B" w:rsidP="003210C0">
      <w:pPr>
        <w:spacing w:after="200"/>
        <w:rPr>
          <w:rFonts w:cs="Arial"/>
          <w:sz w:val="22"/>
          <w:szCs w:val="22"/>
        </w:rPr>
      </w:pPr>
      <w:r w:rsidRPr="006B18FD">
        <w:rPr>
          <w:rFonts w:cs="Arial"/>
          <w:sz w:val="22"/>
          <w:szCs w:val="22"/>
        </w:rPr>
        <w:t>None</w:t>
      </w:r>
    </w:p>
    <w:p w14:paraId="63EFF2EA" w14:textId="77777777" w:rsidR="006B18FD" w:rsidRPr="006B18FD" w:rsidRDefault="006B18FD" w:rsidP="006B18FD">
      <w:pPr>
        <w:keepNext/>
        <w:outlineLvl w:val="6"/>
        <w:rPr>
          <w:sz w:val="22"/>
          <w:szCs w:val="22"/>
        </w:rPr>
      </w:pPr>
      <w:r w:rsidRPr="006B18FD">
        <w:rPr>
          <w:sz w:val="22"/>
          <w:szCs w:val="22"/>
        </w:rPr>
        <w:t>Reason for inclusion in Part II, if appropriate</w:t>
      </w:r>
    </w:p>
    <w:p w14:paraId="0746DD64" w14:textId="77777777" w:rsidR="006B18FD" w:rsidRPr="006B18FD" w:rsidRDefault="006B18FD" w:rsidP="006B18FD">
      <w:pPr>
        <w:rPr>
          <w:sz w:val="22"/>
          <w:szCs w:val="22"/>
        </w:rPr>
      </w:pPr>
    </w:p>
    <w:p w14:paraId="5E036640" w14:textId="44A80BC3" w:rsidR="006B18FD" w:rsidRPr="006B18FD" w:rsidRDefault="006B18FD" w:rsidP="006B18FD">
      <w:pPr>
        <w:spacing w:after="200"/>
        <w:rPr>
          <w:rFonts w:cs="Arial"/>
          <w:sz w:val="22"/>
          <w:szCs w:val="22"/>
        </w:rPr>
      </w:pPr>
      <w:r w:rsidRPr="006B18FD">
        <w:rPr>
          <w:sz w:val="22"/>
          <w:szCs w:val="22"/>
        </w:rPr>
        <w:t>N/A</w:t>
      </w:r>
      <w:bookmarkStart w:id="0" w:name="_GoBack"/>
      <w:bookmarkEnd w:id="0"/>
    </w:p>
    <w:sectPr w:rsidR="006B18FD" w:rsidRPr="006B18FD" w:rsidSect="00043385">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BCC2" w14:textId="77777777" w:rsidR="00912107" w:rsidRDefault="00912107">
      <w:r>
        <w:separator/>
      </w:r>
    </w:p>
  </w:endnote>
  <w:endnote w:type="continuationSeparator" w:id="0">
    <w:p w14:paraId="7EDC715D" w14:textId="77777777" w:rsidR="00912107" w:rsidRDefault="0091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12107" w14:paraId="40E8930F" w14:textId="77777777">
      <w:tc>
        <w:tcPr>
          <w:tcW w:w="9243" w:type="dxa"/>
          <w:tcBorders>
            <w:top w:val="nil"/>
            <w:left w:val="nil"/>
            <w:bottom w:val="nil"/>
            <w:right w:val="nil"/>
          </w:tcBorders>
        </w:tcPr>
        <w:p w14:paraId="61E8F414" w14:textId="77777777" w:rsidR="00912107" w:rsidRDefault="00912107">
          <w:pPr>
            <w:pStyle w:val="Footer"/>
            <w:tabs>
              <w:tab w:val="clear" w:pos="4153"/>
            </w:tabs>
            <w:ind w:right="-45"/>
            <w:jc w:val="right"/>
          </w:pPr>
        </w:p>
      </w:tc>
    </w:tr>
  </w:tbl>
  <w:p w14:paraId="355E8097" w14:textId="77777777" w:rsidR="00912107" w:rsidRDefault="0091210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12107" w14:paraId="49F41D36" w14:textId="77777777">
      <w:tc>
        <w:tcPr>
          <w:tcW w:w="9243" w:type="dxa"/>
          <w:tcBorders>
            <w:top w:val="nil"/>
            <w:left w:val="nil"/>
            <w:bottom w:val="nil"/>
            <w:right w:val="nil"/>
          </w:tcBorders>
        </w:tcPr>
        <w:p w14:paraId="70DC2E96" w14:textId="77777777" w:rsidR="00912107" w:rsidRDefault="00912107">
          <w:pPr>
            <w:pStyle w:val="Footer"/>
            <w:tabs>
              <w:tab w:val="clear" w:pos="4153"/>
            </w:tabs>
            <w:ind w:right="-45"/>
            <w:jc w:val="right"/>
          </w:pPr>
          <w:r w:rsidRPr="00AD2F25">
            <w:rPr>
              <w:noProof/>
            </w:rPr>
            <w:drawing>
              <wp:inline distT="0" distB="0" distL="0" distR="0" wp14:anchorId="71F3855B" wp14:editId="264FEE45">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35119009" w14:textId="77777777" w:rsidR="00912107" w:rsidRDefault="0091210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CBF9" w14:textId="77777777" w:rsidR="00912107" w:rsidRDefault="00912107">
      <w:r>
        <w:separator/>
      </w:r>
    </w:p>
  </w:footnote>
  <w:footnote w:type="continuationSeparator" w:id="0">
    <w:p w14:paraId="5AEC642A" w14:textId="77777777" w:rsidR="00912107" w:rsidRDefault="00912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8467E" w14:textId="7EB85DE3" w:rsidR="00912107" w:rsidRDefault="009121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822C3A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C33441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424A9BB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710B7"/>
    <w:multiLevelType w:val="hybridMultilevel"/>
    <w:tmpl w:val="7FE25EB0"/>
    <w:lvl w:ilvl="0" w:tplc="E2BCD77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524E4"/>
    <w:multiLevelType w:val="hybridMultilevel"/>
    <w:tmpl w:val="2D208580"/>
    <w:lvl w:ilvl="0" w:tplc="5A96BA4A">
      <w:start w:val="78"/>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0" w15:restartNumberingAfterBreak="0">
    <w:nsid w:val="28690CAB"/>
    <w:multiLevelType w:val="hybridMultilevel"/>
    <w:tmpl w:val="3724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66DA6"/>
    <w:multiLevelType w:val="hybridMultilevel"/>
    <w:tmpl w:val="6AD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52DF"/>
    <w:multiLevelType w:val="hybridMultilevel"/>
    <w:tmpl w:val="CF5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32F7A"/>
    <w:multiLevelType w:val="hybridMultilevel"/>
    <w:tmpl w:val="BCF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26E1F"/>
    <w:multiLevelType w:val="hybridMultilevel"/>
    <w:tmpl w:val="E494AAEE"/>
    <w:lvl w:ilvl="0" w:tplc="9EA0E674">
      <w:start w:val="1"/>
      <w:numFmt w:val="decimal"/>
      <w:lvlText w:val="%1."/>
      <w:lvlJc w:val="left"/>
      <w:pPr>
        <w:ind w:left="1440" w:hanging="360"/>
      </w:pPr>
    </w:lvl>
    <w:lvl w:ilvl="1" w:tplc="A31CFA04">
      <w:start w:val="1"/>
      <w:numFmt w:val="lowerLetter"/>
      <w:lvlText w:val="%2."/>
      <w:lvlJc w:val="left"/>
      <w:pPr>
        <w:ind w:left="2160" w:hanging="360"/>
      </w:pPr>
    </w:lvl>
    <w:lvl w:ilvl="2" w:tplc="26F01C06">
      <w:start w:val="1"/>
      <w:numFmt w:val="lowerRoman"/>
      <w:lvlText w:val="%3."/>
      <w:lvlJc w:val="right"/>
      <w:pPr>
        <w:ind w:left="2880" w:hanging="180"/>
      </w:pPr>
    </w:lvl>
    <w:lvl w:ilvl="3" w:tplc="883615F2">
      <w:start w:val="1"/>
      <w:numFmt w:val="decimal"/>
      <w:lvlText w:val="%4."/>
      <w:lvlJc w:val="left"/>
      <w:pPr>
        <w:ind w:left="3600" w:hanging="360"/>
      </w:pPr>
    </w:lvl>
    <w:lvl w:ilvl="4" w:tplc="2E76DB7C">
      <w:start w:val="1"/>
      <w:numFmt w:val="lowerLetter"/>
      <w:lvlText w:val="%5."/>
      <w:lvlJc w:val="left"/>
      <w:pPr>
        <w:ind w:left="4320" w:hanging="360"/>
      </w:pPr>
    </w:lvl>
    <w:lvl w:ilvl="5" w:tplc="CFD6D698">
      <w:start w:val="1"/>
      <w:numFmt w:val="lowerRoman"/>
      <w:lvlText w:val="%6."/>
      <w:lvlJc w:val="right"/>
      <w:pPr>
        <w:ind w:left="5040" w:hanging="180"/>
      </w:pPr>
    </w:lvl>
    <w:lvl w:ilvl="6" w:tplc="1D989E56">
      <w:start w:val="1"/>
      <w:numFmt w:val="decimal"/>
      <w:lvlText w:val="%7."/>
      <w:lvlJc w:val="left"/>
      <w:pPr>
        <w:ind w:left="5760" w:hanging="360"/>
      </w:pPr>
    </w:lvl>
    <w:lvl w:ilvl="7" w:tplc="EAFAFA40">
      <w:start w:val="1"/>
      <w:numFmt w:val="lowerLetter"/>
      <w:lvlText w:val="%8."/>
      <w:lvlJc w:val="left"/>
      <w:pPr>
        <w:ind w:left="6480" w:hanging="360"/>
      </w:pPr>
    </w:lvl>
    <w:lvl w:ilvl="8" w:tplc="EC82C038">
      <w:start w:val="1"/>
      <w:numFmt w:val="lowerRoman"/>
      <w:lvlText w:val="%9."/>
      <w:lvlJc w:val="right"/>
      <w:pPr>
        <w:ind w:left="7200" w:hanging="180"/>
      </w:pPr>
    </w:lvl>
  </w:abstractNum>
  <w:abstractNum w:abstractNumId="15" w15:restartNumberingAfterBreak="0">
    <w:nsid w:val="3A576CD7"/>
    <w:multiLevelType w:val="hybridMultilevel"/>
    <w:tmpl w:val="9D8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B0C7C"/>
    <w:multiLevelType w:val="hybridMultilevel"/>
    <w:tmpl w:val="81A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979C2"/>
    <w:multiLevelType w:val="hybridMultilevel"/>
    <w:tmpl w:val="AF62B87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8" w15:restartNumberingAfterBreak="0">
    <w:nsid w:val="467C404B"/>
    <w:multiLevelType w:val="hybridMultilevel"/>
    <w:tmpl w:val="F26A7D40"/>
    <w:lvl w:ilvl="0" w:tplc="698EF238">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1F5365"/>
    <w:multiLevelType w:val="hybridMultilevel"/>
    <w:tmpl w:val="0A0016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4F6926F8"/>
    <w:multiLevelType w:val="hybridMultilevel"/>
    <w:tmpl w:val="86BE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74E12"/>
    <w:multiLevelType w:val="hybridMultilevel"/>
    <w:tmpl w:val="7A0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F7417"/>
    <w:multiLevelType w:val="hybridMultilevel"/>
    <w:tmpl w:val="320AFE7A"/>
    <w:lvl w:ilvl="0" w:tplc="4FBAE0A4">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4047CA"/>
    <w:multiLevelType w:val="hybridMultilevel"/>
    <w:tmpl w:val="E2183BC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EC7F0F"/>
    <w:multiLevelType w:val="hybridMultilevel"/>
    <w:tmpl w:val="D69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C25"/>
    <w:multiLevelType w:val="hybridMultilevel"/>
    <w:tmpl w:val="765416E8"/>
    <w:lvl w:ilvl="0" w:tplc="7FF0932E">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6B15A9"/>
    <w:multiLevelType w:val="hybridMultilevel"/>
    <w:tmpl w:val="5CC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07676"/>
    <w:multiLevelType w:val="hybridMultilevel"/>
    <w:tmpl w:val="A7C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E40"/>
    <w:multiLevelType w:val="hybridMultilevel"/>
    <w:tmpl w:val="348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A2107"/>
    <w:multiLevelType w:val="hybridMultilevel"/>
    <w:tmpl w:val="ED12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A29DE"/>
    <w:multiLevelType w:val="hybridMultilevel"/>
    <w:tmpl w:val="C0C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36D25"/>
    <w:multiLevelType w:val="hybridMultilevel"/>
    <w:tmpl w:val="AC3C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7460A"/>
    <w:multiLevelType w:val="hybridMultilevel"/>
    <w:tmpl w:val="44FCCC52"/>
    <w:lvl w:ilvl="0" w:tplc="E84682D2">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2A2F9D"/>
    <w:multiLevelType w:val="hybridMultilevel"/>
    <w:tmpl w:val="9DAC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87E6B"/>
    <w:multiLevelType w:val="hybridMultilevel"/>
    <w:tmpl w:val="B15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7633"/>
    <w:multiLevelType w:val="hybridMultilevel"/>
    <w:tmpl w:val="823245AE"/>
    <w:lvl w:ilvl="0" w:tplc="C3201770">
      <w:start w:val="293"/>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35CE0"/>
    <w:multiLevelType w:val="hybridMultilevel"/>
    <w:tmpl w:val="AE46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81F20"/>
    <w:multiLevelType w:val="hybridMultilevel"/>
    <w:tmpl w:val="30BAD528"/>
    <w:lvl w:ilvl="0" w:tplc="07824B3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15"/>
  </w:num>
  <w:num w:numId="4">
    <w:abstractNumId w:val="31"/>
  </w:num>
  <w:num w:numId="5">
    <w:abstractNumId w:val="1"/>
  </w:num>
  <w:num w:numId="6">
    <w:abstractNumId w:val="29"/>
  </w:num>
  <w:num w:numId="7">
    <w:abstractNumId w:val="7"/>
  </w:num>
  <w:num w:numId="8">
    <w:abstractNumId w:val="34"/>
  </w:num>
  <w:num w:numId="9">
    <w:abstractNumId w:val="12"/>
  </w:num>
  <w:num w:numId="10">
    <w:abstractNumId w:val="38"/>
  </w:num>
  <w:num w:numId="11">
    <w:abstractNumId w:val="5"/>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6"/>
  </w:num>
  <w:num w:numId="17">
    <w:abstractNumId w:val="18"/>
  </w:num>
  <w:num w:numId="18">
    <w:abstractNumId w:val="32"/>
  </w:num>
  <w:num w:numId="19">
    <w:abstractNumId w:val="25"/>
  </w:num>
  <w:num w:numId="20">
    <w:abstractNumId w:val="16"/>
  </w:num>
  <w:num w:numId="21">
    <w:abstractNumId w:val="3"/>
  </w:num>
  <w:num w:numId="22">
    <w:abstractNumId w:val="4"/>
  </w:num>
  <w:num w:numId="23">
    <w:abstractNumId w:val="11"/>
  </w:num>
  <w:num w:numId="24">
    <w:abstractNumId w:val="28"/>
  </w:num>
  <w:num w:numId="25">
    <w:abstractNumId w:val="19"/>
  </w:num>
  <w:num w:numId="26">
    <w:abstractNumId w:val="17"/>
  </w:num>
  <w:num w:numId="27">
    <w:abstractNumId w:val="26"/>
  </w:num>
  <w:num w:numId="28">
    <w:abstractNumId w:val="21"/>
  </w:num>
  <w:num w:numId="29">
    <w:abstractNumId w:val="24"/>
  </w:num>
  <w:num w:numId="30">
    <w:abstractNumId w:val="13"/>
  </w:num>
  <w:num w:numId="31">
    <w:abstractNumId w:val="10"/>
  </w:num>
  <w:num w:numId="32">
    <w:abstractNumId w:val="36"/>
  </w:num>
  <w:num w:numId="33">
    <w:abstractNumId w:val="33"/>
  </w:num>
  <w:num w:numId="34">
    <w:abstractNumId w:val="2"/>
  </w:num>
  <w:num w:numId="35">
    <w:abstractNumId w:val="27"/>
  </w:num>
  <w:num w:numId="36">
    <w:abstractNumId w:val="37"/>
  </w:num>
  <w:num w:numId="37">
    <w:abstractNumId w:val="35"/>
  </w:num>
  <w:num w:numId="38">
    <w:abstractNumId w:val="20"/>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0973"/>
    <w:rsid w:val="000133E3"/>
    <w:rsid w:val="000137E0"/>
    <w:rsid w:val="00015E12"/>
    <w:rsid w:val="000161B1"/>
    <w:rsid w:val="00024391"/>
    <w:rsid w:val="000257A1"/>
    <w:rsid w:val="0003181C"/>
    <w:rsid w:val="00031D63"/>
    <w:rsid w:val="0003555B"/>
    <w:rsid w:val="00043385"/>
    <w:rsid w:val="00044628"/>
    <w:rsid w:val="00047741"/>
    <w:rsid w:val="00050930"/>
    <w:rsid w:val="00051CB8"/>
    <w:rsid w:val="000552FB"/>
    <w:rsid w:val="00057244"/>
    <w:rsid w:val="0006038B"/>
    <w:rsid w:val="000615A2"/>
    <w:rsid w:val="00061DF2"/>
    <w:rsid w:val="00063E1A"/>
    <w:rsid w:val="00070646"/>
    <w:rsid w:val="000708AF"/>
    <w:rsid w:val="0007214B"/>
    <w:rsid w:val="00073904"/>
    <w:rsid w:val="00074E6C"/>
    <w:rsid w:val="000752E2"/>
    <w:rsid w:val="00081AF9"/>
    <w:rsid w:val="0008578A"/>
    <w:rsid w:val="00085EB3"/>
    <w:rsid w:val="0009151A"/>
    <w:rsid w:val="00093B39"/>
    <w:rsid w:val="0009516D"/>
    <w:rsid w:val="000957D1"/>
    <w:rsid w:val="00096496"/>
    <w:rsid w:val="000A5C52"/>
    <w:rsid w:val="000A7976"/>
    <w:rsid w:val="000B238D"/>
    <w:rsid w:val="000C3699"/>
    <w:rsid w:val="000C3BF8"/>
    <w:rsid w:val="000D0D79"/>
    <w:rsid w:val="000D1026"/>
    <w:rsid w:val="000D3D67"/>
    <w:rsid w:val="000D404B"/>
    <w:rsid w:val="000D4DB7"/>
    <w:rsid w:val="000D7301"/>
    <w:rsid w:val="000E733F"/>
    <w:rsid w:val="000E7A40"/>
    <w:rsid w:val="000F2A26"/>
    <w:rsid w:val="000F59ED"/>
    <w:rsid w:val="000F5C76"/>
    <w:rsid w:val="00104F03"/>
    <w:rsid w:val="001143D2"/>
    <w:rsid w:val="001154EC"/>
    <w:rsid w:val="00115FB5"/>
    <w:rsid w:val="001162CD"/>
    <w:rsid w:val="0011638A"/>
    <w:rsid w:val="001172CF"/>
    <w:rsid w:val="00124452"/>
    <w:rsid w:val="001254EB"/>
    <w:rsid w:val="00125661"/>
    <w:rsid w:val="0013419D"/>
    <w:rsid w:val="001342BE"/>
    <w:rsid w:val="00136CE2"/>
    <w:rsid w:val="00137BD5"/>
    <w:rsid w:val="00140E41"/>
    <w:rsid w:val="001433C0"/>
    <w:rsid w:val="00151242"/>
    <w:rsid w:val="00152093"/>
    <w:rsid w:val="00153088"/>
    <w:rsid w:val="0015492C"/>
    <w:rsid w:val="00156759"/>
    <w:rsid w:val="00160A61"/>
    <w:rsid w:val="0016390F"/>
    <w:rsid w:val="00170CBD"/>
    <w:rsid w:val="00170FD5"/>
    <w:rsid w:val="00172EF4"/>
    <w:rsid w:val="00173388"/>
    <w:rsid w:val="00180D70"/>
    <w:rsid w:val="001814D4"/>
    <w:rsid w:val="001818BC"/>
    <w:rsid w:val="00183EEF"/>
    <w:rsid w:val="001859C6"/>
    <w:rsid w:val="001952A7"/>
    <w:rsid w:val="001956B4"/>
    <w:rsid w:val="0019606D"/>
    <w:rsid w:val="001A1CEF"/>
    <w:rsid w:val="001A52F3"/>
    <w:rsid w:val="001A6DEC"/>
    <w:rsid w:val="001B26F6"/>
    <w:rsid w:val="001C03E1"/>
    <w:rsid w:val="001C0824"/>
    <w:rsid w:val="001C2623"/>
    <w:rsid w:val="001C2A9F"/>
    <w:rsid w:val="001C2BF4"/>
    <w:rsid w:val="001C3948"/>
    <w:rsid w:val="001C5424"/>
    <w:rsid w:val="001D0E11"/>
    <w:rsid w:val="001D2394"/>
    <w:rsid w:val="001D3089"/>
    <w:rsid w:val="001D59A7"/>
    <w:rsid w:val="001D5E13"/>
    <w:rsid w:val="001D5F44"/>
    <w:rsid w:val="001D6C9A"/>
    <w:rsid w:val="001E7AA3"/>
    <w:rsid w:val="001F0D49"/>
    <w:rsid w:val="001F2402"/>
    <w:rsid w:val="001F3962"/>
    <w:rsid w:val="001F49DB"/>
    <w:rsid w:val="001F7C9E"/>
    <w:rsid w:val="002020D8"/>
    <w:rsid w:val="002071E3"/>
    <w:rsid w:val="0021182E"/>
    <w:rsid w:val="0021184F"/>
    <w:rsid w:val="00211D9F"/>
    <w:rsid w:val="00216625"/>
    <w:rsid w:val="00222DF4"/>
    <w:rsid w:val="00224214"/>
    <w:rsid w:val="00231DC7"/>
    <w:rsid w:val="002340F4"/>
    <w:rsid w:val="0023435D"/>
    <w:rsid w:val="00236D06"/>
    <w:rsid w:val="002378D8"/>
    <w:rsid w:val="00240A4D"/>
    <w:rsid w:val="00241DD7"/>
    <w:rsid w:val="0024328C"/>
    <w:rsid w:val="00244DF3"/>
    <w:rsid w:val="00244F35"/>
    <w:rsid w:val="00246B4D"/>
    <w:rsid w:val="00250B13"/>
    <w:rsid w:val="00250D63"/>
    <w:rsid w:val="00250FF5"/>
    <w:rsid w:val="00251581"/>
    <w:rsid w:val="0025334F"/>
    <w:rsid w:val="00254522"/>
    <w:rsid w:val="00261731"/>
    <w:rsid w:val="00261838"/>
    <w:rsid w:val="00262957"/>
    <w:rsid w:val="00263341"/>
    <w:rsid w:val="002664EC"/>
    <w:rsid w:val="00271171"/>
    <w:rsid w:val="002719DC"/>
    <w:rsid w:val="00274EE4"/>
    <w:rsid w:val="002775D4"/>
    <w:rsid w:val="00281377"/>
    <w:rsid w:val="0028149E"/>
    <w:rsid w:val="002831EA"/>
    <w:rsid w:val="002839D4"/>
    <w:rsid w:val="0028461B"/>
    <w:rsid w:val="00284AC0"/>
    <w:rsid w:val="002929ED"/>
    <w:rsid w:val="00294B23"/>
    <w:rsid w:val="002A0B88"/>
    <w:rsid w:val="002A730E"/>
    <w:rsid w:val="002B11AF"/>
    <w:rsid w:val="002B1207"/>
    <w:rsid w:val="002B2ABB"/>
    <w:rsid w:val="002C03E2"/>
    <w:rsid w:val="002C0BFB"/>
    <w:rsid w:val="002C3807"/>
    <w:rsid w:val="002C49AC"/>
    <w:rsid w:val="002C504D"/>
    <w:rsid w:val="002C5FD0"/>
    <w:rsid w:val="002C6249"/>
    <w:rsid w:val="002C7E3B"/>
    <w:rsid w:val="002D0634"/>
    <w:rsid w:val="002D18D1"/>
    <w:rsid w:val="002D2A77"/>
    <w:rsid w:val="002D4AF8"/>
    <w:rsid w:val="002D4D3C"/>
    <w:rsid w:val="002D6603"/>
    <w:rsid w:val="002E0332"/>
    <w:rsid w:val="002E1B7B"/>
    <w:rsid w:val="002E44EA"/>
    <w:rsid w:val="002E4973"/>
    <w:rsid w:val="002F0EDF"/>
    <w:rsid w:val="002F16CB"/>
    <w:rsid w:val="002F1858"/>
    <w:rsid w:val="002F5728"/>
    <w:rsid w:val="002F7FED"/>
    <w:rsid w:val="003117FE"/>
    <w:rsid w:val="003137F9"/>
    <w:rsid w:val="00314477"/>
    <w:rsid w:val="00315CAB"/>
    <w:rsid w:val="00317750"/>
    <w:rsid w:val="003210C0"/>
    <w:rsid w:val="0032193E"/>
    <w:rsid w:val="00323CFE"/>
    <w:rsid w:val="003254A0"/>
    <w:rsid w:val="00325E44"/>
    <w:rsid w:val="003313BB"/>
    <w:rsid w:val="00331C77"/>
    <w:rsid w:val="0033402E"/>
    <w:rsid w:val="003422EC"/>
    <w:rsid w:val="003425C2"/>
    <w:rsid w:val="003452AF"/>
    <w:rsid w:val="0034597F"/>
    <w:rsid w:val="00345E2E"/>
    <w:rsid w:val="00346E87"/>
    <w:rsid w:val="00347754"/>
    <w:rsid w:val="003479FB"/>
    <w:rsid w:val="00350AEB"/>
    <w:rsid w:val="0035203C"/>
    <w:rsid w:val="003539C5"/>
    <w:rsid w:val="00354CAC"/>
    <w:rsid w:val="00356E3A"/>
    <w:rsid w:val="00357954"/>
    <w:rsid w:val="00357AA1"/>
    <w:rsid w:val="00360625"/>
    <w:rsid w:val="00362DE3"/>
    <w:rsid w:val="003665B3"/>
    <w:rsid w:val="0036700C"/>
    <w:rsid w:val="00371ACC"/>
    <w:rsid w:val="003854E6"/>
    <w:rsid w:val="00385A08"/>
    <w:rsid w:val="00390AFC"/>
    <w:rsid w:val="0039188D"/>
    <w:rsid w:val="00392EF9"/>
    <w:rsid w:val="003972FA"/>
    <w:rsid w:val="003A01D6"/>
    <w:rsid w:val="003A5DF2"/>
    <w:rsid w:val="003A606D"/>
    <w:rsid w:val="003A623A"/>
    <w:rsid w:val="003B4D7C"/>
    <w:rsid w:val="003C15B4"/>
    <w:rsid w:val="003C250F"/>
    <w:rsid w:val="003C73D0"/>
    <w:rsid w:val="003C7ABE"/>
    <w:rsid w:val="003D02F1"/>
    <w:rsid w:val="003D1DC9"/>
    <w:rsid w:val="003D381E"/>
    <w:rsid w:val="003D4A9A"/>
    <w:rsid w:val="003D57BA"/>
    <w:rsid w:val="003D70CC"/>
    <w:rsid w:val="003D7574"/>
    <w:rsid w:val="003D763F"/>
    <w:rsid w:val="003D7AD4"/>
    <w:rsid w:val="003E0AB8"/>
    <w:rsid w:val="003E1C87"/>
    <w:rsid w:val="003E4940"/>
    <w:rsid w:val="003E6A45"/>
    <w:rsid w:val="003E6BC4"/>
    <w:rsid w:val="003E79F4"/>
    <w:rsid w:val="003F4E8F"/>
    <w:rsid w:val="003F6046"/>
    <w:rsid w:val="003F60D7"/>
    <w:rsid w:val="003F6215"/>
    <w:rsid w:val="003F729B"/>
    <w:rsid w:val="003F7CFF"/>
    <w:rsid w:val="00400DCC"/>
    <w:rsid w:val="00400F05"/>
    <w:rsid w:val="00406475"/>
    <w:rsid w:val="00410E9A"/>
    <w:rsid w:val="00412AFF"/>
    <w:rsid w:val="004149CE"/>
    <w:rsid w:val="00414AF0"/>
    <w:rsid w:val="00417A86"/>
    <w:rsid w:val="00420A4F"/>
    <w:rsid w:val="00421204"/>
    <w:rsid w:val="004254B3"/>
    <w:rsid w:val="004347C0"/>
    <w:rsid w:val="00436BAB"/>
    <w:rsid w:val="004402F0"/>
    <w:rsid w:val="00442F09"/>
    <w:rsid w:val="0044391A"/>
    <w:rsid w:val="0044710C"/>
    <w:rsid w:val="00450705"/>
    <w:rsid w:val="00456FA8"/>
    <w:rsid w:val="00475360"/>
    <w:rsid w:val="004756C0"/>
    <w:rsid w:val="00476326"/>
    <w:rsid w:val="004772A2"/>
    <w:rsid w:val="00477EB0"/>
    <w:rsid w:val="004813E1"/>
    <w:rsid w:val="00482547"/>
    <w:rsid w:val="0048303B"/>
    <w:rsid w:val="0048411F"/>
    <w:rsid w:val="00485A95"/>
    <w:rsid w:val="0048673A"/>
    <w:rsid w:val="00487AD6"/>
    <w:rsid w:val="004918F3"/>
    <w:rsid w:val="0049279C"/>
    <w:rsid w:val="00494670"/>
    <w:rsid w:val="004A39AB"/>
    <w:rsid w:val="004A6FBD"/>
    <w:rsid w:val="004B58BA"/>
    <w:rsid w:val="004B7F40"/>
    <w:rsid w:val="004C0737"/>
    <w:rsid w:val="004C0BEB"/>
    <w:rsid w:val="004C3224"/>
    <w:rsid w:val="004D3346"/>
    <w:rsid w:val="004D5918"/>
    <w:rsid w:val="004D605D"/>
    <w:rsid w:val="004D65D7"/>
    <w:rsid w:val="004D7D68"/>
    <w:rsid w:val="004E176E"/>
    <w:rsid w:val="004E41EB"/>
    <w:rsid w:val="004E5EC5"/>
    <w:rsid w:val="004E79E6"/>
    <w:rsid w:val="004F305E"/>
    <w:rsid w:val="004F58E2"/>
    <w:rsid w:val="005014E3"/>
    <w:rsid w:val="005021F0"/>
    <w:rsid w:val="00506859"/>
    <w:rsid w:val="005069C5"/>
    <w:rsid w:val="005072D5"/>
    <w:rsid w:val="0050799C"/>
    <w:rsid w:val="005100FD"/>
    <w:rsid w:val="005102E6"/>
    <w:rsid w:val="00511993"/>
    <w:rsid w:val="00514B5C"/>
    <w:rsid w:val="0051663C"/>
    <w:rsid w:val="005171AA"/>
    <w:rsid w:val="00524AF6"/>
    <w:rsid w:val="00526AD4"/>
    <w:rsid w:val="005273CA"/>
    <w:rsid w:val="005309DB"/>
    <w:rsid w:val="00531B8D"/>
    <w:rsid w:val="0053214F"/>
    <w:rsid w:val="00534D59"/>
    <w:rsid w:val="005357DF"/>
    <w:rsid w:val="00535BBD"/>
    <w:rsid w:val="00535E79"/>
    <w:rsid w:val="00536746"/>
    <w:rsid w:val="00537D19"/>
    <w:rsid w:val="005442B9"/>
    <w:rsid w:val="00545EB4"/>
    <w:rsid w:val="00546428"/>
    <w:rsid w:val="0055235F"/>
    <w:rsid w:val="00555526"/>
    <w:rsid w:val="00557FB3"/>
    <w:rsid w:val="00560DCA"/>
    <w:rsid w:val="00560ED9"/>
    <w:rsid w:val="005620B2"/>
    <w:rsid w:val="005754F4"/>
    <w:rsid w:val="00575E7E"/>
    <w:rsid w:val="0057650D"/>
    <w:rsid w:val="00580F95"/>
    <w:rsid w:val="005819C8"/>
    <w:rsid w:val="00582A42"/>
    <w:rsid w:val="00586AB8"/>
    <w:rsid w:val="00587F14"/>
    <w:rsid w:val="005909A0"/>
    <w:rsid w:val="0059257A"/>
    <w:rsid w:val="00592775"/>
    <w:rsid w:val="005968D7"/>
    <w:rsid w:val="00597677"/>
    <w:rsid w:val="005A2424"/>
    <w:rsid w:val="005A4E74"/>
    <w:rsid w:val="005C254C"/>
    <w:rsid w:val="005C6C81"/>
    <w:rsid w:val="005D0DB0"/>
    <w:rsid w:val="005D1D16"/>
    <w:rsid w:val="005D1E7E"/>
    <w:rsid w:val="005D2A72"/>
    <w:rsid w:val="005D3A7F"/>
    <w:rsid w:val="005D416F"/>
    <w:rsid w:val="005D4BD0"/>
    <w:rsid w:val="005D765A"/>
    <w:rsid w:val="005D7F18"/>
    <w:rsid w:val="005D7F84"/>
    <w:rsid w:val="005E0F58"/>
    <w:rsid w:val="005E30E8"/>
    <w:rsid w:val="005E38F9"/>
    <w:rsid w:val="005E42FE"/>
    <w:rsid w:val="005E4D49"/>
    <w:rsid w:val="005F1183"/>
    <w:rsid w:val="005F1808"/>
    <w:rsid w:val="005F23C7"/>
    <w:rsid w:val="005F44AB"/>
    <w:rsid w:val="005F7D10"/>
    <w:rsid w:val="00600CB4"/>
    <w:rsid w:val="00601087"/>
    <w:rsid w:val="006014C4"/>
    <w:rsid w:val="00605039"/>
    <w:rsid w:val="00605708"/>
    <w:rsid w:val="006108B7"/>
    <w:rsid w:val="006111CD"/>
    <w:rsid w:val="0061339A"/>
    <w:rsid w:val="00613473"/>
    <w:rsid w:val="0061353A"/>
    <w:rsid w:val="00615CEB"/>
    <w:rsid w:val="006227FE"/>
    <w:rsid w:val="0062383A"/>
    <w:rsid w:val="00623E6C"/>
    <w:rsid w:val="006247C6"/>
    <w:rsid w:val="00627AEE"/>
    <w:rsid w:val="00634B2E"/>
    <w:rsid w:val="00634D87"/>
    <w:rsid w:val="006361B9"/>
    <w:rsid w:val="00637511"/>
    <w:rsid w:val="00637842"/>
    <w:rsid w:val="00640EEA"/>
    <w:rsid w:val="00642823"/>
    <w:rsid w:val="006435AC"/>
    <w:rsid w:val="006467F0"/>
    <w:rsid w:val="00650F0A"/>
    <w:rsid w:val="00652BE4"/>
    <w:rsid w:val="00653231"/>
    <w:rsid w:val="00654445"/>
    <w:rsid w:val="00660490"/>
    <w:rsid w:val="00661817"/>
    <w:rsid w:val="00661BB7"/>
    <w:rsid w:val="00662B3E"/>
    <w:rsid w:val="00663E4E"/>
    <w:rsid w:val="00664189"/>
    <w:rsid w:val="00671CA2"/>
    <w:rsid w:val="00672337"/>
    <w:rsid w:val="00674DA6"/>
    <w:rsid w:val="00677390"/>
    <w:rsid w:val="00677A83"/>
    <w:rsid w:val="00684883"/>
    <w:rsid w:val="00686587"/>
    <w:rsid w:val="00691C06"/>
    <w:rsid w:val="006952CA"/>
    <w:rsid w:val="00695C4F"/>
    <w:rsid w:val="00696604"/>
    <w:rsid w:val="006A1FA3"/>
    <w:rsid w:val="006A6561"/>
    <w:rsid w:val="006A781F"/>
    <w:rsid w:val="006A7EEF"/>
    <w:rsid w:val="006B0A1A"/>
    <w:rsid w:val="006B1820"/>
    <w:rsid w:val="006B18FD"/>
    <w:rsid w:val="006B2E9B"/>
    <w:rsid w:val="006B4B20"/>
    <w:rsid w:val="006B7D51"/>
    <w:rsid w:val="006C671E"/>
    <w:rsid w:val="006D01A3"/>
    <w:rsid w:val="006D1845"/>
    <w:rsid w:val="006D1916"/>
    <w:rsid w:val="006D5490"/>
    <w:rsid w:val="006E2C41"/>
    <w:rsid w:val="006E3519"/>
    <w:rsid w:val="006F53B5"/>
    <w:rsid w:val="006F6BDE"/>
    <w:rsid w:val="00706490"/>
    <w:rsid w:val="00711051"/>
    <w:rsid w:val="007114EA"/>
    <w:rsid w:val="00711809"/>
    <w:rsid w:val="0071339A"/>
    <w:rsid w:val="00713FF8"/>
    <w:rsid w:val="00714070"/>
    <w:rsid w:val="00716A30"/>
    <w:rsid w:val="00716CBF"/>
    <w:rsid w:val="00716EEB"/>
    <w:rsid w:val="00721DED"/>
    <w:rsid w:val="00722882"/>
    <w:rsid w:val="00724190"/>
    <w:rsid w:val="0072505C"/>
    <w:rsid w:val="00733D42"/>
    <w:rsid w:val="007347A0"/>
    <w:rsid w:val="00742613"/>
    <w:rsid w:val="00742D15"/>
    <w:rsid w:val="00745BBB"/>
    <w:rsid w:val="007478B3"/>
    <w:rsid w:val="00751003"/>
    <w:rsid w:val="00756F1E"/>
    <w:rsid w:val="00761CE2"/>
    <w:rsid w:val="00762010"/>
    <w:rsid w:val="007652D3"/>
    <w:rsid w:val="00767822"/>
    <w:rsid w:val="00772BBA"/>
    <w:rsid w:val="0077354E"/>
    <w:rsid w:val="00774469"/>
    <w:rsid w:val="007766A7"/>
    <w:rsid w:val="0077791E"/>
    <w:rsid w:val="00781BBA"/>
    <w:rsid w:val="00791837"/>
    <w:rsid w:val="00792333"/>
    <w:rsid w:val="00793A5B"/>
    <w:rsid w:val="00793F16"/>
    <w:rsid w:val="00795705"/>
    <w:rsid w:val="00797775"/>
    <w:rsid w:val="007A0E4D"/>
    <w:rsid w:val="007A4131"/>
    <w:rsid w:val="007B06B3"/>
    <w:rsid w:val="007B1DE7"/>
    <w:rsid w:val="007B277F"/>
    <w:rsid w:val="007B3CD5"/>
    <w:rsid w:val="007B3E3F"/>
    <w:rsid w:val="007B4747"/>
    <w:rsid w:val="007B58DE"/>
    <w:rsid w:val="007B6A18"/>
    <w:rsid w:val="007C35F8"/>
    <w:rsid w:val="007C37BB"/>
    <w:rsid w:val="007C3EDB"/>
    <w:rsid w:val="007C58A5"/>
    <w:rsid w:val="007C64BE"/>
    <w:rsid w:val="007D2C90"/>
    <w:rsid w:val="007D3932"/>
    <w:rsid w:val="007D4CAA"/>
    <w:rsid w:val="007D51AE"/>
    <w:rsid w:val="007D5C1A"/>
    <w:rsid w:val="007D6B3E"/>
    <w:rsid w:val="007E5A0C"/>
    <w:rsid w:val="007E7A9F"/>
    <w:rsid w:val="007E7C46"/>
    <w:rsid w:val="007F70B3"/>
    <w:rsid w:val="007F7A73"/>
    <w:rsid w:val="0080029A"/>
    <w:rsid w:val="0080282E"/>
    <w:rsid w:val="008029EE"/>
    <w:rsid w:val="00805628"/>
    <w:rsid w:val="00805A20"/>
    <w:rsid w:val="00806CFF"/>
    <w:rsid w:val="00806E23"/>
    <w:rsid w:val="008078DC"/>
    <w:rsid w:val="00810651"/>
    <w:rsid w:val="00812603"/>
    <w:rsid w:val="008140C6"/>
    <w:rsid w:val="0081435A"/>
    <w:rsid w:val="00816EB1"/>
    <w:rsid w:val="0082062E"/>
    <w:rsid w:val="00820DF4"/>
    <w:rsid w:val="00824915"/>
    <w:rsid w:val="0082527C"/>
    <w:rsid w:val="008253E0"/>
    <w:rsid w:val="00826154"/>
    <w:rsid w:val="00826B09"/>
    <w:rsid w:val="008300AD"/>
    <w:rsid w:val="00830F17"/>
    <w:rsid w:val="008376C0"/>
    <w:rsid w:val="008508B8"/>
    <w:rsid w:val="0085163F"/>
    <w:rsid w:val="008517F2"/>
    <w:rsid w:val="00852A46"/>
    <w:rsid w:val="00854B0C"/>
    <w:rsid w:val="008560B4"/>
    <w:rsid w:val="00856A54"/>
    <w:rsid w:val="00856EB8"/>
    <w:rsid w:val="0085778C"/>
    <w:rsid w:val="00857C40"/>
    <w:rsid w:val="00857E45"/>
    <w:rsid w:val="0086334E"/>
    <w:rsid w:val="00865711"/>
    <w:rsid w:val="0086579D"/>
    <w:rsid w:val="00870097"/>
    <w:rsid w:val="008706BB"/>
    <w:rsid w:val="008732F8"/>
    <w:rsid w:val="00882418"/>
    <w:rsid w:val="008866F3"/>
    <w:rsid w:val="008908DF"/>
    <w:rsid w:val="0089548F"/>
    <w:rsid w:val="008A0447"/>
    <w:rsid w:val="008A3A4C"/>
    <w:rsid w:val="008A4907"/>
    <w:rsid w:val="008A5E88"/>
    <w:rsid w:val="008A6558"/>
    <w:rsid w:val="008A6E12"/>
    <w:rsid w:val="008A7BC3"/>
    <w:rsid w:val="008B08E3"/>
    <w:rsid w:val="008B51E5"/>
    <w:rsid w:val="008B569B"/>
    <w:rsid w:val="008B58C6"/>
    <w:rsid w:val="008B5C09"/>
    <w:rsid w:val="008B6C39"/>
    <w:rsid w:val="008C4C31"/>
    <w:rsid w:val="008C4D33"/>
    <w:rsid w:val="008D2556"/>
    <w:rsid w:val="008D34A7"/>
    <w:rsid w:val="008D3C5C"/>
    <w:rsid w:val="008D3EE2"/>
    <w:rsid w:val="008D3F02"/>
    <w:rsid w:val="008D4557"/>
    <w:rsid w:val="008D4C6E"/>
    <w:rsid w:val="008D540E"/>
    <w:rsid w:val="008D6DB0"/>
    <w:rsid w:val="008D7632"/>
    <w:rsid w:val="008E28DF"/>
    <w:rsid w:val="008E4458"/>
    <w:rsid w:val="008E5C1C"/>
    <w:rsid w:val="008F0987"/>
    <w:rsid w:val="008F0BCC"/>
    <w:rsid w:val="008F0E00"/>
    <w:rsid w:val="008F2A1F"/>
    <w:rsid w:val="008F442D"/>
    <w:rsid w:val="008F544B"/>
    <w:rsid w:val="008F6FEE"/>
    <w:rsid w:val="00906FA4"/>
    <w:rsid w:val="00912107"/>
    <w:rsid w:val="00913549"/>
    <w:rsid w:val="00915FF0"/>
    <w:rsid w:val="00917158"/>
    <w:rsid w:val="009226E8"/>
    <w:rsid w:val="00923971"/>
    <w:rsid w:val="0092462D"/>
    <w:rsid w:val="009248AB"/>
    <w:rsid w:val="00925163"/>
    <w:rsid w:val="0093392D"/>
    <w:rsid w:val="0093542E"/>
    <w:rsid w:val="00935488"/>
    <w:rsid w:val="00935491"/>
    <w:rsid w:val="00942447"/>
    <w:rsid w:val="00943516"/>
    <w:rsid w:val="00945110"/>
    <w:rsid w:val="00954A84"/>
    <w:rsid w:val="0096160B"/>
    <w:rsid w:val="00961658"/>
    <w:rsid w:val="00964FE1"/>
    <w:rsid w:val="00966408"/>
    <w:rsid w:val="0097526F"/>
    <w:rsid w:val="00975512"/>
    <w:rsid w:val="009802BA"/>
    <w:rsid w:val="00985D33"/>
    <w:rsid w:val="00986178"/>
    <w:rsid w:val="00986AE3"/>
    <w:rsid w:val="0099020C"/>
    <w:rsid w:val="00991E39"/>
    <w:rsid w:val="009922B2"/>
    <w:rsid w:val="0099514C"/>
    <w:rsid w:val="00996A24"/>
    <w:rsid w:val="009A1190"/>
    <w:rsid w:val="009A1917"/>
    <w:rsid w:val="009A3CBA"/>
    <w:rsid w:val="009A577B"/>
    <w:rsid w:val="009A5EF9"/>
    <w:rsid w:val="009A7D57"/>
    <w:rsid w:val="009B26BC"/>
    <w:rsid w:val="009B5EA3"/>
    <w:rsid w:val="009C5A54"/>
    <w:rsid w:val="009D4774"/>
    <w:rsid w:val="009E1972"/>
    <w:rsid w:val="009E3AE9"/>
    <w:rsid w:val="009E4631"/>
    <w:rsid w:val="009E54AF"/>
    <w:rsid w:val="009E7E58"/>
    <w:rsid w:val="009F4514"/>
    <w:rsid w:val="009F4F79"/>
    <w:rsid w:val="009F5A37"/>
    <w:rsid w:val="009F68BB"/>
    <w:rsid w:val="009F6FF7"/>
    <w:rsid w:val="00A0119F"/>
    <w:rsid w:val="00A0225E"/>
    <w:rsid w:val="00A02BF9"/>
    <w:rsid w:val="00A03E09"/>
    <w:rsid w:val="00A05774"/>
    <w:rsid w:val="00A05FEF"/>
    <w:rsid w:val="00A10B44"/>
    <w:rsid w:val="00A1269E"/>
    <w:rsid w:val="00A12730"/>
    <w:rsid w:val="00A1284D"/>
    <w:rsid w:val="00A1318C"/>
    <w:rsid w:val="00A1495B"/>
    <w:rsid w:val="00A16053"/>
    <w:rsid w:val="00A21B01"/>
    <w:rsid w:val="00A223BA"/>
    <w:rsid w:val="00A25466"/>
    <w:rsid w:val="00A25E38"/>
    <w:rsid w:val="00A27074"/>
    <w:rsid w:val="00A27E23"/>
    <w:rsid w:val="00A30793"/>
    <w:rsid w:val="00A328A6"/>
    <w:rsid w:val="00A3343D"/>
    <w:rsid w:val="00A35A19"/>
    <w:rsid w:val="00A404E2"/>
    <w:rsid w:val="00A40843"/>
    <w:rsid w:val="00A40A27"/>
    <w:rsid w:val="00A412CF"/>
    <w:rsid w:val="00A4198A"/>
    <w:rsid w:val="00A41A8A"/>
    <w:rsid w:val="00A43705"/>
    <w:rsid w:val="00A45056"/>
    <w:rsid w:val="00A4524F"/>
    <w:rsid w:val="00A50730"/>
    <w:rsid w:val="00A50DE1"/>
    <w:rsid w:val="00A52C6F"/>
    <w:rsid w:val="00A552B4"/>
    <w:rsid w:val="00A60EDB"/>
    <w:rsid w:val="00A61263"/>
    <w:rsid w:val="00A61A19"/>
    <w:rsid w:val="00A7036A"/>
    <w:rsid w:val="00A71235"/>
    <w:rsid w:val="00A71382"/>
    <w:rsid w:val="00A800AC"/>
    <w:rsid w:val="00A8172B"/>
    <w:rsid w:val="00A82A98"/>
    <w:rsid w:val="00A8639B"/>
    <w:rsid w:val="00A86D93"/>
    <w:rsid w:val="00A906AC"/>
    <w:rsid w:val="00A90B6F"/>
    <w:rsid w:val="00A91E3C"/>
    <w:rsid w:val="00A930E5"/>
    <w:rsid w:val="00A9322C"/>
    <w:rsid w:val="00A93653"/>
    <w:rsid w:val="00A94713"/>
    <w:rsid w:val="00A96549"/>
    <w:rsid w:val="00AA0106"/>
    <w:rsid w:val="00AA22A1"/>
    <w:rsid w:val="00AA7963"/>
    <w:rsid w:val="00AB08A6"/>
    <w:rsid w:val="00AB1B2D"/>
    <w:rsid w:val="00AB3574"/>
    <w:rsid w:val="00AB4B6C"/>
    <w:rsid w:val="00AB58F0"/>
    <w:rsid w:val="00AC5EB1"/>
    <w:rsid w:val="00AC60FC"/>
    <w:rsid w:val="00AD1E79"/>
    <w:rsid w:val="00AD3519"/>
    <w:rsid w:val="00AD725D"/>
    <w:rsid w:val="00AD74A4"/>
    <w:rsid w:val="00AD7BC1"/>
    <w:rsid w:val="00AE1106"/>
    <w:rsid w:val="00AE1A1E"/>
    <w:rsid w:val="00AE2259"/>
    <w:rsid w:val="00AE2391"/>
    <w:rsid w:val="00AE39FD"/>
    <w:rsid w:val="00AE4157"/>
    <w:rsid w:val="00AE445B"/>
    <w:rsid w:val="00AF08F7"/>
    <w:rsid w:val="00AF0E10"/>
    <w:rsid w:val="00AF2BFC"/>
    <w:rsid w:val="00B006C1"/>
    <w:rsid w:val="00B00F2D"/>
    <w:rsid w:val="00B037DD"/>
    <w:rsid w:val="00B053E8"/>
    <w:rsid w:val="00B05891"/>
    <w:rsid w:val="00B115C0"/>
    <w:rsid w:val="00B138CB"/>
    <w:rsid w:val="00B157AC"/>
    <w:rsid w:val="00B15838"/>
    <w:rsid w:val="00B17819"/>
    <w:rsid w:val="00B233DA"/>
    <w:rsid w:val="00B24366"/>
    <w:rsid w:val="00B2490E"/>
    <w:rsid w:val="00B27B06"/>
    <w:rsid w:val="00B305CD"/>
    <w:rsid w:val="00B3142D"/>
    <w:rsid w:val="00B32938"/>
    <w:rsid w:val="00B361AF"/>
    <w:rsid w:val="00B37910"/>
    <w:rsid w:val="00B37998"/>
    <w:rsid w:val="00B40B5A"/>
    <w:rsid w:val="00B42562"/>
    <w:rsid w:val="00B45092"/>
    <w:rsid w:val="00B45833"/>
    <w:rsid w:val="00B459AD"/>
    <w:rsid w:val="00B47E3A"/>
    <w:rsid w:val="00B559AB"/>
    <w:rsid w:val="00B56EDD"/>
    <w:rsid w:val="00B6254E"/>
    <w:rsid w:val="00B67728"/>
    <w:rsid w:val="00B8099C"/>
    <w:rsid w:val="00B80CB8"/>
    <w:rsid w:val="00B830E3"/>
    <w:rsid w:val="00B83303"/>
    <w:rsid w:val="00B839DA"/>
    <w:rsid w:val="00B83FA9"/>
    <w:rsid w:val="00B906D2"/>
    <w:rsid w:val="00B91F6A"/>
    <w:rsid w:val="00B9392C"/>
    <w:rsid w:val="00B951A1"/>
    <w:rsid w:val="00B97B5C"/>
    <w:rsid w:val="00BA12C7"/>
    <w:rsid w:val="00BA1E1F"/>
    <w:rsid w:val="00BA2299"/>
    <w:rsid w:val="00BA25DD"/>
    <w:rsid w:val="00BA3B71"/>
    <w:rsid w:val="00BA51D0"/>
    <w:rsid w:val="00BA67B0"/>
    <w:rsid w:val="00BB0135"/>
    <w:rsid w:val="00BB08CC"/>
    <w:rsid w:val="00BB0D71"/>
    <w:rsid w:val="00BB48E7"/>
    <w:rsid w:val="00BB586D"/>
    <w:rsid w:val="00BB6EA6"/>
    <w:rsid w:val="00BB6FFC"/>
    <w:rsid w:val="00BC04E0"/>
    <w:rsid w:val="00BC1448"/>
    <w:rsid w:val="00BC2C8E"/>
    <w:rsid w:val="00BC5532"/>
    <w:rsid w:val="00BC587B"/>
    <w:rsid w:val="00BD1183"/>
    <w:rsid w:val="00BD35D4"/>
    <w:rsid w:val="00BE4565"/>
    <w:rsid w:val="00BE55CB"/>
    <w:rsid w:val="00BF4B80"/>
    <w:rsid w:val="00C042FA"/>
    <w:rsid w:val="00C04E9F"/>
    <w:rsid w:val="00C05D8C"/>
    <w:rsid w:val="00C07FB1"/>
    <w:rsid w:val="00C11F67"/>
    <w:rsid w:val="00C123B0"/>
    <w:rsid w:val="00C17B6E"/>
    <w:rsid w:val="00C20DC0"/>
    <w:rsid w:val="00C248AD"/>
    <w:rsid w:val="00C25238"/>
    <w:rsid w:val="00C2536A"/>
    <w:rsid w:val="00C25422"/>
    <w:rsid w:val="00C2656C"/>
    <w:rsid w:val="00C30F5E"/>
    <w:rsid w:val="00C323A2"/>
    <w:rsid w:val="00C346F8"/>
    <w:rsid w:val="00C4188C"/>
    <w:rsid w:val="00C604F8"/>
    <w:rsid w:val="00C61E4B"/>
    <w:rsid w:val="00C61F66"/>
    <w:rsid w:val="00C62AC4"/>
    <w:rsid w:val="00C639C4"/>
    <w:rsid w:val="00C64281"/>
    <w:rsid w:val="00C65046"/>
    <w:rsid w:val="00C67B81"/>
    <w:rsid w:val="00C7339C"/>
    <w:rsid w:val="00C776A1"/>
    <w:rsid w:val="00C77EC4"/>
    <w:rsid w:val="00C814B5"/>
    <w:rsid w:val="00C81B42"/>
    <w:rsid w:val="00C82168"/>
    <w:rsid w:val="00C83D4F"/>
    <w:rsid w:val="00C850B7"/>
    <w:rsid w:val="00C87C8D"/>
    <w:rsid w:val="00C94F7C"/>
    <w:rsid w:val="00C95795"/>
    <w:rsid w:val="00CA4CF2"/>
    <w:rsid w:val="00CA587E"/>
    <w:rsid w:val="00CB1160"/>
    <w:rsid w:val="00CB158A"/>
    <w:rsid w:val="00CB212F"/>
    <w:rsid w:val="00CB4D47"/>
    <w:rsid w:val="00CC0DBD"/>
    <w:rsid w:val="00CC467B"/>
    <w:rsid w:val="00CD1275"/>
    <w:rsid w:val="00CD5239"/>
    <w:rsid w:val="00CD71F5"/>
    <w:rsid w:val="00CE05B9"/>
    <w:rsid w:val="00CE0A79"/>
    <w:rsid w:val="00CE3160"/>
    <w:rsid w:val="00CE3911"/>
    <w:rsid w:val="00CE50C1"/>
    <w:rsid w:val="00CE71D5"/>
    <w:rsid w:val="00CF0092"/>
    <w:rsid w:val="00CF5D92"/>
    <w:rsid w:val="00CF61C3"/>
    <w:rsid w:val="00CF67FC"/>
    <w:rsid w:val="00CF6C60"/>
    <w:rsid w:val="00D01758"/>
    <w:rsid w:val="00D0232A"/>
    <w:rsid w:val="00D037BD"/>
    <w:rsid w:val="00D05AAF"/>
    <w:rsid w:val="00D10087"/>
    <w:rsid w:val="00D12C8A"/>
    <w:rsid w:val="00D137EC"/>
    <w:rsid w:val="00D159E2"/>
    <w:rsid w:val="00D15DBD"/>
    <w:rsid w:val="00D20C50"/>
    <w:rsid w:val="00D22690"/>
    <w:rsid w:val="00D23F84"/>
    <w:rsid w:val="00D26158"/>
    <w:rsid w:val="00D30791"/>
    <w:rsid w:val="00D31933"/>
    <w:rsid w:val="00D32953"/>
    <w:rsid w:val="00D3354B"/>
    <w:rsid w:val="00D337E5"/>
    <w:rsid w:val="00D35A41"/>
    <w:rsid w:val="00D3788B"/>
    <w:rsid w:val="00D41806"/>
    <w:rsid w:val="00D457E8"/>
    <w:rsid w:val="00D46B9B"/>
    <w:rsid w:val="00D5391B"/>
    <w:rsid w:val="00D53D2B"/>
    <w:rsid w:val="00D54120"/>
    <w:rsid w:val="00D567C6"/>
    <w:rsid w:val="00D61638"/>
    <w:rsid w:val="00D63D8B"/>
    <w:rsid w:val="00D6411F"/>
    <w:rsid w:val="00D7379C"/>
    <w:rsid w:val="00D7513F"/>
    <w:rsid w:val="00D76125"/>
    <w:rsid w:val="00D83324"/>
    <w:rsid w:val="00D83719"/>
    <w:rsid w:val="00D90836"/>
    <w:rsid w:val="00D940A9"/>
    <w:rsid w:val="00D9718A"/>
    <w:rsid w:val="00DA0705"/>
    <w:rsid w:val="00DA197D"/>
    <w:rsid w:val="00DA25C2"/>
    <w:rsid w:val="00DA2605"/>
    <w:rsid w:val="00DA2752"/>
    <w:rsid w:val="00DA2D26"/>
    <w:rsid w:val="00DA472F"/>
    <w:rsid w:val="00DA58C1"/>
    <w:rsid w:val="00DB0401"/>
    <w:rsid w:val="00DB6A29"/>
    <w:rsid w:val="00DB7675"/>
    <w:rsid w:val="00DC28D8"/>
    <w:rsid w:val="00DC2E94"/>
    <w:rsid w:val="00DC4431"/>
    <w:rsid w:val="00DD09A2"/>
    <w:rsid w:val="00DD1097"/>
    <w:rsid w:val="00DD148E"/>
    <w:rsid w:val="00DD298D"/>
    <w:rsid w:val="00DD45AB"/>
    <w:rsid w:val="00DD5660"/>
    <w:rsid w:val="00DE009D"/>
    <w:rsid w:val="00DE08E3"/>
    <w:rsid w:val="00DE24D1"/>
    <w:rsid w:val="00DE2E77"/>
    <w:rsid w:val="00DE3D1B"/>
    <w:rsid w:val="00DF3103"/>
    <w:rsid w:val="00DF4019"/>
    <w:rsid w:val="00DF4E26"/>
    <w:rsid w:val="00DF697A"/>
    <w:rsid w:val="00DF75EA"/>
    <w:rsid w:val="00DF79EA"/>
    <w:rsid w:val="00E023CF"/>
    <w:rsid w:val="00E04831"/>
    <w:rsid w:val="00E06A34"/>
    <w:rsid w:val="00E101C2"/>
    <w:rsid w:val="00E14EA8"/>
    <w:rsid w:val="00E16D84"/>
    <w:rsid w:val="00E17872"/>
    <w:rsid w:val="00E213B0"/>
    <w:rsid w:val="00E27163"/>
    <w:rsid w:val="00E2747D"/>
    <w:rsid w:val="00E278AB"/>
    <w:rsid w:val="00E344C9"/>
    <w:rsid w:val="00E35AA3"/>
    <w:rsid w:val="00E4134C"/>
    <w:rsid w:val="00E466CF"/>
    <w:rsid w:val="00E46A19"/>
    <w:rsid w:val="00E46CCF"/>
    <w:rsid w:val="00E47DD2"/>
    <w:rsid w:val="00E50122"/>
    <w:rsid w:val="00E53A2D"/>
    <w:rsid w:val="00E53B2B"/>
    <w:rsid w:val="00E54C40"/>
    <w:rsid w:val="00E63558"/>
    <w:rsid w:val="00E636C1"/>
    <w:rsid w:val="00E63776"/>
    <w:rsid w:val="00E66662"/>
    <w:rsid w:val="00E71ABD"/>
    <w:rsid w:val="00E73C17"/>
    <w:rsid w:val="00E73DD1"/>
    <w:rsid w:val="00E746BB"/>
    <w:rsid w:val="00E76159"/>
    <w:rsid w:val="00E830B9"/>
    <w:rsid w:val="00E9239F"/>
    <w:rsid w:val="00E932AE"/>
    <w:rsid w:val="00E943A2"/>
    <w:rsid w:val="00E94E9B"/>
    <w:rsid w:val="00E95933"/>
    <w:rsid w:val="00E96BC9"/>
    <w:rsid w:val="00E97E9F"/>
    <w:rsid w:val="00EA101D"/>
    <w:rsid w:val="00EA113E"/>
    <w:rsid w:val="00EA24AD"/>
    <w:rsid w:val="00EA2884"/>
    <w:rsid w:val="00EA45E5"/>
    <w:rsid w:val="00EA4B64"/>
    <w:rsid w:val="00EA7843"/>
    <w:rsid w:val="00EB2525"/>
    <w:rsid w:val="00EB37C2"/>
    <w:rsid w:val="00EB5CB8"/>
    <w:rsid w:val="00EB771F"/>
    <w:rsid w:val="00EC010D"/>
    <w:rsid w:val="00EC4108"/>
    <w:rsid w:val="00EC516A"/>
    <w:rsid w:val="00EC64DC"/>
    <w:rsid w:val="00ED2434"/>
    <w:rsid w:val="00ED54C9"/>
    <w:rsid w:val="00ED60E5"/>
    <w:rsid w:val="00ED629E"/>
    <w:rsid w:val="00ED62CD"/>
    <w:rsid w:val="00EE08CA"/>
    <w:rsid w:val="00EE3B39"/>
    <w:rsid w:val="00EE53B8"/>
    <w:rsid w:val="00EE5E45"/>
    <w:rsid w:val="00EE799F"/>
    <w:rsid w:val="00EF0B68"/>
    <w:rsid w:val="00EF1A1C"/>
    <w:rsid w:val="00EF582C"/>
    <w:rsid w:val="00EF72AF"/>
    <w:rsid w:val="00F003A4"/>
    <w:rsid w:val="00F0078A"/>
    <w:rsid w:val="00F01C10"/>
    <w:rsid w:val="00F046B1"/>
    <w:rsid w:val="00F06DEF"/>
    <w:rsid w:val="00F07140"/>
    <w:rsid w:val="00F1287C"/>
    <w:rsid w:val="00F20AA5"/>
    <w:rsid w:val="00F229B4"/>
    <w:rsid w:val="00F22A08"/>
    <w:rsid w:val="00F25B2B"/>
    <w:rsid w:val="00F279BF"/>
    <w:rsid w:val="00F3118B"/>
    <w:rsid w:val="00F3150D"/>
    <w:rsid w:val="00F37D14"/>
    <w:rsid w:val="00F42E37"/>
    <w:rsid w:val="00F436CB"/>
    <w:rsid w:val="00F45FBC"/>
    <w:rsid w:val="00F46941"/>
    <w:rsid w:val="00F46F0B"/>
    <w:rsid w:val="00F46F30"/>
    <w:rsid w:val="00F52707"/>
    <w:rsid w:val="00F52B60"/>
    <w:rsid w:val="00F55192"/>
    <w:rsid w:val="00F561D3"/>
    <w:rsid w:val="00F6176A"/>
    <w:rsid w:val="00F63D6B"/>
    <w:rsid w:val="00F67754"/>
    <w:rsid w:val="00F73630"/>
    <w:rsid w:val="00F7731C"/>
    <w:rsid w:val="00F818CF"/>
    <w:rsid w:val="00F8218F"/>
    <w:rsid w:val="00F855C8"/>
    <w:rsid w:val="00F863F2"/>
    <w:rsid w:val="00F86F86"/>
    <w:rsid w:val="00F87551"/>
    <w:rsid w:val="00F91F29"/>
    <w:rsid w:val="00F9337D"/>
    <w:rsid w:val="00F948DE"/>
    <w:rsid w:val="00FA1737"/>
    <w:rsid w:val="00FA224A"/>
    <w:rsid w:val="00FA3302"/>
    <w:rsid w:val="00FA3E77"/>
    <w:rsid w:val="00FC1A1B"/>
    <w:rsid w:val="00FC26A6"/>
    <w:rsid w:val="00FC3BBF"/>
    <w:rsid w:val="00FC533C"/>
    <w:rsid w:val="00FC58E6"/>
    <w:rsid w:val="00FC6441"/>
    <w:rsid w:val="00FD00BF"/>
    <w:rsid w:val="00FD44F3"/>
    <w:rsid w:val="00FD47A1"/>
    <w:rsid w:val="00FE0633"/>
    <w:rsid w:val="00FE1B36"/>
    <w:rsid w:val="00FE1EA0"/>
    <w:rsid w:val="00FE20D8"/>
    <w:rsid w:val="00FE4AF8"/>
    <w:rsid w:val="00FE5DDC"/>
    <w:rsid w:val="00FE71B4"/>
    <w:rsid w:val="00FF1D6C"/>
    <w:rsid w:val="00FF271F"/>
    <w:rsid w:val="00FF31AE"/>
    <w:rsid w:val="00FF3733"/>
    <w:rsid w:val="00FF3BB9"/>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CAB114"/>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9139">
      <w:bodyDiv w:val="1"/>
      <w:marLeft w:val="0"/>
      <w:marRight w:val="0"/>
      <w:marTop w:val="0"/>
      <w:marBottom w:val="0"/>
      <w:divBdr>
        <w:top w:val="none" w:sz="0" w:space="0" w:color="auto"/>
        <w:left w:val="none" w:sz="0" w:space="0" w:color="auto"/>
        <w:bottom w:val="none" w:sz="0" w:space="0" w:color="auto"/>
        <w:right w:val="none" w:sz="0" w:space="0" w:color="auto"/>
      </w:divBdr>
    </w:div>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204684145">
      <w:bodyDiv w:val="1"/>
      <w:marLeft w:val="0"/>
      <w:marRight w:val="0"/>
      <w:marTop w:val="0"/>
      <w:marBottom w:val="0"/>
      <w:divBdr>
        <w:top w:val="none" w:sz="0" w:space="0" w:color="auto"/>
        <w:left w:val="none" w:sz="0" w:space="0" w:color="auto"/>
        <w:bottom w:val="none" w:sz="0" w:space="0" w:color="auto"/>
        <w:right w:val="none" w:sz="0" w:space="0" w:color="auto"/>
      </w:divBdr>
    </w:div>
    <w:div w:id="240412021">
      <w:bodyDiv w:val="1"/>
      <w:marLeft w:val="0"/>
      <w:marRight w:val="0"/>
      <w:marTop w:val="0"/>
      <w:marBottom w:val="0"/>
      <w:divBdr>
        <w:top w:val="none" w:sz="0" w:space="0" w:color="auto"/>
        <w:left w:val="none" w:sz="0" w:space="0" w:color="auto"/>
        <w:bottom w:val="none" w:sz="0" w:space="0" w:color="auto"/>
        <w:right w:val="none" w:sz="0" w:space="0" w:color="auto"/>
      </w:divBdr>
    </w:div>
    <w:div w:id="301733685">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613244088">
      <w:bodyDiv w:val="1"/>
      <w:marLeft w:val="0"/>
      <w:marRight w:val="0"/>
      <w:marTop w:val="0"/>
      <w:marBottom w:val="0"/>
      <w:divBdr>
        <w:top w:val="none" w:sz="0" w:space="0" w:color="auto"/>
        <w:left w:val="none" w:sz="0" w:space="0" w:color="auto"/>
        <w:bottom w:val="none" w:sz="0" w:space="0" w:color="auto"/>
        <w:right w:val="none" w:sz="0" w:space="0" w:color="auto"/>
      </w:divBdr>
    </w:div>
    <w:div w:id="664280033">
      <w:bodyDiv w:val="1"/>
      <w:marLeft w:val="0"/>
      <w:marRight w:val="0"/>
      <w:marTop w:val="0"/>
      <w:marBottom w:val="0"/>
      <w:divBdr>
        <w:top w:val="none" w:sz="0" w:space="0" w:color="auto"/>
        <w:left w:val="none" w:sz="0" w:space="0" w:color="auto"/>
        <w:bottom w:val="none" w:sz="0" w:space="0" w:color="auto"/>
        <w:right w:val="none" w:sz="0" w:space="0" w:color="auto"/>
      </w:divBdr>
    </w:div>
    <w:div w:id="697925306">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869339709">
      <w:bodyDiv w:val="1"/>
      <w:marLeft w:val="0"/>
      <w:marRight w:val="0"/>
      <w:marTop w:val="0"/>
      <w:marBottom w:val="0"/>
      <w:divBdr>
        <w:top w:val="none" w:sz="0" w:space="0" w:color="auto"/>
        <w:left w:val="none" w:sz="0" w:space="0" w:color="auto"/>
        <w:bottom w:val="none" w:sz="0" w:space="0" w:color="auto"/>
        <w:right w:val="none" w:sz="0" w:space="0" w:color="auto"/>
      </w:divBdr>
    </w:div>
    <w:div w:id="915745228">
      <w:bodyDiv w:val="1"/>
      <w:marLeft w:val="0"/>
      <w:marRight w:val="0"/>
      <w:marTop w:val="0"/>
      <w:marBottom w:val="0"/>
      <w:divBdr>
        <w:top w:val="none" w:sz="0" w:space="0" w:color="auto"/>
        <w:left w:val="none" w:sz="0" w:space="0" w:color="auto"/>
        <w:bottom w:val="none" w:sz="0" w:space="0" w:color="auto"/>
        <w:right w:val="none" w:sz="0" w:space="0" w:color="auto"/>
      </w:divBdr>
    </w:div>
    <w:div w:id="918640790">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055785209">
      <w:bodyDiv w:val="1"/>
      <w:marLeft w:val="0"/>
      <w:marRight w:val="0"/>
      <w:marTop w:val="0"/>
      <w:marBottom w:val="0"/>
      <w:divBdr>
        <w:top w:val="none" w:sz="0" w:space="0" w:color="auto"/>
        <w:left w:val="none" w:sz="0" w:space="0" w:color="auto"/>
        <w:bottom w:val="none" w:sz="0" w:space="0" w:color="auto"/>
        <w:right w:val="none" w:sz="0" w:space="0" w:color="auto"/>
      </w:divBdr>
    </w:div>
    <w:div w:id="1135836434">
      <w:bodyDiv w:val="1"/>
      <w:marLeft w:val="0"/>
      <w:marRight w:val="0"/>
      <w:marTop w:val="0"/>
      <w:marBottom w:val="0"/>
      <w:divBdr>
        <w:top w:val="none" w:sz="0" w:space="0" w:color="auto"/>
        <w:left w:val="none" w:sz="0" w:space="0" w:color="auto"/>
        <w:bottom w:val="none" w:sz="0" w:space="0" w:color="auto"/>
        <w:right w:val="none" w:sz="0" w:space="0" w:color="auto"/>
      </w:divBdr>
    </w:div>
    <w:div w:id="1246917827">
      <w:bodyDiv w:val="1"/>
      <w:marLeft w:val="0"/>
      <w:marRight w:val="0"/>
      <w:marTop w:val="0"/>
      <w:marBottom w:val="0"/>
      <w:divBdr>
        <w:top w:val="none" w:sz="0" w:space="0" w:color="auto"/>
        <w:left w:val="none" w:sz="0" w:space="0" w:color="auto"/>
        <w:bottom w:val="none" w:sz="0" w:space="0" w:color="auto"/>
        <w:right w:val="none" w:sz="0" w:space="0" w:color="auto"/>
      </w:divBdr>
    </w:div>
    <w:div w:id="1265726361">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372344230">
      <w:bodyDiv w:val="1"/>
      <w:marLeft w:val="0"/>
      <w:marRight w:val="0"/>
      <w:marTop w:val="0"/>
      <w:marBottom w:val="0"/>
      <w:divBdr>
        <w:top w:val="none" w:sz="0" w:space="0" w:color="auto"/>
        <w:left w:val="none" w:sz="0" w:space="0" w:color="auto"/>
        <w:bottom w:val="none" w:sz="0" w:space="0" w:color="auto"/>
        <w:right w:val="none" w:sz="0" w:space="0" w:color="auto"/>
      </w:divBdr>
    </w:div>
    <w:div w:id="1599406444">
      <w:bodyDiv w:val="1"/>
      <w:marLeft w:val="0"/>
      <w:marRight w:val="0"/>
      <w:marTop w:val="0"/>
      <w:marBottom w:val="0"/>
      <w:divBdr>
        <w:top w:val="none" w:sz="0" w:space="0" w:color="auto"/>
        <w:left w:val="none" w:sz="0" w:space="0" w:color="auto"/>
        <w:bottom w:val="none" w:sz="0" w:space="0" w:color="auto"/>
        <w:right w:val="none" w:sz="0" w:space="0" w:color="auto"/>
      </w:divBdr>
    </w:div>
    <w:div w:id="1689017173">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807578611">
      <w:bodyDiv w:val="1"/>
      <w:marLeft w:val="0"/>
      <w:marRight w:val="0"/>
      <w:marTop w:val="0"/>
      <w:marBottom w:val="0"/>
      <w:divBdr>
        <w:top w:val="none" w:sz="0" w:space="0" w:color="auto"/>
        <w:left w:val="none" w:sz="0" w:space="0" w:color="auto"/>
        <w:bottom w:val="none" w:sz="0" w:space="0" w:color="auto"/>
        <w:right w:val="none" w:sz="0" w:space="0" w:color="auto"/>
      </w:divBdr>
    </w:div>
    <w:div w:id="1826897695">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15643093">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 w:id="2106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C217-A255-46B8-A459-EEC3A9B0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9</TotalTime>
  <Pages>9</Pages>
  <Words>3531</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22953</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4</cp:revision>
  <cp:lastPrinted>2018-02-19T12:06:00Z</cp:lastPrinted>
  <dcterms:created xsi:type="dcterms:W3CDTF">2018-02-19T13:39:00Z</dcterms:created>
  <dcterms:modified xsi:type="dcterms:W3CDTF">2018-02-19T13:48:00Z</dcterms:modified>
</cp:coreProperties>
</file>