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B3D34" w14:textId="77777777" w:rsidR="008E28DF" w:rsidRPr="00D0536D" w:rsidRDefault="00F863F2" w:rsidP="00F863F2">
      <w:pPr>
        <w:rPr>
          <w:b/>
        </w:rPr>
      </w:pPr>
      <w:r w:rsidRPr="00D0536D">
        <w:rPr>
          <w:b/>
        </w:rPr>
        <w:t>Cabinet Committee on Perfo</w:t>
      </w:r>
      <w:r w:rsidR="008E28DF" w:rsidRPr="00D0536D">
        <w:rPr>
          <w:b/>
        </w:rPr>
        <w:t>rmance Improvement</w:t>
      </w:r>
    </w:p>
    <w:p w14:paraId="0847B17C" w14:textId="27AD598C" w:rsidR="00F863F2" w:rsidRPr="00D0536D" w:rsidRDefault="00222DF4" w:rsidP="00F863F2">
      <w:r w:rsidRPr="00D0536D">
        <w:t xml:space="preserve">Meeting to be held on </w:t>
      </w:r>
      <w:r w:rsidR="00294B23" w:rsidRPr="00D0536D">
        <w:t>Wedne</w:t>
      </w:r>
      <w:r w:rsidRPr="00D0536D">
        <w:t>s</w:t>
      </w:r>
      <w:r w:rsidR="008E28DF" w:rsidRPr="00D0536D">
        <w:t xml:space="preserve">day, </w:t>
      </w:r>
      <w:r w:rsidR="00D0536D" w:rsidRPr="00D0536D">
        <w:t>27 June</w:t>
      </w:r>
      <w:r w:rsidR="00BB0135" w:rsidRPr="00D0536D">
        <w:t xml:space="preserve"> </w:t>
      </w:r>
      <w:r w:rsidR="000D0D79" w:rsidRPr="00D0536D">
        <w:t>201</w:t>
      </w:r>
      <w:r w:rsidR="00BB0135" w:rsidRPr="00D0536D">
        <w:t>8</w:t>
      </w:r>
    </w:p>
    <w:p w14:paraId="4170A15D" w14:textId="77777777" w:rsidR="00F863F2" w:rsidRPr="00D0536D" w:rsidRDefault="00F863F2" w:rsidP="00F863F2"/>
    <w:p w14:paraId="18EB32EC" w14:textId="77777777" w:rsidR="00F863F2" w:rsidRPr="00D0536D" w:rsidRDefault="00826154" w:rsidP="00F863F2">
      <w:pPr>
        <w:rPr>
          <w:b/>
        </w:rPr>
      </w:pPr>
      <w:r w:rsidRPr="00D0536D">
        <w:rPr>
          <w:b/>
        </w:rPr>
        <w:t>Report of the Chief Executive</w:t>
      </w:r>
    </w:p>
    <w:p w14:paraId="120D3BD0" w14:textId="77777777" w:rsidR="003E6A45" w:rsidRPr="00D0536D" w:rsidRDefault="003E6A45">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D0536D" w14:paraId="746C3765" w14:textId="77777777">
        <w:tc>
          <w:tcPr>
            <w:tcW w:w="3260" w:type="dxa"/>
          </w:tcPr>
          <w:p w14:paraId="20BC5742" w14:textId="21448A2A" w:rsidR="003E6A45" w:rsidRPr="00925E3D" w:rsidRDefault="003E6A45" w:rsidP="006A7668">
            <w:pPr>
              <w:rPr>
                <w:szCs w:val="24"/>
              </w:rPr>
            </w:pPr>
            <w:r w:rsidRPr="00925E3D">
              <w:rPr>
                <w:b/>
                <w:szCs w:val="24"/>
              </w:rPr>
              <w:t xml:space="preserve">Part </w:t>
            </w:r>
            <w:r w:rsidR="006A7668">
              <w:rPr>
                <w:b/>
                <w:szCs w:val="24"/>
              </w:rPr>
              <w:t xml:space="preserve">I </w:t>
            </w:r>
          </w:p>
        </w:tc>
      </w:tr>
    </w:tbl>
    <w:p w14:paraId="76961546" w14:textId="77777777" w:rsidR="003E6A45" w:rsidRPr="00D0536D"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D0536D" w14:paraId="52F091B3" w14:textId="77777777">
        <w:tc>
          <w:tcPr>
            <w:tcW w:w="3260" w:type="dxa"/>
          </w:tcPr>
          <w:p w14:paraId="76BB1ABC" w14:textId="77777777" w:rsidR="003E6A45" w:rsidRPr="00D0536D" w:rsidRDefault="003E6A45">
            <w:pPr>
              <w:pStyle w:val="BodyText"/>
            </w:pPr>
            <w:r w:rsidRPr="00D0536D">
              <w:t>Electoral Division affected:</w:t>
            </w:r>
          </w:p>
          <w:p w14:paraId="02FD8554" w14:textId="77777777" w:rsidR="003E6A45" w:rsidRPr="00D0536D" w:rsidRDefault="00F863F2">
            <w:r w:rsidRPr="00D0536D">
              <w:t>All</w:t>
            </w:r>
          </w:p>
        </w:tc>
      </w:tr>
    </w:tbl>
    <w:p w14:paraId="721263FB" w14:textId="77777777" w:rsidR="003E6A45" w:rsidRPr="00D0536D" w:rsidRDefault="003E6A45">
      <w:pPr>
        <w:rPr>
          <w:u w:val="single"/>
        </w:rPr>
      </w:pPr>
    </w:p>
    <w:p w14:paraId="469290DD" w14:textId="77777777" w:rsidR="00F863F2" w:rsidRPr="00D0536D" w:rsidRDefault="001818BC" w:rsidP="00F863F2">
      <w:pPr>
        <w:rPr>
          <w:b/>
        </w:rPr>
      </w:pPr>
      <w:r w:rsidRPr="00D0536D">
        <w:rPr>
          <w:b/>
        </w:rPr>
        <w:t xml:space="preserve">Quarterly </w:t>
      </w:r>
      <w:r w:rsidR="00AA7963" w:rsidRPr="00D0536D">
        <w:rPr>
          <w:b/>
        </w:rPr>
        <w:t xml:space="preserve">Corporate </w:t>
      </w:r>
      <w:r w:rsidR="00D567C6" w:rsidRPr="00D0536D">
        <w:rPr>
          <w:b/>
        </w:rPr>
        <w:t>Perfor</w:t>
      </w:r>
      <w:r w:rsidR="002340F4" w:rsidRPr="00D0536D">
        <w:rPr>
          <w:b/>
        </w:rPr>
        <w:t>mance Monitoring Report</w:t>
      </w:r>
      <w:r w:rsidR="00D567C6" w:rsidRPr="00D0536D">
        <w:rPr>
          <w:b/>
        </w:rPr>
        <w:t xml:space="preserve"> </w:t>
      </w:r>
      <w:r w:rsidR="006247C6" w:rsidRPr="00D0536D">
        <w:rPr>
          <w:b/>
        </w:rPr>
        <w:t xml:space="preserve">– </w:t>
      </w:r>
      <w:r w:rsidR="00D0536D" w:rsidRPr="00D0536D">
        <w:rPr>
          <w:b/>
        </w:rPr>
        <w:t>Quarter 4</w:t>
      </w:r>
      <w:r w:rsidR="00222DF4" w:rsidRPr="00D0536D">
        <w:rPr>
          <w:b/>
        </w:rPr>
        <w:t xml:space="preserve"> </w:t>
      </w:r>
      <w:r w:rsidR="00EB771F" w:rsidRPr="00D0536D">
        <w:rPr>
          <w:b/>
        </w:rPr>
        <w:t>201</w:t>
      </w:r>
      <w:r w:rsidR="00C346F8" w:rsidRPr="00D0536D">
        <w:rPr>
          <w:b/>
        </w:rPr>
        <w:t>7</w:t>
      </w:r>
      <w:r w:rsidR="00EB771F" w:rsidRPr="00D0536D">
        <w:rPr>
          <w:b/>
        </w:rPr>
        <w:t>/1</w:t>
      </w:r>
      <w:r w:rsidR="00C346F8" w:rsidRPr="00D0536D">
        <w:rPr>
          <w:b/>
        </w:rPr>
        <w:t>8</w:t>
      </w:r>
    </w:p>
    <w:p w14:paraId="7FCC51B6" w14:textId="4D74CCB7" w:rsidR="00F863F2" w:rsidRPr="00D0536D" w:rsidRDefault="00BF5481" w:rsidP="00F863F2">
      <w:r>
        <w:t>(Appendices</w:t>
      </w:r>
      <w:r w:rsidR="00F863F2" w:rsidRPr="00D0536D">
        <w:t xml:space="preserve"> 'A</w:t>
      </w:r>
      <w:r w:rsidR="008D2556" w:rsidRPr="00D0536D">
        <w:t>'</w:t>
      </w:r>
      <w:r w:rsidR="001972BB">
        <w:t xml:space="preserve">, 'B' and 'C' </w:t>
      </w:r>
      <w:r w:rsidR="008908DF" w:rsidRPr="00D0536D">
        <w:t>refer</w:t>
      </w:r>
      <w:r w:rsidR="00F863F2" w:rsidRPr="00D0536D">
        <w:t>)</w:t>
      </w:r>
    </w:p>
    <w:p w14:paraId="5C67B4BE" w14:textId="77777777" w:rsidR="003E6A45" w:rsidRPr="00D0536D" w:rsidRDefault="003E6A45"/>
    <w:p w14:paraId="118DC028" w14:textId="77777777" w:rsidR="003E6A45" w:rsidRPr="00D0536D" w:rsidRDefault="003E6A45">
      <w:r w:rsidRPr="00D0536D">
        <w:t>Contact for further information:</w:t>
      </w:r>
    </w:p>
    <w:p w14:paraId="06117DED" w14:textId="77777777" w:rsidR="00F863F2" w:rsidRPr="00D0536D" w:rsidRDefault="00F863F2" w:rsidP="00F863F2">
      <w:pPr>
        <w:ind w:right="-873"/>
      </w:pPr>
      <w:r w:rsidRPr="00D0536D">
        <w:t>Michael W</w:t>
      </w:r>
      <w:r w:rsidR="00826154" w:rsidRPr="00D0536D">
        <w:t xml:space="preserve">alder, 01772 533637, </w:t>
      </w:r>
      <w:r w:rsidR="00420A4F" w:rsidRPr="00D0536D">
        <w:t>Business Intelligence</w:t>
      </w:r>
      <w:r w:rsidRPr="00D0536D">
        <w:t xml:space="preserve">, </w:t>
      </w:r>
    </w:p>
    <w:p w14:paraId="681893D5" w14:textId="77777777" w:rsidR="00F863F2" w:rsidRPr="00D0536D" w:rsidRDefault="00865CAA" w:rsidP="00F863F2">
      <w:pPr>
        <w:ind w:right="-873"/>
      </w:pPr>
      <w:hyperlink r:id="rId8" w:history="1">
        <w:r w:rsidR="00F863F2" w:rsidRPr="00D0536D">
          <w:rPr>
            <w:rStyle w:val="Hyperlink"/>
            <w:color w:val="auto"/>
          </w:rPr>
          <w:t>Michael.Walder@lancashire.gov.uk</w:t>
        </w:r>
      </w:hyperlink>
      <w:r w:rsidR="00F863F2" w:rsidRPr="00D0536D">
        <w:t xml:space="preserve">  </w:t>
      </w:r>
    </w:p>
    <w:p w14:paraId="11EC4F10" w14:textId="77777777" w:rsidR="009A5EF9" w:rsidRPr="00D0536D" w:rsidRDefault="009A5EF9" w:rsidP="009A5EF9">
      <w:pPr>
        <w:pStyle w:val="NoSpacing"/>
        <w:rPr>
          <w:color w:val="FF0000"/>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0536D" w:rsidRPr="006A7668" w14:paraId="2F9C602E" w14:textId="77777777" w:rsidTr="00F046B1">
        <w:tc>
          <w:tcPr>
            <w:tcW w:w="9180" w:type="dxa"/>
          </w:tcPr>
          <w:p w14:paraId="31A1D5E1" w14:textId="77777777" w:rsidR="00F046B1" w:rsidRPr="006A7668" w:rsidRDefault="00F046B1" w:rsidP="003665B3">
            <w:pPr>
              <w:pStyle w:val="Heading6"/>
              <w:rPr>
                <w:rFonts w:ascii="Arial" w:hAnsi="Arial"/>
                <w:szCs w:val="24"/>
              </w:rPr>
            </w:pPr>
            <w:r w:rsidRPr="006A7668">
              <w:rPr>
                <w:rFonts w:ascii="Arial" w:hAnsi="Arial"/>
                <w:szCs w:val="24"/>
              </w:rPr>
              <w:t>Executive Summary</w:t>
            </w:r>
          </w:p>
          <w:p w14:paraId="5D7525C1" w14:textId="77777777" w:rsidR="006A7668" w:rsidRPr="006A7668" w:rsidRDefault="006A7668" w:rsidP="006A7668">
            <w:pPr>
              <w:rPr>
                <w:szCs w:val="24"/>
              </w:rPr>
            </w:pPr>
          </w:p>
          <w:p w14:paraId="2896F401" w14:textId="27419688" w:rsidR="00DF79EA" w:rsidRPr="006A7668" w:rsidRDefault="00347754" w:rsidP="00E46CCF">
            <w:pPr>
              <w:rPr>
                <w:bCs/>
                <w:szCs w:val="24"/>
              </w:rPr>
            </w:pPr>
            <w:r w:rsidRPr="006A7668">
              <w:rPr>
                <w:bCs/>
                <w:szCs w:val="24"/>
              </w:rPr>
              <w:t>This Corporate Performance Monitoring Report</w:t>
            </w:r>
            <w:r w:rsidR="00BB0135" w:rsidRPr="006A7668">
              <w:rPr>
                <w:bCs/>
                <w:szCs w:val="24"/>
              </w:rPr>
              <w:t xml:space="preserve"> </w:t>
            </w:r>
            <w:r w:rsidRPr="006A7668">
              <w:rPr>
                <w:bCs/>
                <w:szCs w:val="24"/>
              </w:rPr>
              <w:t>provides an overview of performance activity across the Council</w:t>
            </w:r>
            <w:r w:rsidR="00D0536D" w:rsidRPr="006A7668">
              <w:rPr>
                <w:bCs/>
                <w:szCs w:val="24"/>
              </w:rPr>
              <w:t xml:space="preserve"> </w:t>
            </w:r>
            <w:r w:rsidR="00095258" w:rsidRPr="006A7668">
              <w:rPr>
                <w:bCs/>
                <w:szCs w:val="24"/>
              </w:rPr>
              <w:t>for 2017/18.</w:t>
            </w:r>
          </w:p>
          <w:p w14:paraId="421B86FB" w14:textId="77777777" w:rsidR="00BB0135" w:rsidRPr="006A7668" w:rsidRDefault="00BB0135" w:rsidP="00E46CCF">
            <w:pPr>
              <w:rPr>
                <w:bCs/>
                <w:szCs w:val="24"/>
              </w:rPr>
            </w:pPr>
          </w:p>
          <w:p w14:paraId="35162300" w14:textId="77777777" w:rsidR="000F3314" w:rsidRPr="006A7668" w:rsidRDefault="00981958" w:rsidP="00E46CCF">
            <w:pPr>
              <w:rPr>
                <w:bCs/>
                <w:szCs w:val="24"/>
              </w:rPr>
            </w:pPr>
            <w:r w:rsidRPr="006A7668">
              <w:rPr>
                <w:bCs/>
                <w:szCs w:val="24"/>
              </w:rPr>
              <w:t>Highlights:</w:t>
            </w:r>
          </w:p>
          <w:p w14:paraId="2D498C58" w14:textId="77777777" w:rsidR="000F3314" w:rsidRPr="006A7668" w:rsidRDefault="00981958" w:rsidP="00981958">
            <w:pPr>
              <w:pStyle w:val="ListParagraph"/>
              <w:numPr>
                <w:ilvl w:val="0"/>
                <w:numId w:val="41"/>
              </w:numPr>
              <w:rPr>
                <w:bCs/>
              </w:rPr>
            </w:pPr>
            <w:r w:rsidRPr="006A7668">
              <w:rPr>
                <w:bCs/>
              </w:rPr>
              <w:t>R</w:t>
            </w:r>
            <w:r w:rsidR="000F3314" w:rsidRPr="006A7668">
              <w:rPr>
                <w:bCs/>
              </w:rPr>
              <w:t>etention of staff</w:t>
            </w:r>
            <w:r w:rsidRPr="006A7668">
              <w:rPr>
                <w:bCs/>
              </w:rPr>
              <w:t xml:space="preserve"> in children's social care has improved</w:t>
            </w:r>
            <w:r w:rsidR="000F3314" w:rsidRPr="006A7668">
              <w:rPr>
                <w:bCs/>
              </w:rPr>
              <w:t>, including both newly qualified staff and experienced staff choosing to remain with Lancashire.</w:t>
            </w:r>
          </w:p>
          <w:p w14:paraId="7999E189" w14:textId="77777777" w:rsidR="000F3314" w:rsidRPr="006A7668" w:rsidRDefault="00A86AE5" w:rsidP="00981958">
            <w:pPr>
              <w:pStyle w:val="ListParagraph"/>
              <w:numPr>
                <w:ilvl w:val="0"/>
                <w:numId w:val="41"/>
              </w:numPr>
              <w:rPr>
                <w:bCs/>
              </w:rPr>
            </w:pPr>
            <w:r w:rsidRPr="006A7668">
              <w:rPr>
                <w:bCs/>
              </w:rPr>
              <w:t>There are fewer</w:t>
            </w:r>
            <w:r w:rsidR="000F3314" w:rsidRPr="006A7668">
              <w:rPr>
                <w:bCs/>
              </w:rPr>
              <w:t xml:space="preserve"> first tim</w:t>
            </w:r>
            <w:r w:rsidRPr="006A7668">
              <w:rPr>
                <w:bCs/>
              </w:rPr>
              <w:t>e entrants to the youth justice system and Lancashire remains lower than all comparator groups.</w:t>
            </w:r>
          </w:p>
          <w:p w14:paraId="1F6E2F3F" w14:textId="77777777" w:rsidR="00A86AE5" w:rsidRPr="006A7668" w:rsidRDefault="00A86AE5" w:rsidP="00981958">
            <w:pPr>
              <w:pStyle w:val="ListParagraph"/>
              <w:numPr>
                <w:ilvl w:val="0"/>
                <w:numId w:val="41"/>
              </w:numPr>
              <w:rPr>
                <w:bCs/>
              </w:rPr>
            </w:pPr>
            <w:r w:rsidRPr="006A7668">
              <w:rPr>
                <w:bCs/>
              </w:rPr>
              <w:t>Absence levels across all educational settings remains low and Lancashire is in the top quartile nationally</w:t>
            </w:r>
            <w:r w:rsidR="00981958" w:rsidRPr="006A7668">
              <w:rPr>
                <w:bCs/>
              </w:rPr>
              <w:t>.</w:t>
            </w:r>
          </w:p>
          <w:p w14:paraId="61173BB5" w14:textId="590FBB61" w:rsidR="00A86AE5" w:rsidRPr="006A7668" w:rsidRDefault="00A86AE5" w:rsidP="00981958">
            <w:pPr>
              <w:pStyle w:val="ListParagraph"/>
              <w:numPr>
                <w:ilvl w:val="0"/>
                <w:numId w:val="41"/>
              </w:numPr>
              <w:rPr>
                <w:bCs/>
              </w:rPr>
            </w:pPr>
            <w:r w:rsidRPr="006A7668">
              <w:rPr>
                <w:bCs/>
              </w:rPr>
              <w:t xml:space="preserve">Significant progress has been made in reducing the number of delayed discharges </w:t>
            </w:r>
            <w:r w:rsidR="00FE3145" w:rsidRPr="006A7668">
              <w:rPr>
                <w:bCs/>
              </w:rPr>
              <w:t xml:space="preserve">from hospital </w:t>
            </w:r>
            <w:r w:rsidRPr="006A7668">
              <w:rPr>
                <w:bCs/>
              </w:rPr>
              <w:t>attributable to adult social care.</w:t>
            </w:r>
          </w:p>
          <w:p w14:paraId="535A74F5" w14:textId="77777777" w:rsidR="00A86AE5" w:rsidRPr="006A7668" w:rsidRDefault="00A86AE5" w:rsidP="00981958">
            <w:pPr>
              <w:pStyle w:val="ListParagraph"/>
              <w:numPr>
                <w:ilvl w:val="0"/>
                <w:numId w:val="41"/>
              </w:numPr>
              <w:rPr>
                <w:bCs/>
              </w:rPr>
            </w:pPr>
            <w:r w:rsidRPr="006A7668">
              <w:rPr>
                <w:bCs/>
              </w:rPr>
              <w:t xml:space="preserve">The use of reablement </w:t>
            </w:r>
            <w:r w:rsidR="00981958" w:rsidRPr="006A7668">
              <w:rPr>
                <w:bCs/>
              </w:rPr>
              <w:t xml:space="preserve">for older adults </w:t>
            </w:r>
            <w:r w:rsidRPr="006A7668">
              <w:rPr>
                <w:bCs/>
              </w:rPr>
              <w:t>has continued to increase, with both improved take up and effectiveness.</w:t>
            </w:r>
          </w:p>
          <w:p w14:paraId="5045AB8D" w14:textId="77777777" w:rsidR="00A86AE5" w:rsidRPr="006A7668" w:rsidRDefault="00A86AE5" w:rsidP="00981958">
            <w:pPr>
              <w:pStyle w:val="ListParagraph"/>
              <w:numPr>
                <w:ilvl w:val="0"/>
                <w:numId w:val="41"/>
              </w:numPr>
              <w:rPr>
                <w:bCs/>
              </w:rPr>
            </w:pPr>
            <w:r w:rsidRPr="006A7668">
              <w:rPr>
                <w:bCs/>
              </w:rPr>
              <w:t>The proportion of people having health checks continues to increase and is better than the national picture.</w:t>
            </w:r>
          </w:p>
          <w:p w14:paraId="1BD3242E" w14:textId="77777777" w:rsidR="00A86AE5" w:rsidRPr="006A7668" w:rsidRDefault="00A86AE5" w:rsidP="00E46CCF">
            <w:pPr>
              <w:rPr>
                <w:bCs/>
                <w:szCs w:val="24"/>
              </w:rPr>
            </w:pPr>
          </w:p>
          <w:p w14:paraId="0E1FB807" w14:textId="77777777" w:rsidR="00A86AE5" w:rsidRPr="006A7668" w:rsidRDefault="00A86AE5" w:rsidP="00E46CCF">
            <w:pPr>
              <w:rPr>
                <w:bCs/>
                <w:szCs w:val="24"/>
              </w:rPr>
            </w:pPr>
            <w:r w:rsidRPr="006A7668">
              <w:rPr>
                <w:bCs/>
                <w:szCs w:val="24"/>
              </w:rPr>
              <w:t>However,</w:t>
            </w:r>
          </w:p>
          <w:p w14:paraId="71E3AAAC" w14:textId="1B4D0F57" w:rsidR="00A86AE5" w:rsidRPr="006A7668" w:rsidRDefault="00981958" w:rsidP="00981958">
            <w:pPr>
              <w:pStyle w:val="ListParagraph"/>
              <w:numPr>
                <w:ilvl w:val="0"/>
                <w:numId w:val="42"/>
              </w:numPr>
              <w:rPr>
                <w:bCs/>
              </w:rPr>
            </w:pPr>
            <w:r w:rsidRPr="006A7668">
              <w:rPr>
                <w:bCs/>
              </w:rPr>
              <w:t>It is taking longer to repair street lights and highways defects</w:t>
            </w:r>
            <w:r w:rsidR="00D77878" w:rsidRPr="006A7668">
              <w:rPr>
                <w:bCs/>
              </w:rPr>
              <w:t>.</w:t>
            </w:r>
          </w:p>
          <w:p w14:paraId="46178949" w14:textId="77777777" w:rsidR="00981958" w:rsidRPr="006A7668" w:rsidRDefault="00981958" w:rsidP="00981958">
            <w:pPr>
              <w:pStyle w:val="ListParagraph"/>
              <w:numPr>
                <w:ilvl w:val="0"/>
                <w:numId w:val="42"/>
              </w:numPr>
              <w:rPr>
                <w:bCs/>
              </w:rPr>
            </w:pPr>
            <w:r w:rsidRPr="006A7668">
              <w:rPr>
                <w:bCs/>
              </w:rPr>
              <w:t>Admissions to residential care, whilst improving, are still higher than comparator groups.</w:t>
            </w:r>
          </w:p>
          <w:p w14:paraId="1331A08B" w14:textId="4BE5CBB0" w:rsidR="00FF6736" w:rsidRPr="006A7668" w:rsidRDefault="00FF6736" w:rsidP="00981958">
            <w:pPr>
              <w:pStyle w:val="ListParagraph"/>
              <w:numPr>
                <w:ilvl w:val="0"/>
                <w:numId w:val="42"/>
              </w:numPr>
              <w:rPr>
                <w:bCs/>
              </w:rPr>
            </w:pPr>
            <w:r w:rsidRPr="006A7668">
              <w:rPr>
                <w:bCs/>
              </w:rPr>
              <w:t xml:space="preserve">A proportion of children's social care assessments are </w:t>
            </w:r>
            <w:r w:rsidR="00065A8C" w:rsidRPr="006A7668">
              <w:rPr>
                <w:bCs/>
              </w:rPr>
              <w:t>not completed within recommended timescales.</w:t>
            </w:r>
          </w:p>
          <w:p w14:paraId="0FFA98A7" w14:textId="77777777" w:rsidR="00A86AE5" w:rsidRPr="006A7668" w:rsidRDefault="00A86AE5" w:rsidP="00E46CCF">
            <w:pPr>
              <w:rPr>
                <w:bCs/>
                <w:szCs w:val="24"/>
              </w:rPr>
            </w:pPr>
          </w:p>
          <w:p w14:paraId="1BBEFE0F" w14:textId="0EC18DED" w:rsidR="00070646" w:rsidRPr="006A7668" w:rsidRDefault="002725FF" w:rsidP="00981958">
            <w:pPr>
              <w:pStyle w:val="NoSpacing"/>
              <w:rPr>
                <w:rFonts w:ascii="Arial" w:hAnsi="Arial" w:cs="Arial"/>
                <w:sz w:val="24"/>
                <w:szCs w:val="24"/>
              </w:rPr>
            </w:pPr>
            <w:r w:rsidRPr="006A7668">
              <w:rPr>
                <w:rFonts w:ascii="Arial" w:hAnsi="Arial" w:cs="Arial"/>
                <w:sz w:val="24"/>
                <w:szCs w:val="24"/>
              </w:rPr>
              <w:t xml:space="preserve">A </w:t>
            </w:r>
            <w:r w:rsidR="001172CF" w:rsidRPr="006A7668">
              <w:rPr>
                <w:rFonts w:ascii="Arial" w:hAnsi="Arial" w:cs="Arial"/>
                <w:sz w:val="24"/>
                <w:szCs w:val="24"/>
              </w:rPr>
              <w:t>Children's Service</w:t>
            </w:r>
            <w:r w:rsidR="00D77878" w:rsidRPr="006A7668">
              <w:rPr>
                <w:rFonts w:ascii="Arial" w:hAnsi="Arial" w:cs="Arial"/>
                <w:sz w:val="24"/>
                <w:szCs w:val="24"/>
              </w:rPr>
              <w:t>s</w:t>
            </w:r>
            <w:r w:rsidR="001172CF" w:rsidRPr="006A7668">
              <w:rPr>
                <w:rFonts w:ascii="Arial" w:hAnsi="Arial" w:cs="Arial"/>
                <w:sz w:val="24"/>
                <w:szCs w:val="24"/>
              </w:rPr>
              <w:t xml:space="preserve"> </w:t>
            </w:r>
            <w:r w:rsidR="00070646" w:rsidRPr="006A7668">
              <w:rPr>
                <w:rFonts w:ascii="Arial" w:hAnsi="Arial" w:cs="Arial"/>
                <w:sz w:val="24"/>
                <w:szCs w:val="24"/>
              </w:rPr>
              <w:t xml:space="preserve">Ofsted </w:t>
            </w:r>
            <w:r w:rsidR="00B14856" w:rsidRPr="006A7668">
              <w:rPr>
                <w:rFonts w:ascii="Arial" w:hAnsi="Arial" w:cs="Arial"/>
                <w:sz w:val="24"/>
                <w:szCs w:val="24"/>
              </w:rPr>
              <w:t>S</w:t>
            </w:r>
            <w:r w:rsidR="00865CAA">
              <w:rPr>
                <w:rFonts w:ascii="Arial" w:hAnsi="Arial" w:cs="Arial"/>
                <w:sz w:val="24"/>
                <w:szCs w:val="24"/>
              </w:rPr>
              <w:t xml:space="preserve">pecial </w:t>
            </w:r>
            <w:r w:rsidR="00B14856" w:rsidRPr="006A7668">
              <w:rPr>
                <w:rFonts w:ascii="Arial" w:hAnsi="Arial" w:cs="Arial"/>
                <w:sz w:val="24"/>
                <w:szCs w:val="24"/>
              </w:rPr>
              <w:t>E</w:t>
            </w:r>
            <w:r w:rsidR="00865CAA">
              <w:rPr>
                <w:rFonts w:ascii="Arial" w:hAnsi="Arial" w:cs="Arial"/>
                <w:sz w:val="24"/>
                <w:szCs w:val="24"/>
              </w:rPr>
              <w:t xml:space="preserve">ducational </w:t>
            </w:r>
            <w:r w:rsidR="00B14856" w:rsidRPr="006A7668">
              <w:rPr>
                <w:rFonts w:ascii="Arial" w:hAnsi="Arial" w:cs="Arial"/>
                <w:sz w:val="24"/>
                <w:szCs w:val="24"/>
              </w:rPr>
              <w:t>N</w:t>
            </w:r>
            <w:r w:rsidR="00865CAA">
              <w:rPr>
                <w:rFonts w:ascii="Arial" w:hAnsi="Arial" w:cs="Arial"/>
                <w:sz w:val="24"/>
                <w:szCs w:val="24"/>
              </w:rPr>
              <w:t xml:space="preserve">eeds and </w:t>
            </w:r>
            <w:r w:rsidR="00B14856" w:rsidRPr="006A7668">
              <w:rPr>
                <w:rFonts w:ascii="Arial" w:hAnsi="Arial" w:cs="Arial"/>
                <w:sz w:val="24"/>
                <w:szCs w:val="24"/>
              </w:rPr>
              <w:t>D</w:t>
            </w:r>
            <w:r w:rsidR="00865CAA">
              <w:rPr>
                <w:rFonts w:ascii="Arial" w:hAnsi="Arial" w:cs="Arial"/>
                <w:sz w:val="24"/>
                <w:szCs w:val="24"/>
              </w:rPr>
              <w:t>isabilities</w:t>
            </w:r>
            <w:r w:rsidR="00B14856" w:rsidRPr="006A7668">
              <w:rPr>
                <w:rFonts w:ascii="Arial" w:hAnsi="Arial" w:cs="Arial"/>
                <w:sz w:val="24"/>
                <w:szCs w:val="24"/>
              </w:rPr>
              <w:t xml:space="preserve"> </w:t>
            </w:r>
            <w:r w:rsidR="00070646" w:rsidRPr="006A7668">
              <w:rPr>
                <w:rFonts w:ascii="Arial" w:hAnsi="Arial" w:cs="Arial"/>
                <w:sz w:val="24"/>
                <w:szCs w:val="24"/>
              </w:rPr>
              <w:t>inspection update has b</w:t>
            </w:r>
            <w:r w:rsidR="00400DCC" w:rsidRPr="006A7668">
              <w:rPr>
                <w:rFonts w:ascii="Arial" w:hAnsi="Arial" w:cs="Arial"/>
                <w:sz w:val="24"/>
                <w:szCs w:val="24"/>
              </w:rPr>
              <w:t>een attached at Appendix 'A</w:t>
            </w:r>
            <w:r w:rsidR="00DF79EA" w:rsidRPr="006A7668">
              <w:rPr>
                <w:rFonts w:ascii="Arial" w:hAnsi="Arial" w:cs="Arial"/>
                <w:sz w:val="24"/>
                <w:szCs w:val="24"/>
              </w:rPr>
              <w:t>'</w:t>
            </w:r>
            <w:r w:rsidRPr="006A7668">
              <w:rPr>
                <w:rFonts w:ascii="Arial" w:hAnsi="Arial" w:cs="Arial"/>
                <w:sz w:val="24"/>
                <w:szCs w:val="24"/>
              </w:rPr>
              <w:t xml:space="preserve"> and this will be complemented by a verbal update at the meeting</w:t>
            </w:r>
            <w:r w:rsidR="00605039" w:rsidRPr="006A7668">
              <w:rPr>
                <w:rFonts w:ascii="Arial" w:hAnsi="Arial" w:cs="Arial"/>
                <w:sz w:val="24"/>
                <w:szCs w:val="24"/>
              </w:rPr>
              <w:t>.</w:t>
            </w:r>
            <w:r w:rsidR="00070646" w:rsidRPr="006A7668">
              <w:rPr>
                <w:rFonts w:ascii="Arial" w:hAnsi="Arial" w:cs="Arial"/>
                <w:sz w:val="24"/>
                <w:szCs w:val="24"/>
              </w:rPr>
              <w:t xml:space="preserve"> </w:t>
            </w:r>
          </w:p>
          <w:p w14:paraId="6AF9AE8F" w14:textId="77777777" w:rsidR="00925E3D" w:rsidRPr="006A7668" w:rsidRDefault="00925E3D" w:rsidP="00E46CCF">
            <w:pPr>
              <w:rPr>
                <w:rFonts w:cs="Arial"/>
                <w:szCs w:val="24"/>
              </w:rPr>
            </w:pPr>
          </w:p>
          <w:p w14:paraId="7236354D" w14:textId="77777777" w:rsidR="006A7668" w:rsidRPr="006A7668" w:rsidRDefault="006A7668" w:rsidP="00E46CCF">
            <w:pPr>
              <w:pStyle w:val="Heading5"/>
              <w:rPr>
                <w:rFonts w:ascii="Arial" w:hAnsi="Arial"/>
                <w:szCs w:val="24"/>
                <w:u w:val="none"/>
              </w:rPr>
            </w:pPr>
          </w:p>
          <w:p w14:paraId="24A7C329" w14:textId="77777777" w:rsidR="006A7668" w:rsidRPr="006A7668" w:rsidRDefault="006A7668" w:rsidP="00E46CCF">
            <w:pPr>
              <w:pStyle w:val="Heading5"/>
              <w:rPr>
                <w:rFonts w:ascii="Arial" w:hAnsi="Arial"/>
                <w:szCs w:val="24"/>
                <w:u w:val="none"/>
              </w:rPr>
            </w:pPr>
          </w:p>
          <w:p w14:paraId="034AA503" w14:textId="77777777" w:rsidR="006A7668" w:rsidRDefault="006A7668" w:rsidP="00E46CCF">
            <w:pPr>
              <w:pStyle w:val="Heading5"/>
              <w:rPr>
                <w:rFonts w:ascii="Arial" w:hAnsi="Arial"/>
                <w:szCs w:val="24"/>
                <w:u w:val="none"/>
              </w:rPr>
            </w:pPr>
          </w:p>
          <w:p w14:paraId="07AAA5A7" w14:textId="77777777" w:rsidR="00F046B1" w:rsidRPr="006A7668" w:rsidRDefault="00F046B1" w:rsidP="00E46CCF">
            <w:pPr>
              <w:pStyle w:val="Heading5"/>
              <w:rPr>
                <w:rFonts w:ascii="Arial" w:hAnsi="Arial"/>
                <w:szCs w:val="24"/>
                <w:u w:val="none"/>
              </w:rPr>
            </w:pPr>
            <w:r w:rsidRPr="006A7668">
              <w:rPr>
                <w:rFonts w:ascii="Arial" w:hAnsi="Arial"/>
                <w:szCs w:val="24"/>
                <w:u w:val="none"/>
              </w:rPr>
              <w:t>Recommendation</w:t>
            </w:r>
          </w:p>
          <w:p w14:paraId="52F6BCDB" w14:textId="77777777" w:rsidR="006A7668" w:rsidRPr="006A7668" w:rsidRDefault="006A7668" w:rsidP="006A7668">
            <w:pPr>
              <w:rPr>
                <w:szCs w:val="24"/>
              </w:rPr>
            </w:pPr>
          </w:p>
          <w:p w14:paraId="6E313DD0" w14:textId="0D1A3BFF" w:rsidR="00CD71F5" w:rsidRDefault="006A7668" w:rsidP="006A7668">
            <w:pPr>
              <w:rPr>
                <w:szCs w:val="24"/>
              </w:rPr>
            </w:pPr>
            <w:r w:rsidRPr="006A7668">
              <w:rPr>
                <w:szCs w:val="24"/>
              </w:rPr>
              <w:t>The Cabinet Committee</w:t>
            </w:r>
            <w:r w:rsidR="00346E87" w:rsidRPr="006A7668">
              <w:rPr>
                <w:szCs w:val="24"/>
              </w:rPr>
              <w:t xml:space="preserve"> </w:t>
            </w:r>
            <w:r w:rsidR="00347754" w:rsidRPr="006A7668">
              <w:rPr>
                <w:szCs w:val="24"/>
              </w:rPr>
              <w:t xml:space="preserve">is </w:t>
            </w:r>
            <w:r w:rsidR="00346E87" w:rsidRPr="006A7668">
              <w:rPr>
                <w:szCs w:val="24"/>
              </w:rPr>
              <w:t xml:space="preserve">asked to </w:t>
            </w:r>
            <w:r w:rsidR="00F046B1" w:rsidRPr="006A7668">
              <w:rPr>
                <w:szCs w:val="24"/>
              </w:rPr>
              <w:t>comment</w:t>
            </w:r>
            <w:r w:rsidR="00F046B1" w:rsidRPr="006A7668">
              <w:rPr>
                <w:i/>
                <w:szCs w:val="24"/>
              </w:rPr>
              <w:t xml:space="preserve"> </w:t>
            </w:r>
            <w:r w:rsidR="00F046B1" w:rsidRPr="006A7668">
              <w:rPr>
                <w:szCs w:val="24"/>
              </w:rPr>
              <w:t>on</w:t>
            </w:r>
            <w:r w:rsidR="00EC4108" w:rsidRPr="006A7668">
              <w:rPr>
                <w:szCs w:val="24"/>
              </w:rPr>
              <w:t xml:space="preserve"> the reported </w:t>
            </w:r>
            <w:r w:rsidR="00F046B1" w:rsidRPr="006A7668">
              <w:rPr>
                <w:szCs w:val="24"/>
              </w:rPr>
              <w:t>performance</w:t>
            </w:r>
            <w:r w:rsidR="00F22A08" w:rsidRPr="006A7668">
              <w:rPr>
                <w:szCs w:val="24"/>
              </w:rPr>
              <w:t xml:space="preserve"> </w:t>
            </w:r>
            <w:r w:rsidR="00263341" w:rsidRPr="006A7668">
              <w:rPr>
                <w:szCs w:val="24"/>
              </w:rPr>
              <w:t>fo</w:t>
            </w:r>
            <w:r w:rsidR="008D2556" w:rsidRPr="006A7668">
              <w:rPr>
                <w:szCs w:val="24"/>
              </w:rPr>
              <w:t xml:space="preserve">r quarter </w:t>
            </w:r>
            <w:r w:rsidR="00AD58A2" w:rsidRPr="006A7668">
              <w:rPr>
                <w:szCs w:val="24"/>
              </w:rPr>
              <w:t>4</w:t>
            </w:r>
            <w:r w:rsidR="002725FF" w:rsidRPr="006A7668">
              <w:rPr>
                <w:szCs w:val="24"/>
              </w:rPr>
              <w:t xml:space="preserve"> and the Ofsted</w:t>
            </w:r>
            <w:r w:rsidR="00070646" w:rsidRPr="006A7668">
              <w:rPr>
                <w:szCs w:val="24"/>
              </w:rPr>
              <w:t xml:space="preserve"> </w:t>
            </w:r>
            <w:r w:rsidR="00B14856" w:rsidRPr="006A7668">
              <w:rPr>
                <w:szCs w:val="24"/>
              </w:rPr>
              <w:t>S</w:t>
            </w:r>
            <w:r w:rsidR="00865CAA">
              <w:rPr>
                <w:szCs w:val="24"/>
              </w:rPr>
              <w:t xml:space="preserve">pecial </w:t>
            </w:r>
            <w:r w:rsidR="00B14856" w:rsidRPr="006A7668">
              <w:rPr>
                <w:szCs w:val="24"/>
              </w:rPr>
              <w:t>E</w:t>
            </w:r>
            <w:r w:rsidR="00865CAA">
              <w:rPr>
                <w:szCs w:val="24"/>
              </w:rPr>
              <w:t xml:space="preserve">ducational </w:t>
            </w:r>
            <w:r w:rsidR="00B14856" w:rsidRPr="006A7668">
              <w:rPr>
                <w:szCs w:val="24"/>
              </w:rPr>
              <w:t>N</w:t>
            </w:r>
            <w:r w:rsidR="00865CAA">
              <w:rPr>
                <w:szCs w:val="24"/>
              </w:rPr>
              <w:t xml:space="preserve">eeds and </w:t>
            </w:r>
            <w:r w:rsidR="00B14856" w:rsidRPr="006A7668">
              <w:rPr>
                <w:szCs w:val="24"/>
              </w:rPr>
              <w:t>D</w:t>
            </w:r>
            <w:r w:rsidR="00865CAA">
              <w:rPr>
                <w:szCs w:val="24"/>
              </w:rPr>
              <w:t>isabilities</w:t>
            </w:r>
            <w:bookmarkStart w:id="0" w:name="_GoBack"/>
            <w:bookmarkEnd w:id="0"/>
            <w:r w:rsidR="00B14856" w:rsidRPr="006A7668">
              <w:rPr>
                <w:szCs w:val="24"/>
              </w:rPr>
              <w:t xml:space="preserve"> </w:t>
            </w:r>
            <w:r w:rsidR="00070646" w:rsidRPr="006A7668">
              <w:rPr>
                <w:szCs w:val="24"/>
              </w:rPr>
              <w:t>inspection update</w:t>
            </w:r>
            <w:r w:rsidR="00F67754" w:rsidRPr="006A7668">
              <w:rPr>
                <w:szCs w:val="24"/>
              </w:rPr>
              <w:t xml:space="preserve"> </w:t>
            </w:r>
            <w:r w:rsidR="00D7513F" w:rsidRPr="006A7668">
              <w:rPr>
                <w:szCs w:val="24"/>
              </w:rPr>
              <w:t>information provided</w:t>
            </w:r>
            <w:r w:rsidR="00EC4108" w:rsidRPr="006A7668">
              <w:rPr>
                <w:szCs w:val="24"/>
              </w:rPr>
              <w:t>.</w:t>
            </w:r>
          </w:p>
          <w:p w14:paraId="38A1BB54" w14:textId="0DFF1F31" w:rsidR="006A7668" w:rsidRPr="006A7668" w:rsidRDefault="006A7668" w:rsidP="006A7668">
            <w:pPr>
              <w:rPr>
                <w:szCs w:val="24"/>
              </w:rPr>
            </w:pPr>
          </w:p>
        </w:tc>
      </w:tr>
    </w:tbl>
    <w:p w14:paraId="1D22964F" w14:textId="77777777" w:rsidR="00BB0135" w:rsidRPr="00D0536D" w:rsidRDefault="00BB0135" w:rsidP="00772BBA">
      <w:pPr>
        <w:rPr>
          <w:b/>
          <w:color w:val="FF0000"/>
        </w:rPr>
      </w:pPr>
    </w:p>
    <w:p w14:paraId="52ED271F" w14:textId="77777777" w:rsidR="00793F16" w:rsidRPr="00D0536D" w:rsidRDefault="00793F16" w:rsidP="009F6FF7"/>
    <w:p w14:paraId="6F02A29B" w14:textId="77777777" w:rsidR="00BC2C8E" w:rsidRPr="00D0536D" w:rsidRDefault="00BC2C8E" w:rsidP="008300AD">
      <w:pPr>
        <w:rPr>
          <w:rFonts w:cs="Arial"/>
          <w:b/>
          <w:szCs w:val="24"/>
        </w:rPr>
      </w:pPr>
      <w:r w:rsidRPr="00D0536D">
        <w:rPr>
          <w:rFonts w:cs="Arial"/>
          <w:b/>
          <w:szCs w:val="24"/>
        </w:rPr>
        <w:t>Performance Summary</w:t>
      </w:r>
    </w:p>
    <w:p w14:paraId="5325060D" w14:textId="77777777" w:rsidR="00BC2C8E" w:rsidRPr="00D0536D" w:rsidRDefault="00AD58A2" w:rsidP="00BC2C8E">
      <w:pPr>
        <w:rPr>
          <w:rFonts w:cs="Arial"/>
          <w:b/>
          <w:szCs w:val="24"/>
        </w:rPr>
      </w:pPr>
      <w:r>
        <w:rPr>
          <w:rFonts w:cs="Arial"/>
          <w:b/>
          <w:szCs w:val="24"/>
        </w:rPr>
        <w:t>Education and Children's Services</w:t>
      </w:r>
    </w:p>
    <w:p w14:paraId="4E65F05F" w14:textId="77777777" w:rsidR="00954A84" w:rsidRPr="00245AD9" w:rsidRDefault="00954A84" w:rsidP="004506A2">
      <w:pPr>
        <w:pStyle w:val="NoSpacing"/>
        <w:rPr>
          <w:rFonts w:eastAsiaTheme="minorHAnsi"/>
        </w:rPr>
      </w:pPr>
    </w:p>
    <w:p w14:paraId="37C34993" w14:textId="77777777" w:rsidR="003D57BA" w:rsidRPr="00245AD9" w:rsidRDefault="00D3788B" w:rsidP="00B305CD">
      <w:pPr>
        <w:pStyle w:val="NoSpacing"/>
        <w:rPr>
          <w:rFonts w:eastAsiaTheme="minorHAnsi"/>
          <w:i/>
          <w:lang w:eastAsia="en-US"/>
        </w:rPr>
      </w:pPr>
      <w:r w:rsidRPr="00245AD9">
        <w:rPr>
          <w:rFonts w:eastAsiaTheme="minorHAnsi"/>
          <w:i/>
          <w:lang w:eastAsia="en-US"/>
        </w:rPr>
        <w:t>K</w:t>
      </w:r>
      <w:r w:rsidR="00C123B0" w:rsidRPr="00245AD9">
        <w:rPr>
          <w:rFonts w:eastAsiaTheme="minorHAnsi"/>
          <w:i/>
          <w:lang w:eastAsia="en-US"/>
        </w:rPr>
        <w:t>ey</w:t>
      </w:r>
      <w:r w:rsidRPr="00245AD9">
        <w:rPr>
          <w:rFonts w:eastAsiaTheme="minorHAnsi"/>
          <w:i/>
          <w:lang w:eastAsia="en-US"/>
        </w:rPr>
        <w:t xml:space="preserve"> for performance</w:t>
      </w:r>
      <w:r w:rsidR="00C123B0" w:rsidRPr="00245AD9">
        <w:rPr>
          <w:rFonts w:eastAsiaTheme="minorHAnsi"/>
          <w:i/>
          <w:lang w:eastAsia="en-US"/>
        </w:rPr>
        <w:t xml:space="preserve">: </w:t>
      </w:r>
    </w:p>
    <w:tbl>
      <w:tblPr>
        <w:tblW w:w="5967" w:type="dxa"/>
        <w:tblInd w:w="-5" w:type="dxa"/>
        <w:tblLook w:val="04A0" w:firstRow="1" w:lastRow="0" w:firstColumn="1" w:lastColumn="0" w:noHBand="0" w:noVBand="1"/>
      </w:tblPr>
      <w:tblGrid>
        <w:gridCol w:w="1447"/>
        <w:gridCol w:w="2440"/>
        <w:gridCol w:w="2080"/>
      </w:tblGrid>
      <w:tr w:rsidR="00D0536D" w:rsidRPr="00245AD9" w14:paraId="3D53210B" w14:textId="77777777" w:rsidTr="00D3788B">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9EA56CE" w14:textId="77777777" w:rsidR="003D57BA" w:rsidRPr="00245AD9" w:rsidRDefault="003D57BA" w:rsidP="003D57BA">
            <w:pPr>
              <w:rPr>
                <w:rFonts w:cs="Arial"/>
                <w:i/>
                <w:iCs/>
                <w:sz w:val="18"/>
                <w:szCs w:val="18"/>
              </w:rPr>
            </w:pPr>
            <w:r w:rsidRPr="00245AD9">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14:paraId="0E1104D7" w14:textId="77777777" w:rsidR="003D57BA" w:rsidRPr="00245AD9" w:rsidRDefault="003D57BA" w:rsidP="003D57BA">
            <w:pPr>
              <w:rPr>
                <w:rFonts w:cs="Arial"/>
                <w:i/>
                <w:iCs/>
                <w:sz w:val="18"/>
                <w:szCs w:val="18"/>
              </w:rPr>
            </w:pPr>
            <w:r w:rsidRPr="00245AD9">
              <w:rPr>
                <w:rFonts w:cs="Arial"/>
                <w:i/>
                <w:iCs/>
                <w:sz w:val="18"/>
                <w:szCs w:val="18"/>
              </w:rPr>
              <w:t>Slightly below desired level</w:t>
            </w:r>
          </w:p>
        </w:tc>
        <w:tc>
          <w:tcPr>
            <w:tcW w:w="2080" w:type="dxa"/>
            <w:tcBorders>
              <w:top w:val="single" w:sz="4" w:space="0" w:color="auto"/>
              <w:left w:val="nil"/>
              <w:bottom w:val="single" w:sz="4" w:space="0" w:color="auto"/>
              <w:right w:val="single" w:sz="4" w:space="0" w:color="auto"/>
            </w:tcBorders>
            <w:shd w:val="clear" w:color="000000" w:fill="FFCCCC"/>
            <w:noWrap/>
            <w:vAlign w:val="center"/>
            <w:hideMark/>
          </w:tcPr>
          <w:p w14:paraId="3DF36414" w14:textId="77777777" w:rsidR="003D57BA" w:rsidRPr="00245AD9" w:rsidRDefault="003D57BA" w:rsidP="003D57BA">
            <w:pPr>
              <w:rPr>
                <w:rFonts w:cs="Arial"/>
                <w:i/>
                <w:iCs/>
                <w:sz w:val="18"/>
                <w:szCs w:val="18"/>
              </w:rPr>
            </w:pPr>
            <w:r w:rsidRPr="00245AD9">
              <w:rPr>
                <w:rFonts w:eastAsiaTheme="minorHAnsi" w:cs="Arial"/>
                <w:i/>
                <w:iCs/>
                <w:sz w:val="18"/>
                <w:szCs w:val="18"/>
                <w:lang w:eastAsia="en-US"/>
              </w:rPr>
              <w:t>Requires improvement</w:t>
            </w:r>
          </w:p>
        </w:tc>
      </w:tr>
    </w:tbl>
    <w:p w14:paraId="39276B4D" w14:textId="77777777" w:rsidR="00026433" w:rsidRDefault="00026433" w:rsidP="00026433">
      <w:pPr>
        <w:rPr>
          <w:rFonts w:eastAsiaTheme="minorHAnsi" w:cs="Arial"/>
          <w:b/>
          <w:i/>
          <w:szCs w:val="24"/>
          <w:lang w:eastAsia="en-US"/>
        </w:rPr>
      </w:pPr>
    </w:p>
    <w:tbl>
      <w:tblPr>
        <w:tblW w:w="8921" w:type="dxa"/>
        <w:tblLayout w:type="fixed"/>
        <w:tblLook w:val="04A0" w:firstRow="1" w:lastRow="0" w:firstColumn="1" w:lastColumn="0" w:noHBand="0" w:noVBand="1"/>
      </w:tblPr>
      <w:tblGrid>
        <w:gridCol w:w="4482"/>
        <w:gridCol w:w="863"/>
        <w:gridCol w:w="1344"/>
        <w:gridCol w:w="1276"/>
        <w:gridCol w:w="956"/>
      </w:tblGrid>
      <w:tr w:rsidR="00E268FB" w:rsidRPr="00B14856" w14:paraId="3CB0CA52" w14:textId="055E5A02" w:rsidTr="008762C0">
        <w:trPr>
          <w:trHeight w:val="513"/>
        </w:trPr>
        <w:tc>
          <w:tcPr>
            <w:tcW w:w="448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84C4DAD" w14:textId="77777777" w:rsidR="00E268FB" w:rsidRPr="00B14856" w:rsidRDefault="00E268FB" w:rsidP="00F966E6">
            <w:pPr>
              <w:rPr>
                <w:rFonts w:cs="Arial"/>
                <w:b/>
                <w:bCs/>
                <w:color w:val="000000"/>
                <w:sz w:val="18"/>
                <w:szCs w:val="18"/>
              </w:rPr>
            </w:pPr>
            <w:r w:rsidRPr="00B14856">
              <w:rPr>
                <w:rFonts w:cs="Arial"/>
                <w:b/>
                <w:bCs/>
                <w:color w:val="000000"/>
                <w:sz w:val="18"/>
                <w:szCs w:val="18"/>
              </w:rPr>
              <w:t>Performance Measure</w:t>
            </w:r>
          </w:p>
        </w:tc>
        <w:tc>
          <w:tcPr>
            <w:tcW w:w="863" w:type="dxa"/>
            <w:tcBorders>
              <w:top w:val="single" w:sz="8" w:space="0" w:color="auto"/>
              <w:left w:val="nil"/>
              <w:bottom w:val="single" w:sz="8" w:space="0" w:color="auto"/>
              <w:right w:val="single" w:sz="8" w:space="0" w:color="auto"/>
            </w:tcBorders>
            <w:shd w:val="clear" w:color="000000" w:fill="D9D9D9"/>
            <w:vAlign w:val="center"/>
            <w:hideMark/>
          </w:tcPr>
          <w:p w14:paraId="624CC47B" w14:textId="77777777" w:rsidR="00E268FB" w:rsidRPr="00B14856" w:rsidRDefault="00E268FB" w:rsidP="00B14856">
            <w:pPr>
              <w:jc w:val="center"/>
              <w:rPr>
                <w:rFonts w:cs="Arial"/>
                <w:b/>
                <w:bCs/>
                <w:color w:val="000000"/>
                <w:sz w:val="18"/>
                <w:szCs w:val="18"/>
              </w:rPr>
            </w:pPr>
            <w:r w:rsidRPr="00B14856">
              <w:rPr>
                <w:rFonts w:cs="Arial"/>
                <w:b/>
                <w:bCs/>
                <w:color w:val="000000"/>
                <w:sz w:val="18"/>
                <w:szCs w:val="18"/>
              </w:rPr>
              <w:t>Good is High or Low</w:t>
            </w:r>
          </w:p>
        </w:tc>
        <w:tc>
          <w:tcPr>
            <w:tcW w:w="1344" w:type="dxa"/>
            <w:tcBorders>
              <w:top w:val="single" w:sz="8" w:space="0" w:color="auto"/>
              <w:left w:val="nil"/>
              <w:bottom w:val="single" w:sz="8" w:space="0" w:color="auto"/>
              <w:right w:val="single" w:sz="8" w:space="0" w:color="auto"/>
            </w:tcBorders>
            <w:shd w:val="clear" w:color="000000" w:fill="D9D9D9"/>
            <w:noWrap/>
            <w:vAlign w:val="center"/>
            <w:hideMark/>
          </w:tcPr>
          <w:p w14:paraId="361A8C55" w14:textId="77777777" w:rsidR="00E268FB" w:rsidRPr="00B14856" w:rsidRDefault="00E268FB" w:rsidP="00B14856">
            <w:pPr>
              <w:jc w:val="center"/>
              <w:rPr>
                <w:rFonts w:cs="Arial"/>
                <w:b/>
                <w:bCs/>
                <w:color w:val="000000"/>
                <w:sz w:val="18"/>
                <w:szCs w:val="18"/>
              </w:rPr>
            </w:pPr>
            <w:r w:rsidRPr="00B14856">
              <w:rPr>
                <w:rFonts w:cs="Arial"/>
                <w:b/>
                <w:bCs/>
                <w:color w:val="000000"/>
                <w:sz w:val="18"/>
                <w:szCs w:val="18"/>
              </w:rPr>
              <w:t>2016/17</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14:paraId="38527500" w14:textId="60FD47AE" w:rsidR="00E268FB" w:rsidRPr="00B14856" w:rsidRDefault="00E268FB" w:rsidP="00B14856">
            <w:pPr>
              <w:jc w:val="center"/>
              <w:rPr>
                <w:rFonts w:cs="Arial"/>
                <w:b/>
                <w:bCs/>
                <w:color w:val="000000"/>
                <w:sz w:val="18"/>
                <w:szCs w:val="18"/>
              </w:rPr>
            </w:pPr>
            <w:r w:rsidRPr="00B14856">
              <w:rPr>
                <w:rFonts w:cs="Arial"/>
                <w:b/>
                <w:bCs/>
                <w:color w:val="000000"/>
                <w:sz w:val="18"/>
                <w:szCs w:val="18"/>
              </w:rPr>
              <w:t xml:space="preserve">2017/18 </w:t>
            </w:r>
          </w:p>
        </w:tc>
        <w:tc>
          <w:tcPr>
            <w:tcW w:w="956" w:type="dxa"/>
            <w:tcBorders>
              <w:top w:val="single" w:sz="8" w:space="0" w:color="auto"/>
              <w:left w:val="nil"/>
              <w:bottom w:val="single" w:sz="8" w:space="0" w:color="auto"/>
              <w:right w:val="single" w:sz="8" w:space="0" w:color="auto"/>
            </w:tcBorders>
            <w:shd w:val="clear" w:color="000000" w:fill="D9D9D9"/>
          </w:tcPr>
          <w:p w14:paraId="2353DD1A" w14:textId="77777777" w:rsidR="00E268FB" w:rsidRDefault="00E268FB" w:rsidP="00B14856">
            <w:pPr>
              <w:jc w:val="center"/>
              <w:rPr>
                <w:rFonts w:cs="Arial"/>
                <w:b/>
                <w:bCs/>
                <w:color w:val="000000"/>
                <w:sz w:val="18"/>
                <w:szCs w:val="18"/>
              </w:rPr>
            </w:pPr>
          </w:p>
          <w:p w14:paraId="6356019D" w14:textId="77777777" w:rsidR="00E268FB" w:rsidRDefault="00E268FB" w:rsidP="00B14856">
            <w:pPr>
              <w:jc w:val="center"/>
              <w:rPr>
                <w:rFonts w:cs="Arial"/>
                <w:b/>
                <w:bCs/>
                <w:color w:val="000000"/>
                <w:sz w:val="18"/>
                <w:szCs w:val="18"/>
              </w:rPr>
            </w:pPr>
            <w:r>
              <w:rPr>
                <w:rFonts w:cs="Arial"/>
                <w:b/>
                <w:bCs/>
                <w:color w:val="000000"/>
                <w:sz w:val="18"/>
                <w:szCs w:val="18"/>
              </w:rPr>
              <w:t>England</w:t>
            </w:r>
          </w:p>
          <w:p w14:paraId="0FAFBAF9" w14:textId="1D7B22EC" w:rsidR="00E268FB" w:rsidRPr="00B14856" w:rsidRDefault="00E268FB" w:rsidP="00B14856">
            <w:pPr>
              <w:jc w:val="center"/>
              <w:rPr>
                <w:rFonts w:cs="Arial"/>
                <w:b/>
                <w:bCs/>
                <w:color w:val="000000"/>
                <w:sz w:val="18"/>
                <w:szCs w:val="18"/>
              </w:rPr>
            </w:pPr>
            <w:r>
              <w:rPr>
                <w:rFonts w:cs="Arial"/>
                <w:b/>
                <w:bCs/>
                <w:color w:val="000000"/>
                <w:sz w:val="18"/>
                <w:szCs w:val="18"/>
              </w:rPr>
              <w:t>Average</w:t>
            </w:r>
          </w:p>
        </w:tc>
      </w:tr>
      <w:tr w:rsidR="00F966E6" w:rsidRPr="00B14856" w14:paraId="09FAE497" w14:textId="77777777" w:rsidTr="00F966E6">
        <w:trPr>
          <w:trHeight w:val="60"/>
        </w:trPr>
        <w:tc>
          <w:tcPr>
            <w:tcW w:w="8921" w:type="dxa"/>
            <w:gridSpan w:val="5"/>
            <w:tcBorders>
              <w:top w:val="single" w:sz="8" w:space="0" w:color="auto"/>
              <w:left w:val="single" w:sz="8" w:space="0" w:color="auto"/>
              <w:bottom w:val="single" w:sz="8" w:space="0" w:color="auto"/>
              <w:right w:val="single" w:sz="8" w:space="0" w:color="auto"/>
            </w:tcBorders>
            <w:shd w:val="clear" w:color="000000" w:fill="D9D9D9"/>
            <w:vAlign w:val="center"/>
          </w:tcPr>
          <w:p w14:paraId="3922E012" w14:textId="5E94DF26" w:rsidR="00F966E6" w:rsidRDefault="00F966E6" w:rsidP="00F966E6">
            <w:pPr>
              <w:rPr>
                <w:rFonts w:cs="Arial"/>
                <w:b/>
                <w:bCs/>
                <w:color w:val="000000"/>
                <w:sz w:val="18"/>
                <w:szCs w:val="18"/>
              </w:rPr>
            </w:pPr>
            <w:r>
              <w:rPr>
                <w:rFonts w:cs="Arial"/>
                <w:b/>
                <w:bCs/>
                <w:color w:val="000000"/>
                <w:sz w:val="18"/>
                <w:szCs w:val="18"/>
              </w:rPr>
              <w:t>Children's Social Care</w:t>
            </w:r>
          </w:p>
        </w:tc>
      </w:tr>
      <w:tr w:rsidR="000A3959" w:rsidRPr="00B14856" w14:paraId="3DA91B42" w14:textId="63A4976E" w:rsidTr="00CF2E88">
        <w:trPr>
          <w:trHeight w:val="115"/>
        </w:trPr>
        <w:tc>
          <w:tcPr>
            <w:tcW w:w="4482" w:type="dxa"/>
            <w:tcBorders>
              <w:top w:val="nil"/>
              <w:left w:val="single" w:sz="8" w:space="0" w:color="auto"/>
              <w:bottom w:val="single" w:sz="8" w:space="0" w:color="auto"/>
              <w:right w:val="single" w:sz="8" w:space="0" w:color="auto"/>
            </w:tcBorders>
            <w:shd w:val="clear" w:color="auto" w:fill="auto"/>
            <w:vAlign w:val="center"/>
            <w:hideMark/>
          </w:tcPr>
          <w:p w14:paraId="66EB8C0A" w14:textId="7588D5B3" w:rsidR="000A3959" w:rsidRPr="00B14856" w:rsidRDefault="000A3959" w:rsidP="000A3959">
            <w:pPr>
              <w:rPr>
                <w:rFonts w:cs="Arial"/>
                <w:color w:val="000000"/>
                <w:sz w:val="18"/>
                <w:szCs w:val="18"/>
              </w:rPr>
            </w:pPr>
            <w:r w:rsidRPr="00B14856">
              <w:rPr>
                <w:rFonts w:cs="Arial"/>
                <w:color w:val="000000"/>
                <w:sz w:val="18"/>
                <w:szCs w:val="18"/>
              </w:rPr>
              <w:t>Number of contacts</w:t>
            </w:r>
            <w:r>
              <w:rPr>
                <w:rFonts w:cs="Arial"/>
                <w:color w:val="000000"/>
                <w:sz w:val="18"/>
                <w:szCs w:val="18"/>
              </w:rPr>
              <w:t xml:space="preserve"> during the year</w:t>
            </w:r>
          </w:p>
        </w:tc>
        <w:tc>
          <w:tcPr>
            <w:tcW w:w="863" w:type="dxa"/>
            <w:tcBorders>
              <w:top w:val="nil"/>
              <w:left w:val="nil"/>
              <w:bottom w:val="single" w:sz="8" w:space="0" w:color="auto"/>
              <w:right w:val="single" w:sz="8" w:space="0" w:color="auto"/>
            </w:tcBorders>
            <w:shd w:val="clear" w:color="auto" w:fill="auto"/>
            <w:hideMark/>
          </w:tcPr>
          <w:p w14:paraId="75683A6A" w14:textId="77777777" w:rsidR="000A3959" w:rsidRPr="00B14856" w:rsidRDefault="000A3959" w:rsidP="000A3959">
            <w:pPr>
              <w:jc w:val="center"/>
              <w:rPr>
                <w:rFonts w:cs="Arial"/>
                <w:color w:val="000000"/>
                <w:sz w:val="18"/>
                <w:szCs w:val="18"/>
              </w:rPr>
            </w:pPr>
            <w:r w:rsidRPr="00B14856">
              <w:rPr>
                <w:rFonts w:cs="Arial"/>
                <w:color w:val="000000"/>
                <w:sz w:val="18"/>
                <w:szCs w:val="18"/>
              </w:rPr>
              <w:t>-</w:t>
            </w:r>
          </w:p>
        </w:tc>
        <w:tc>
          <w:tcPr>
            <w:tcW w:w="1344" w:type="dxa"/>
            <w:tcBorders>
              <w:top w:val="nil"/>
              <w:left w:val="nil"/>
              <w:bottom w:val="single" w:sz="8" w:space="0" w:color="auto"/>
              <w:right w:val="single" w:sz="8" w:space="0" w:color="auto"/>
            </w:tcBorders>
            <w:shd w:val="clear" w:color="000000" w:fill="FFFFFF"/>
            <w:noWrap/>
            <w:hideMark/>
          </w:tcPr>
          <w:p w14:paraId="3A95EC18" w14:textId="77777777" w:rsidR="000A3959" w:rsidRPr="00B14856" w:rsidRDefault="000A3959" w:rsidP="000A3959">
            <w:pPr>
              <w:jc w:val="center"/>
              <w:rPr>
                <w:rFonts w:cs="Arial"/>
                <w:color w:val="000000"/>
                <w:sz w:val="18"/>
                <w:szCs w:val="18"/>
              </w:rPr>
            </w:pPr>
            <w:r w:rsidRPr="00B14856">
              <w:rPr>
                <w:rFonts w:cs="Arial"/>
                <w:color w:val="000000"/>
                <w:sz w:val="18"/>
                <w:szCs w:val="18"/>
              </w:rPr>
              <w:t>31,873</w:t>
            </w:r>
          </w:p>
        </w:tc>
        <w:tc>
          <w:tcPr>
            <w:tcW w:w="1276" w:type="dxa"/>
            <w:tcBorders>
              <w:top w:val="nil"/>
              <w:left w:val="nil"/>
              <w:bottom w:val="single" w:sz="8" w:space="0" w:color="auto"/>
              <w:right w:val="single" w:sz="8" w:space="0" w:color="auto"/>
            </w:tcBorders>
            <w:shd w:val="clear" w:color="000000" w:fill="FFFFFF"/>
            <w:noWrap/>
            <w:hideMark/>
          </w:tcPr>
          <w:p w14:paraId="61032BD6" w14:textId="2B605EF8" w:rsidR="000A3959" w:rsidRPr="00B14856" w:rsidRDefault="000A3959" w:rsidP="000A3959">
            <w:pPr>
              <w:jc w:val="center"/>
              <w:rPr>
                <w:rFonts w:cs="Arial"/>
                <w:color w:val="000000"/>
                <w:sz w:val="18"/>
                <w:szCs w:val="18"/>
              </w:rPr>
            </w:pPr>
            <w:r w:rsidRPr="00B14856">
              <w:rPr>
                <w:rFonts w:cs="Arial"/>
                <w:color w:val="000000"/>
                <w:sz w:val="18"/>
                <w:szCs w:val="18"/>
              </w:rPr>
              <w:t>33,353</w:t>
            </w:r>
          </w:p>
        </w:tc>
        <w:tc>
          <w:tcPr>
            <w:tcW w:w="956" w:type="dxa"/>
            <w:tcBorders>
              <w:top w:val="nil"/>
              <w:left w:val="nil"/>
              <w:bottom w:val="single" w:sz="8" w:space="0" w:color="auto"/>
              <w:right w:val="single" w:sz="8" w:space="0" w:color="auto"/>
            </w:tcBorders>
            <w:shd w:val="clear" w:color="auto" w:fill="FFFFFF"/>
          </w:tcPr>
          <w:p w14:paraId="3C5240E9" w14:textId="22ED670D" w:rsidR="000A3959" w:rsidRPr="00B14856" w:rsidRDefault="000A3959" w:rsidP="000A3959">
            <w:pPr>
              <w:jc w:val="center"/>
              <w:rPr>
                <w:rFonts w:cs="Arial"/>
                <w:color w:val="000000"/>
                <w:sz w:val="18"/>
                <w:szCs w:val="18"/>
              </w:rPr>
            </w:pPr>
            <w:r>
              <w:rPr>
                <w:color w:val="000000"/>
                <w:sz w:val="18"/>
                <w:szCs w:val="18"/>
              </w:rPr>
              <w:t>-</w:t>
            </w:r>
          </w:p>
        </w:tc>
      </w:tr>
      <w:tr w:rsidR="000A3959" w:rsidRPr="00B14856" w14:paraId="08C741C0" w14:textId="3A90FE57" w:rsidTr="00E734A1">
        <w:trPr>
          <w:trHeight w:val="60"/>
        </w:trPr>
        <w:tc>
          <w:tcPr>
            <w:tcW w:w="4482" w:type="dxa"/>
            <w:tcBorders>
              <w:top w:val="nil"/>
              <w:left w:val="single" w:sz="8" w:space="0" w:color="auto"/>
              <w:bottom w:val="single" w:sz="8" w:space="0" w:color="auto"/>
              <w:right w:val="single" w:sz="8" w:space="0" w:color="auto"/>
            </w:tcBorders>
            <w:shd w:val="clear" w:color="auto" w:fill="auto"/>
            <w:vAlign w:val="center"/>
            <w:hideMark/>
          </w:tcPr>
          <w:p w14:paraId="1B877C42" w14:textId="6576A5D9" w:rsidR="000A3959" w:rsidRPr="00B14856" w:rsidRDefault="000A3959" w:rsidP="000A3959">
            <w:pPr>
              <w:rPr>
                <w:rFonts w:cs="Arial"/>
                <w:color w:val="000000"/>
                <w:sz w:val="18"/>
                <w:szCs w:val="18"/>
              </w:rPr>
            </w:pPr>
            <w:r w:rsidRPr="00B14856">
              <w:rPr>
                <w:rFonts w:cs="Arial"/>
                <w:color w:val="000000"/>
                <w:sz w:val="18"/>
                <w:szCs w:val="18"/>
              </w:rPr>
              <w:t>Percentage of co</w:t>
            </w:r>
            <w:r w:rsidR="00E734A1">
              <w:rPr>
                <w:rFonts w:cs="Arial"/>
                <w:color w:val="000000"/>
                <w:sz w:val="18"/>
                <w:szCs w:val="18"/>
              </w:rPr>
              <w:t>ntacts that le</w:t>
            </w:r>
            <w:r>
              <w:rPr>
                <w:rFonts w:cs="Arial"/>
                <w:color w:val="000000"/>
                <w:sz w:val="18"/>
                <w:szCs w:val="18"/>
              </w:rPr>
              <w:t>d to a referral during the year</w:t>
            </w:r>
          </w:p>
        </w:tc>
        <w:tc>
          <w:tcPr>
            <w:tcW w:w="863" w:type="dxa"/>
            <w:tcBorders>
              <w:top w:val="nil"/>
              <w:left w:val="nil"/>
              <w:bottom w:val="single" w:sz="8" w:space="0" w:color="auto"/>
              <w:right w:val="single" w:sz="8" w:space="0" w:color="auto"/>
            </w:tcBorders>
            <w:shd w:val="clear" w:color="auto" w:fill="auto"/>
            <w:hideMark/>
          </w:tcPr>
          <w:p w14:paraId="37B6BC2E" w14:textId="77777777" w:rsidR="000A3959" w:rsidRPr="00B14856" w:rsidRDefault="000A3959" w:rsidP="000A3959">
            <w:pPr>
              <w:jc w:val="center"/>
              <w:rPr>
                <w:rFonts w:cs="Arial"/>
                <w:color w:val="000000"/>
                <w:sz w:val="18"/>
                <w:szCs w:val="18"/>
              </w:rPr>
            </w:pPr>
            <w:r w:rsidRPr="00B14856">
              <w:rPr>
                <w:rFonts w:cs="Arial"/>
                <w:color w:val="000000"/>
                <w:sz w:val="18"/>
                <w:szCs w:val="18"/>
              </w:rPr>
              <w:t>H</w:t>
            </w:r>
          </w:p>
        </w:tc>
        <w:tc>
          <w:tcPr>
            <w:tcW w:w="1344" w:type="dxa"/>
            <w:tcBorders>
              <w:top w:val="nil"/>
              <w:left w:val="nil"/>
              <w:bottom w:val="single" w:sz="8" w:space="0" w:color="auto"/>
              <w:right w:val="single" w:sz="4" w:space="0" w:color="auto"/>
            </w:tcBorders>
            <w:shd w:val="clear" w:color="000000" w:fill="FFFFFF"/>
            <w:noWrap/>
            <w:hideMark/>
          </w:tcPr>
          <w:p w14:paraId="785E0022" w14:textId="32F41B72" w:rsidR="000A3959" w:rsidRPr="00B14856" w:rsidRDefault="000A3959" w:rsidP="000A3959">
            <w:pPr>
              <w:jc w:val="center"/>
              <w:rPr>
                <w:rFonts w:cs="Arial"/>
                <w:color w:val="000000"/>
                <w:sz w:val="18"/>
                <w:szCs w:val="18"/>
              </w:rPr>
            </w:pPr>
            <w:r>
              <w:rPr>
                <w:rFonts w:cs="Arial"/>
                <w:color w:val="000000"/>
                <w:sz w:val="18"/>
                <w:szCs w:val="18"/>
              </w:rPr>
              <w:t>32.0</w:t>
            </w:r>
            <w:r w:rsidRPr="00B14856">
              <w:rPr>
                <w:rFonts w:cs="Arial"/>
                <w:color w:val="000000"/>
                <w:sz w:val="18"/>
                <w:szCs w:val="18"/>
              </w:rPr>
              <w:t>%</w:t>
            </w:r>
          </w:p>
        </w:tc>
        <w:tc>
          <w:tcPr>
            <w:tcW w:w="1276" w:type="dxa"/>
            <w:tcBorders>
              <w:top w:val="nil"/>
              <w:left w:val="single" w:sz="4" w:space="0" w:color="auto"/>
              <w:bottom w:val="single" w:sz="8" w:space="0" w:color="auto"/>
              <w:right w:val="single" w:sz="8" w:space="0" w:color="auto"/>
            </w:tcBorders>
            <w:shd w:val="clear" w:color="000000" w:fill="F8CBAD"/>
            <w:noWrap/>
            <w:hideMark/>
          </w:tcPr>
          <w:p w14:paraId="2C0BEC0B" w14:textId="39E420CA" w:rsidR="000A3959" w:rsidRPr="00B14856" w:rsidRDefault="000A3959" w:rsidP="000A3959">
            <w:pPr>
              <w:jc w:val="center"/>
              <w:rPr>
                <w:rFonts w:cs="Arial"/>
                <w:color w:val="000000"/>
                <w:sz w:val="18"/>
                <w:szCs w:val="18"/>
              </w:rPr>
            </w:pPr>
            <w:r>
              <w:rPr>
                <w:rFonts w:cs="Arial"/>
                <w:color w:val="000000"/>
                <w:sz w:val="18"/>
                <w:szCs w:val="18"/>
              </w:rPr>
              <w:t>32.2</w:t>
            </w:r>
            <w:r w:rsidRPr="00B14856">
              <w:rPr>
                <w:rFonts w:cs="Arial"/>
                <w:color w:val="000000"/>
                <w:sz w:val="18"/>
                <w:szCs w:val="18"/>
              </w:rPr>
              <w:t>%</w:t>
            </w:r>
          </w:p>
        </w:tc>
        <w:tc>
          <w:tcPr>
            <w:tcW w:w="956" w:type="dxa"/>
            <w:tcBorders>
              <w:top w:val="nil"/>
              <w:left w:val="nil"/>
              <w:bottom w:val="single" w:sz="8" w:space="0" w:color="auto"/>
              <w:right w:val="single" w:sz="8" w:space="0" w:color="auto"/>
            </w:tcBorders>
            <w:shd w:val="clear" w:color="auto" w:fill="FFFFFF"/>
          </w:tcPr>
          <w:p w14:paraId="677A2552" w14:textId="08971313" w:rsidR="000A3959" w:rsidRDefault="000A3959" w:rsidP="000A3959">
            <w:pPr>
              <w:jc w:val="center"/>
              <w:rPr>
                <w:rFonts w:cs="Arial"/>
                <w:color w:val="000000"/>
                <w:sz w:val="18"/>
                <w:szCs w:val="18"/>
              </w:rPr>
            </w:pPr>
            <w:r>
              <w:rPr>
                <w:color w:val="000000"/>
                <w:sz w:val="18"/>
                <w:szCs w:val="18"/>
              </w:rPr>
              <w:t>-</w:t>
            </w:r>
          </w:p>
        </w:tc>
      </w:tr>
      <w:tr w:rsidR="000A3959" w:rsidRPr="00B14856" w14:paraId="4275462B" w14:textId="53F6B333" w:rsidTr="00E734A1">
        <w:trPr>
          <w:trHeight w:val="142"/>
        </w:trPr>
        <w:tc>
          <w:tcPr>
            <w:tcW w:w="4482" w:type="dxa"/>
            <w:tcBorders>
              <w:top w:val="nil"/>
              <w:left w:val="single" w:sz="8" w:space="0" w:color="auto"/>
              <w:bottom w:val="single" w:sz="8" w:space="0" w:color="auto"/>
              <w:right w:val="single" w:sz="8" w:space="0" w:color="auto"/>
            </w:tcBorders>
            <w:shd w:val="clear" w:color="auto" w:fill="auto"/>
            <w:vAlign w:val="center"/>
            <w:hideMark/>
          </w:tcPr>
          <w:p w14:paraId="5F3221EA" w14:textId="436228A9" w:rsidR="000A3959" w:rsidRPr="00B14856" w:rsidRDefault="000A3959" w:rsidP="000A3959">
            <w:pPr>
              <w:rPr>
                <w:rFonts w:cs="Arial"/>
                <w:color w:val="000000"/>
                <w:sz w:val="18"/>
                <w:szCs w:val="18"/>
              </w:rPr>
            </w:pPr>
            <w:r>
              <w:rPr>
                <w:rFonts w:cs="Arial"/>
                <w:color w:val="000000"/>
                <w:sz w:val="18"/>
                <w:szCs w:val="18"/>
              </w:rPr>
              <w:t>Number and rate of referrals during the year</w:t>
            </w:r>
          </w:p>
        </w:tc>
        <w:tc>
          <w:tcPr>
            <w:tcW w:w="863" w:type="dxa"/>
            <w:tcBorders>
              <w:top w:val="nil"/>
              <w:left w:val="nil"/>
              <w:bottom w:val="single" w:sz="8" w:space="0" w:color="auto"/>
              <w:right w:val="single" w:sz="8" w:space="0" w:color="auto"/>
            </w:tcBorders>
            <w:shd w:val="clear" w:color="auto" w:fill="auto"/>
            <w:hideMark/>
          </w:tcPr>
          <w:p w14:paraId="214BEC92"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nil"/>
              <w:bottom w:val="single" w:sz="8" w:space="0" w:color="auto"/>
              <w:right w:val="single" w:sz="8" w:space="0" w:color="auto"/>
            </w:tcBorders>
            <w:shd w:val="clear" w:color="000000" w:fill="FFFFFF"/>
            <w:noWrap/>
            <w:hideMark/>
          </w:tcPr>
          <w:p w14:paraId="78BF595A" w14:textId="77777777" w:rsidR="000A3959" w:rsidRPr="00B14856" w:rsidRDefault="000A3959" w:rsidP="000A3959">
            <w:pPr>
              <w:jc w:val="center"/>
              <w:rPr>
                <w:rFonts w:cs="Arial"/>
                <w:color w:val="000000"/>
                <w:sz w:val="18"/>
                <w:szCs w:val="18"/>
              </w:rPr>
            </w:pPr>
            <w:r w:rsidRPr="00B14856">
              <w:rPr>
                <w:rFonts w:cs="Arial"/>
                <w:color w:val="000000"/>
                <w:sz w:val="18"/>
                <w:szCs w:val="18"/>
              </w:rPr>
              <w:t>9,907/403.9</w:t>
            </w:r>
          </w:p>
        </w:tc>
        <w:tc>
          <w:tcPr>
            <w:tcW w:w="1276" w:type="dxa"/>
            <w:tcBorders>
              <w:top w:val="nil"/>
              <w:left w:val="nil"/>
              <w:bottom w:val="single" w:sz="8" w:space="0" w:color="auto"/>
              <w:right w:val="single" w:sz="8" w:space="0" w:color="auto"/>
            </w:tcBorders>
            <w:shd w:val="clear" w:color="000000" w:fill="D8E4BC"/>
            <w:noWrap/>
            <w:hideMark/>
          </w:tcPr>
          <w:p w14:paraId="3AC9E61B" w14:textId="1DA6FB72" w:rsidR="000A3959" w:rsidRPr="00B14856" w:rsidRDefault="000A3959" w:rsidP="000A3959">
            <w:pPr>
              <w:jc w:val="center"/>
              <w:rPr>
                <w:rFonts w:cs="Arial"/>
                <w:color w:val="000000"/>
                <w:sz w:val="18"/>
                <w:szCs w:val="18"/>
              </w:rPr>
            </w:pPr>
            <w:r w:rsidRPr="00B14856">
              <w:rPr>
                <w:rFonts w:cs="Arial"/>
                <w:color w:val="000000"/>
                <w:sz w:val="18"/>
                <w:szCs w:val="18"/>
              </w:rPr>
              <w:t>10,337/419.4</w:t>
            </w:r>
          </w:p>
        </w:tc>
        <w:tc>
          <w:tcPr>
            <w:tcW w:w="956" w:type="dxa"/>
            <w:tcBorders>
              <w:top w:val="nil"/>
              <w:left w:val="nil"/>
              <w:bottom w:val="single" w:sz="8" w:space="0" w:color="auto"/>
              <w:right w:val="single" w:sz="8" w:space="0" w:color="auto"/>
            </w:tcBorders>
            <w:shd w:val="clear" w:color="auto" w:fill="FFFFFF"/>
          </w:tcPr>
          <w:p w14:paraId="3A458165" w14:textId="26C37FF8" w:rsidR="000A3959" w:rsidRPr="00B14856" w:rsidRDefault="000A3959" w:rsidP="000A3959">
            <w:pPr>
              <w:jc w:val="center"/>
              <w:rPr>
                <w:rFonts w:cs="Arial"/>
                <w:color w:val="000000"/>
                <w:sz w:val="18"/>
                <w:szCs w:val="18"/>
              </w:rPr>
            </w:pPr>
            <w:r>
              <w:rPr>
                <w:color w:val="000000"/>
                <w:sz w:val="18"/>
                <w:szCs w:val="18"/>
              </w:rPr>
              <w:t>548.2</w:t>
            </w:r>
          </w:p>
        </w:tc>
      </w:tr>
      <w:tr w:rsidR="000A3959" w:rsidRPr="00B14856" w14:paraId="752F4E20" w14:textId="1781DFAD" w:rsidTr="00E734A1">
        <w:trPr>
          <w:trHeight w:val="133"/>
        </w:trPr>
        <w:tc>
          <w:tcPr>
            <w:tcW w:w="4482" w:type="dxa"/>
            <w:tcBorders>
              <w:top w:val="nil"/>
              <w:left w:val="single" w:sz="8" w:space="0" w:color="auto"/>
              <w:bottom w:val="single" w:sz="8" w:space="0" w:color="auto"/>
              <w:right w:val="single" w:sz="8" w:space="0" w:color="auto"/>
            </w:tcBorders>
            <w:shd w:val="clear" w:color="auto" w:fill="auto"/>
            <w:vAlign w:val="center"/>
            <w:hideMark/>
          </w:tcPr>
          <w:p w14:paraId="2811B75D" w14:textId="2A6E900C" w:rsidR="000A3959" w:rsidRPr="00B14856" w:rsidRDefault="000A3959" w:rsidP="000A3959">
            <w:pPr>
              <w:rPr>
                <w:rFonts w:cs="Arial"/>
                <w:color w:val="000000"/>
                <w:sz w:val="18"/>
                <w:szCs w:val="18"/>
              </w:rPr>
            </w:pPr>
            <w:r>
              <w:rPr>
                <w:rFonts w:cs="Arial"/>
                <w:color w:val="000000"/>
                <w:sz w:val="18"/>
                <w:szCs w:val="18"/>
              </w:rPr>
              <w:t>Number and p</w:t>
            </w:r>
            <w:r w:rsidRPr="00B14856">
              <w:rPr>
                <w:rFonts w:cs="Arial"/>
                <w:color w:val="000000"/>
                <w:sz w:val="18"/>
                <w:szCs w:val="18"/>
              </w:rPr>
              <w:t>ercentage of referrals that are re-referrals</w:t>
            </w:r>
            <w:r>
              <w:rPr>
                <w:rFonts w:cs="Arial"/>
                <w:color w:val="000000"/>
                <w:sz w:val="18"/>
                <w:szCs w:val="18"/>
              </w:rPr>
              <w:t xml:space="preserve"> during the year</w:t>
            </w:r>
          </w:p>
        </w:tc>
        <w:tc>
          <w:tcPr>
            <w:tcW w:w="863" w:type="dxa"/>
            <w:tcBorders>
              <w:top w:val="nil"/>
              <w:left w:val="nil"/>
              <w:bottom w:val="single" w:sz="8" w:space="0" w:color="auto"/>
              <w:right w:val="single" w:sz="8" w:space="0" w:color="auto"/>
            </w:tcBorders>
            <w:shd w:val="clear" w:color="auto" w:fill="auto"/>
            <w:hideMark/>
          </w:tcPr>
          <w:p w14:paraId="4AB43929"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nil"/>
              <w:bottom w:val="single" w:sz="8" w:space="0" w:color="auto"/>
              <w:right w:val="single" w:sz="8" w:space="0" w:color="auto"/>
            </w:tcBorders>
            <w:shd w:val="clear" w:color="000000" w:fill="FFFFFF"/>
            <w:noWrap/>
            <w:hideMark/>
          </w:tcPr>
          <w:p w14:paraId="7F01B395" w14:textId="77777777" w:rsidR="000A3959" w:rsidRPr="00B14856" w:rsidRDefault="000A3959" w:rsidP="000A3959">
            <w:pPr>
              <w:jc w:val="center"/>
              <w:rPr>
                <w:rFonts w:cs="Arial"/>
                <w:color w:val="000000"/>
                <w:sz w:val="18"/>
                <w:szCs w:val="18"/>
              </w:rPr>
            </w:pPr>
            <w:r w:rsidRPr="00B14856">
              <w:rPr>
                <w:rFonts w:cs="Arial"/>
                <w:color w:val="000000"/>
                <w:sz w:val="18"/>
                <w:szCs w:val="18"/>
              </w:rPr>
              <w:t>1,890/19.0%</w:t>
            </w:r>
          </w:p>
        </w:tc>
        <w:tc>
          <w:tcPr>
            <w:tcW w:w="1276" w:type="dxa"/>
            <w:tcBorders>
              <w:top w:val="nil"/>
              <w:left w:val="nil"/>
              <w:bottom w:val="single" w:sz="8" w:space="0" w:color="auto"/>
              <w:right w:val="single" w:sz="8" w:space="0" w:color="auto"/>
            </w:tcBorders>
            <w:shd w:val="clear" w:color="000000" w:fill="D8E4BC"/>
            <w:noWrap/>
            <w:hideMark/>
          </w:tcPr>
          <w:p w14:paraId="12FBFDF2" w14:textId="36D56396" w:rsidR="000A3959" w:rsidRPr="00B14856" w:rsidRDefault="000A3959" w:rsidP="000A3959">
            <w:pPr>
              <w:jc w:val="center"/>
              <w:rPr>
                <w:rFonts w:cs="Arial"/>
                <w:color w:val="000000"/>
                <w:sz w:val="18"/>
                <w:szCs w:val="18"/>
              </w:rPr>
            </w:pPr>
            <w:r w:rsidRPr="00B14856">
              <w:rPr>
                <w:rFonts w:cs="Arial"/>
                <w:color w:val="000000"/>
                <w:sz w:val="18"/>
                <w:szCs w:val="18"/>
              </w:rPr>
              <w:t>1,937/19.0%</w:t>
            </w:r>
          </w:p>
        </w:tc>
        <w:tc>
          <w:tcPr>
            <w:tcW w:w="956" w:type="dxa"/>
            <w:tcBorders>
              <w:top w:val="nil"/>
              <w:left w:val="nil"/>
              <w:bottom w:val="single" w:sz="8" w:space="0" w:color="auto"/>
              <w:right w:val="single" w:sz="8" w:space="0" w:color="auto"/>
            </w:tcBorders>
            <w:shd w:val="clear" w:color="auto" w:fill="FFFFFF"/>
          </w:tcPr>
          <w:p w14:paraId="6C6EBD79" w14:textId="35110C2F" w:rsidR="000A3959" w:rsidRPr="00B14856" w:rsidRDefault="000A3959" w:rsidP="000A3959">
            <w:pPr>
              <w:jc w:val="center"/>
              <w:rPr>
                <w:rFonts w:cs="Arial"/>
                <w:color w:val="000000"/>
                <w:sz w:val="18"/>
                <w:szCs w:val="18"/>
              </w:rPr>
            </w:pPr>
            <w:r>
              <w:rPr>
                <w:color w:val="000000"/>
                <w:sz w:val="18"/>
                <w:szCs w:val="18"/>
              </w:rPr>
              <w:t>21.9%</w:t>
            </w:r>
          </w:p>
        </w:tc>
      </w:tr>
      <w:tr w:rsidR="000A3959" w:rsidRPr="00B14856" w14:paraId="06DC7908" w14:textId="6F67ABB0" w:rsidTr="00E734A1">
        <w:trPr>
          <w:trHeight w:val="60"/>
        </w:trPr>
        <w:tc>
          <w:tcPr>
            <w:tcW w:w="4482" w:type="dxa"/>
            <w:tcBorders>
              <w:top w:val="nil"/>
              <w:left w:val="single" w:sz="8" w:space="0" w:color="auto"/>
              <w:bottom w:val="single" w:sz="8" w:space="0" w:color="auto"/>
              <w:right w:val="single" w:sz="8" w:space="0" w:color="auto"/>
            </w:tcBorders>
            <w:shd w:val="clear" w:color="auto" w:fill="auto"/>
            <w:vAlign w:val="center"/>
            <w:hideMark/>
          </w:tcPr>
          <w:p w14:paraId="32D52580" w14:textId="024F543D" w:rsidR="000A3959" w:rsidRPr="00B14856" w:rsidRDefault="000A3959" w:rsidP="000A3959">
            <w:pPr>
              <w:rPr>
                <w:rFonts w:cs="Arial"/>
                <w:color w:val="000000"/>
                <w:sz w:val="18"/>
                <w:szCs w:val="18"/>
              </w:rPr>
            </w:pPr>
            <w:r>
              <w:rPr>
                <w:rFonts w:cs="Arial"/>
                <w:color w:val="000000"/>
                <w:sz w:val="18"/>
                <w:szCs w:val="18"/>
              </w:rPr>
              <w:t xml:space="preserve">Percentage of </w:t>
            </w:r>
            <w:r w:rsidRPr="00B14856">
              <w:rPr>
                <w:rFonts w:cs="Arial"/>
                <w:color w:val="000000"/>
                <w:sz w:val="18"/>
                <w:szCs w:val="18"/>
              </w:rPr>
              <w:t>assessments</w:t>
            </w:r>
            <w:r>
              <w:rPr>
                <w:rFonts w:cs="Arial"/>
                <w:color w:val="000000"/>
                <w:sz w:val="18"/>
                <w:szCs w:val="18"/>
              </w:rPr>
              <w:t xml:space="preserve"> completed during the year </w:t>
            </w:r>
            <w:r w:rsidRPr="00B14856">
              <w:rPr>
                <w:rFonts w:cs="Arial"/>
                <w:color w:val="000000"/>
                <w:sz w:val="18"/>
                <w:szCs w:val="18"/>
              </w:rPr>
              <w:t>which took over 45 days</w:t>
            </w:r>
            <w:r>
              <w:rPr>
                <w:rFonts w:cs="Arial"/>
                <w:color w:val="000000"/>
                <w:sz w:val="18"/>
                <w:szCs w:val="18"/>
              </w:rPr>
              <w:t xml:space="preserve"> </w:t>
            </w:r>
          </w:p>
        </w:tc>
        <w:tc>
          <w:tcPr>
            <w:tcW w:w="863" w:type="dxa"/>
            <w:tcBorders>
              <w:top w:val="nil"/>
              <w:left w:val="nil"/>
              <w:bottom w:val="single" w:sz="8" w:space="0" w:color="auto"/>
              <w:right w:val="single" w:sz="8" w:space="0" w:color="auto"/>
            </w:tcBorders>
            <w:shd w:val="clear" w:color="auto" w:fill="auto"/>
            <w:hideMark/>
          </w:tcPr>
          <w:p w14:paraId="360C6D5A"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nil"/>
              <w:bottom w:val="single" w:sz="8" w:space="0" w:color="auto"/>
              <w:right w:val="single" w:sz="8" w:space="0" w:color="auto"/>
            </w:tcBorders>
            <w:shd w:val="clear" w:color="000000" w:fill="FFFFFF"/>
            <w:noWrap/>
            <w:hideMark/>
          </w:tcPr>
          <w:p w14:paraId="15CBE4F9" w14:textId="30208232" w:rsidR="000A3959" w:rsidRPr="00B14856" w:rsidRDefault="000A3959" w:rsidP="000A3959">
            <w:pPr>
              <w:jc w:val="center"/>
              <w:rPr>
                <w:rFonts w:cs="Arial"/>
                <w:color w:val="000000"/>
                <w:sz w:val="18"/>
                <w:szCs w:val="18"/>
              </w:rPr>
            </w:pPr>
            <w:r>
              <w:rPr>
                <w:rFonts w:cs="Arial"/>
                <w:color w:val="000000"/>
                <w:sz w:val="18"/>
                <w:szCs w:val="18"/>
              </w:rPr>
              <w:t>26.9</w:t>
            </w:r>
            <w:r w:rsidRPr="00B14856">
              <w:rPr>
                <w:rFonts w:cs="Arial"/>
                <w:color w:val="000000"/>
                <w:sz w:val="18"/>
                <w:szCs w:val="18"/>
              </w:rPr>
              <w:t>%</w:t>
            </w:r>
          </w:p>
        </w:tc>
        <w:tc>
          <w:tcPr>
            <w:tcW w:w="1276" w:type="dxa"/>
            <w:tcBorders>
              <w:top w:val="nil"/>
              <w:left w:val="nil"/>
              <w:bottom w:val="single" w:sz="8" w:space="0" w:color="auto"/>
              <w:right w:val="single" w:sz="8" w:space="0" w:color="auto"/>
            </w:tcBorders>
            <w:shd w:val="clear" w:color="000000" w:fill="E6B8B7"/>
            <w:noWrap/>
            <w:hideMark/>
          </w:tcPr>
          <w:p w14:paraId="1F2EC4B0" w14:textId="26D87248" w:rsidR="000A3959" w:rsidRPr="00B14856" w:rsidRDefault="000A3959" w:rsidP="000A3959">
            <w:pPr>
              <w:jc w:val="center"/>
              <w:rPr>
                <w:rFonts w:cs="Arial"/>
                <w:color w:val="000000"/>
                <w:sz w:val="18"/>
                <w:szCs w:val="18"/>
              </w:rPr>
            </w:pPr>
            <w:r>
              <w:rPr>
                <w:rFonts w:cs="Arial"/>
                <w:color w:val="000000"/>
                <w:sz w:val="18"/>
                <w:szCs w:val="18"/>
              </w:rPr>
              <w:t>25.</w:t>
            </w:r>
            <w:r w:rsidRPr="00B14856">
              <w:rPr>
                <w:rFonts w:cs="Arial"/>
                <w:color w:val="000000"/>
                <w:sz w:val="18"/>
                <w:szCs w:val="18"/>
              </w:rPr>
              <w:t>0%</w:t>
            </w:r>
          </w:p>
        </w:tc>
        <w:tc>
          <w:tcPr>
            <w:tcW w:w="956" w:type="dxa"/>
            <w:tcBorders>
              <w:top w:val="nil"/>
              <w:left w:val="nil"/>
              <w:bottom w:val="single" w:sz="8" w:space="0" w:color="auto"/>
              <w:right w:val="single" w:sz="8" w:space="0" w:color="auto"/>
            </w:tcBorders>
            <w:shd w:val="clear" w:color="auto" w:fill="FFFFFF"/>
          </w:tcPr>
          <w:p w14:paraId="77326BF5" w14:textId="6A0D3EAA" w:rsidR="000A3959" w:rsidRDefault="000A3959" w:rsidP="000A3959">
            <w:pPr>
              <w:jc w:val="center"/>
              <w:rPr>
                <w:rFonts w:cs="Arial"/>
                <w:color w:val="000000"/>
                <w:sz w:val="18"/>
                <w:szCs w:val="18"/>
              </w:rPr>
            </w:pPr>
            <w:r>
              <w:rPr>
                <w:color w:val="000000"/>
                <w:sz w:val="18"/>
                <w:szCs w:val="18"/>
              </w:rPr>
              <w:t>17.1%</w:t>
            </w:r>
          </w:p>
        </w:tc>
      </w:tr>
      <w:tr w:rsidR="000A3959" w:rsidRPr="00B14856" w14:paraId="3EEEAF30" w14:textId="64647AEE" w:rsidTr="00E734A1">
        <w:trPr>
          <w:trHeight w:val="393"/>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531BE6D8" w14:textId="385F6AD9" w:rsidR="000A3959" w:rsidRPr="00B14856" w:rsidRDefault="000A3959" w:rsidP="000A3959">
            <w:pPr>
              <w:rPr>
                <w:rFonts w:cs="Arial"/>
                <w:color w:val="000000"/>
                <w:sz w:val="18"/>
                <w:szCs w:val="18"/>
              </w:rPr>
            </w:pPr>
            <w:r w:rsidRPr="00B14856">
              <w:rPr>
                <w:rFonts w:cs="Arial"/>
                <w:color w:val="000000"/>
                <w:sz w:val="18"/>
                <w:szCs w:val="18"/>
              </w:rPr>
              <w:t xml:space="preserve">Number and rate of children with a Children in Need Plan </w:t>
            </w:r>
            <w:r>
              <w:rPr>
                <w:rFonts w:cs="Arial"/>
                <w:color w:val="000000"/>
                <w:sz w:val="18"/>
                <w:szCs w:val="18"/>
              </w:rPr>
              <w:t>(snapshot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7073DC7C"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single" w:sz="8" w:space="0" w:color="auto"/>
              <w:bottom w:val="single" w:sz="8" w:space="0" w:color="000000"/>
              <w:right w:val="single" w:sz="8" w:space="0" w:color="auto"/>
            </w:tcBorders>
            <w:shd w:val="clear" w:color="000000" w:fill="FFFFFF"/>
            <w:noWrap/>
            <w:hideMark/>
          </w:tcPr>
          <w:p w14:paraId="27DE7018" w14:textId="1498683A" w:rsidR="000A3959" w:rsidRDefault="000A3959" w:rsidP="000A3959">
            <w:pPr>
              <w:jc w:val="center"/>
              <w:rPr>
                <w:rFonts w:cs="Arial"/>
                <w:color w:val="000000"/>
                <w:sz w:val="18"/>
                <w:szCs w:val="18"/>
              </w:rPr>
            </w:pPr>
            <w:r w:rsidRPr="00B14856">
              <w:rPr>
                <w:rFonts w:cs="Arial"/>
                <w:color w:val="000000"/>
                <w:sz w:val="18"/>
                <w:szCs w:val="18"/>
              </w:rPr>
              <w:t>1,825/74.3</w:t>
            </w:r>
          </w:p>
          <w:p w14:paraId="1B7F03B1" w14:textId="7ECDE5A9" w:rsidR="000A3959" w:rsidRPr="00B14856" w:rsidRDefault="000A3959" w:rsidP="000A3959">
            <w:pPr>
              <w:jc w:val="center"/>
              <w:rPr>
                <w:rFonts w:cs="Arial"/>
                <w:color w:val="000000"/>
                <w:sz w:val="18"/>
                <w:szCs w:val="18"/>
              </w:rPr>
            </w:pPr>
          </w:p>
        </w:tc>
        <w:tc>
          <w:tcPr>
            <w:tcW w:w="1276" w:type="dxa"/>
            <w:tcBorders>
              <w:top w:val="nil"/>
              <w:left w:val="nil"/>
              <w:bottom w:val="single" w:sz="4" w:space="0" w:color="auto"/>
              <w:right w:val="single" w:sz="8" w:space="0" w:color="auto"/>
            </w:tcBorders>
            <w:shd w:val="clear" w:color="000000" w:fill="F8CBAD"/>
            <w:noWrap/>
            <w:hideMark/>
          </w:tcPr>
          <w:p w14:paraId="108F524B" w14:textId="77777777" w:rsidR="000A3959" w:rsidRDefault="000A3959" w:rsidP="000A3959">
            <w:pPr>
              <w:jc w:val="center"/>
              <w:rPr>
                <w:rFonts w:cs="Arial"/>
                <w:color w:val="000000"/>
                <w:sz w:val="18"/>
                <w:szCs w:val="18"/>
              </w:rPr>
            </w:pPr>
            <w:r w:rsidRPr="00B14856">
              <w:rPr>
                <w:rFonts w:cs="Arial"/>
                <w:color w:val="000000"/>
                <w:sz w:val="18"/>
                <w:szCs w:val="18"/>
              </w:rPr>
              <w:t>1,660/67.2</w:t>
            </w:r>
          </w:p>
          <w:p w14:paraId="6554B3D4" w14:textId="11E87844" w:rsidR="000A3959" w:rsidRPr="00B14856" w:rsidRDefault="000A3959" w:rsidP="000A3959">
            <w:pPr>
              <w:jc w:val="center"/>
              <w:rPr>
                <w:rFonts w:cs="Arial"/>
                <w:color w:val="000000"/>
                <w:sz w:val="18"/>
                <w:szCs w:val="18"/>
              </w:rPr>
            </w:pPr>
          </w:p>
        </w:tc>
        <w:tc>
          <w:tcPr>
            <w:tcW w:w="956" w:type="dxa"/>
            <w:tcBorders>
              <w:top w:val="nil"/>
              <w:left w:val="nil"/>
              <w:bottom w:val="single" w:sz="8" w:space="0" w:color="auto"/>
              <w:right w:val="single" w:sz="8" w:space="0" w:color="auto"/>
            </w:tcBorders>
            <w:shd w:val="clear" w:color="auto" w:fill="FFFFFF"/>
          </w:tcPr>
          <w:p w14:paraId="7DCCF012" w14:textId="1929E690" w:rsidR="000A3959" w:rsidRPr="00B14856" w:rsidRDefault="000A3959" w:rsidP="000A3959">
            <w:pPr>
              <w:jc w:val="center"/>
              <w:rPr>
                <w:rFonts w:cs="Arial"/>
                <w:color w:val="000000"/>
                <w:sz w:val="18"/>
                <w:szCs w:val="18"/>
              </w:rPr>
            </w:pPr>
            <w:r>
              <w:rPr>
                <w:color w:val="000000"/>
                <w:sz w:val="18"/>
                <w:szCs w:val="18"/>
              </w:rPr>
              <w:t>-</w:t>
            </w:r>
          </w:p>
        </w:tc>
      </w:tr>
      <w:tr w:rsidR="000A3959" w:rsidRPr="00B14856" w14:paraId="7A9CB6BD" w14:textId="3A22ED28" w:rsidTr="00E734A1">
        <w:trPr>
          <w:trHeight w:val="60"/>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65C396A2" w14:textId="68CE450D" w:rsidR="000A3959" w:rsidRPr="00B14856" w:rsidRDefault="000A3959" w:rsidP="000A3959">
            <w:pPr>
              <w:rPr>
                <w:rFonts w:cs="Arial"/>
                <w:color w:val="000000"/>
                <w:sz w:val="18"/>
                <w:szCs w:val="18"/>
              </w:rPr>
            </w:pPr>
            <w:r w:rsidRPr="00B14856">
              <w:rPr>
                <w:rFonts w:cs="Arial"/>
                <w:color w:val="000000"/>
                <w:sz w:val="18"/>
                <w:szCs w:val="18"/>
              </w:rPr>
              <w:t>Number and rate of childre</w:t>
            </w:r>
            <w:r>
              <w:rPr>
                <w:rFonts w:cs="Arial"/>
                <w:color w:val="000000"/>
                <w:sz w:val="18"/>
                <w:szCs w:val="18"/>
              </w:rPr>
              <w:t>n with a child protection plan (snapshot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1B76A8A9"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single" w:sz="8" w:space="0" w:color="auto"/>
              <w:bottom w:val="single" w:sz="8" w:space="0" w:color="000000"/>
              <w:right w:val="single" w:sz="8" w:space="0" w:color="auto"/>
            </w:tcBorders>
            <w:shd w:val="clear" w:color="000000" w:fill="FFFFFF"/>
            <w:noWrap/>
            <w:hideMark/>
          </w:tcPr>
          <w:p w14:paraId="32310CC6" w14:textId="5E4A0635" w:rsidR="000A3959" w:rsidRDefault="000A3959" w:rsidP="000A3959">
            <w:pPr>
              <w:jc w:val="center"/>
              <w:rPr>
                <w:rFonts w:cs="Arial"/>
                <w:color w:val="000000"/>
                <w:sz w:val="18"/>
                <w:szCs w:val="18"/>
              </w:rPr>
            </w:pPr>
            <w:r w:rsidRPr="00B14856">
              <w:rPr>
                <w:rFonts w:cs="Arial"/>
                <w:color w:val="000000"/>
                <w:sz w:val="18"/>
                <w:szCs w:val="18"/>
              </w:rPr>
              <w:t>1,412/57.5</w:t>
            </w:r>
          </w:p>
          <w:p w14:paraId="1EC3D64F" w14:textId="30CC422F" w:rsidR="000A3959" w:rsidRPr="00B14856" w:rsidRDefault="000A3959" w:rsidP="000A3959">
            <w:pPr>
              <w:jc w:val="center"/>
              <w:rPr>
                <w:rFonts w:cs="Arial"/>
                <w:color w:val="000000"/>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000000" w:fill="D8E4BC"/>
            <w:noWrap/>
            <w:hideMark/>
          </w:tcPr>
          <w:p w14:paraId="2B152C26" w14:textId="3CA4137D" w:rsidR="000A3959" w:rsidRPr="00B14856" w:rsidRDefault="000A3959" w:rsidP="000A3959">
            <w:pPr>
              <w:jc w:val="center"/>
              <w:rPr>
                <w:rFonts w:cs="Arial"/>
                <w:color w:val="000000"/>
                <w:sz w:val="18"/>
                <w:szCs w:val="18"/>
              </w:rPr>
            </w:pPr>
            <w:r w:rsidRPr="00B14856">
              <w:rPr>
                <w:rFonts w:cs="Arial"/>
                <w:color w:val="000000"/>
                <w:sz w:val="18"/>
                <w:szCs w:val="18"/>
              </w:rPr>
              <w:t>1,243/50.4</w:t>
            </w:r>
          </w:p>
        </w:tc>
        <w:tc>
          <w:tcPr>
            <w:tcW w:w="956" w:type="dxa"/>
            <w:tcBorders>
              <w:top w:val="nil"/>
              <w:left w:val="nil"/>
              <w:bottom w:val="single" w:sz="8" w:space="0" w:color="auto"/>
              <w:right w:val="single" w:sz="8" w:space="0" w:color="auto"/>
            </w:tcBorders>
            <w:shd w:val="clear" w:color="auto" w:fill="FFFFFF"/>
          </w:tcPr>
          <w:p w14:paraId="68F0F2DE" w14:textId="777EDDE1" w:rsidR="000A3959" w:rsidRPr="00B14856" w:rsidRDefault="000A3959" w:rsidP="000A3959">
            <w:pPr>
              <w:jc w:val="center"/>
              <w:rPr>
                <w:rFonts w:cs="Arial"/>
                <w:color w:val="000000"/>
                <w:sz w:val="18"/>
                <w:szCs w:val="18"/>
              </w:rPr>
            </w:pPr>
            <w:r>
              <w:rPr>
                <w:color w:val="000000"/>
                <w:sz w:val="18"/>
                <w:szCs w:val="18"/>
              </w:rPr>
              <w:t>43.3</w:t>
            </w:r>
          </w:p>
        </w:tc>
      </w:tr>
      <w:tr w:rsidR="000A3959" w:rsidRPr="00B14856" w14:paraId="18653C86" w14:textId="7EA21898" w:rsidTr="00E734A1">
        <w:trPr>
          <w:trHeight w:val="113"/>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691B7488" w14:textId="3AC5A9E3" w:rsidR="000A3959" w:rsidRPr="00E268FB" w:rsidRDefault="000A3959" w:rsidP="000A3959">
            <w:pPr>
              <w:rPr>
                <w:rFonts w:cs="Arial"/>
                <w:color w:val="000000"/>
                <w:sz w:val="18"/>
                <w:szCs w:val="18"/>
              </w:rPr>
            </w:pPr>
            <w:r w:rsidRPr="00E268FB">
              <w:rPr>
                <w:rFonts w:cs="Arial"/>
                <w:color w:val="000000"/>
                <w:sz w:val="18"/>
                <w:szCs w:val="18"/>
              </w:rPr>
              <w:t>Percentage of children with a repeat child protection plan over last 12 months (snapshot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5D52799E" w14:textId="77777777" w:rsidR="000A3959" w:rsidRPr="00E268FB" w:rsidRDefault="000A3959" w:rsidP="000A3959">
            <w:pPr>
              <w:jc w:val="center"/>
              <w:rPr>
                <w:rFonts w:cs="Arial"/>
                <w:color w:val="000000"/>
                <w:sz w:val="18"/>
                <w:szCs w:val="18"/>
              </w:rPr>
            </w:pPr>
            <w:r w:rsidRPr="00E268FB">
              <w:rPr>
                <w:rFonts w:cs="Arial"/>
                <w:color w:val="000000"/>
                <w:sz w:val="18"/>
                <w:szCs w:val="18"/>
              </w:rPr>
              <w:t>L</w:t>
            </w:r>
          </w:p>
        </w:tc>
        <w:tc>
          <w:tcPr>
            <w:tcW w:w="1344" w:type="dxa"/>
            <w:tcBorders>
              <w:top w:val="nil"/>
              <w:left w:val="nil"/>
              <w:bottom w:val="single" w:sz="4" w:space="0" w:color="auto"/>
              <w:right w:val="single" w:sz="8" w:space="0" w:color="auto"/>
            </w:tcBorders>
            <w:shd w:val="clear" w:color="000000" w:fill="FFFFFF"/>
            <w:noWrap/>
            <w:hideMark/>
          </w:tcPr>
          <w:p w14:paraId="40109809" w14:textId="7510D335" w:rsidR="000A3959" w:rsidRPr="00E268FB" w:rsidRDefault="000A3959" w:rsidP="000A3959">
            <w:pPr>
              <w:jc w:val="center"/>
              <w:rPr>
                <w:rFonts w:cs="Arial"/>
                <w:color w:val="000000"/>
                <w:sz w:val="18"/>
                <w:szCs w:val="18"/>
              </w:rPr>
            </w:pPr>
            <w:r w:rsidRPr="00E268FB">
              <w:rPr>
                <w:rFonts w:cs="Arial"/>
                <w:color w:val="000000"/>
                <w:sz w:val="18"/>
                <w:szCs w:val="18"/>
              </w:rPr>
              <w:t>5.5%</w:t>
            </w:r>
          </w:p>
          <w:p w14:paraId="57A571DA" w14:textId="1EF3D585" w:rsidR="000A3959" w:rsidRPr="00E268FB" w:rsidRDefault="000A3959" w:rsidP="000A3959">
            <w:pPr>
              <w:jc w:val="center"/>
              <w:rPr>
                <w:rFonts w:cs="Arial"/>
                <w:color w:val="000000"/>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000000" w:fill="D8E4BC"/>
            <w:noWrap/>
            <w:hideMark/>
          </w:tcPr>
          <w:p w14:paraId="5ADD58A9" w14:textId="34BC8020" w:rsidR="000A3959" w:rsidRPr="00E268FB" w:rsidRDefault="000A3959" w:rsidP="000A3959">
            <w:pPr>
              <w:jc w:val="center"/>
              <w:rPr>
                <w:rFonts w:cs="Arial"/>
                <w:color w:val="000000"/>
                <w:sz w:val="18"/>
                <w:szCs w:val="18"/>
              </w:rPr>
            </w:pPr>
            <w:r w:rsidRPr="00E268FB">
              <w:rPr>
                <w:rFonts w:cs="Arial"/>
                <w:color w:val="000000"/>
                <w:sz w:val="18"/>
                <w:szCs w:val="18"/>
              </w:rPr>
              <w:t>6.2%</w:t>
            </w:r>
          </w:p>
          <w:p w14:paraId="789F2DC6" w14:textId="3E8C144E" w:rsidR="000A3959" w:rsidRPr="00E268FB" w:rsidRDefault="000A3959" w:rsidP="000A3959">
            <w:pPr>
              <w:jc w:val="center"/>
              <w:rPr>
                <w:rFonts w:cs="Arial"/>
                <w:color w:val="000000"/>
                <w:sz w:val="18"/>
                <w:szCs w:val="18"/>
              </w:rPr>
            </w:pPr>
          </w:p>
        </w:tc>
        <w:tc>
          <w:tcPr>
            <w:tcW w:w="956" w:type="dxa"/>
            <w:tcBorders>
              <w:top w:val="nil"/>
              <w:left w:val="nil"/>
              <w:bottom w:val="single" w:sz="8" w:space="0" w:color="auto"/>
              <w:right w:val="single" w:sz="8" w:space="0" w:color="auto"/>
            </w:tcBorders>
            <w:shd w:val="clear" w:color="auto" w:fill="FFFFFF"/>
          </w:tcPr>
          <w:p w14:paraId="2B967947" w14:textId="5912EA16" w:rsidR="000A3959" w:rsidRPr="00E268FB" w:rsidRDefault="000A3959" w:rsidP="000A3959">
            <w:pPr>
              <w:jc w:val="center"/>
              <w:rPr>
                <w:rFonts w:cs="Arial"/>
                <w:color w:val="000000"/>
                <w:sz w:val="18"/>
                <w:szCs w:val="18"/>
              </w:rPr>
            </w:pPr>
            <w:r>
              <w:rPr>
                <w:color w:val="000000"/>
                <w:sz w:val="18"/>
                <w:szCs w:val="18"/>
              </w:rPr>
              <w:t>-</w:t>
            </w:r>
          </w:p>
        </w:tc>
      </w:tr>
      <w:tr w:rsidR="000A3959" w:rsidRPr="00B14856" w14:paraId="240F0C4B" w14:textId="46B76E96" w:rsidTr="00E734A1">
        <w:trPr>
          <w:trHeight w:val="179"/>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7ECF8CE2" w14:textId="07CCF8D8" w:rsidR="000A3959" w:rsidRPr="00B14856" w:rsidRDefault="000A3959" w:rsidP="000A3959">
            <w:pPr>
              <w:rPr>
                <w:rFonts w:cs="Arial"/>
                <w:color w:val="000000"/>
                <w:sz w:val="18"/>
                <w:szCs w:val="18"/>
              </w:rPr>
            </w:pPr>
            <w:r w:rsidRPr="00B14856">
              <w:rPr>
                <w:rFonts w:cs="Arial"/>
                <w:color w:val="000000"/>
                <w:sz w:val="18"/>
                <w:szCs w:val="18"/>
              </w:rPr>
              <w:t>Rate of C</w:t>
            </w:r>
            <w:r>
              <w:rPr>
                <w:rFonts w:cs="Arial"/>
                <w:color w:val="000000"/>
                <w:sz w:val="18"/>
                <w:szCs w:val="18"/>
              </w:rPr>
              <w:t xml:space="preserve">hildren </w:t>
            </w:r>
            <w:r w:rsidRPr="00B14856">
              <w:rPr>
                <w:rFonts w:cs="Arial"/>
                <w:color w:val="000000"/>
                <w:sz w:val="18"/>
                <w:szCs w:val="18"/>
              </w:rPr>
              <w:t>L</w:t>
            </w:r>
            <w:r>
              <w:rPr>
                <w:rFonts w:cs="Arial"/>
                <w:color w:val="000000"/>
                <w:sz w:val="18"/>
                <w:szCs w:val="18"/>
              </w:rPr>
              <w:t xml:space="preserve">ooked </w:t>
            </w:r>
            <w:r w:rsidRPr="00B14856">
              <w:rPr>
                <w:rFonts w:cs="Arial"/>
                <w:color w:val="000000"/>
                <w:sz w:val="18"/>
                <w:szCs w:val="18"/>
              </w:rPr>
              <w:t>A</w:t>
            </w:r>
            <w:r>
              <w:rPr>
                <w:rFonts w:cs="Arial"/>
                <w:color w:val="000000"/>
                <w:sz w:val="18"/>
                <w:szCs w:val="18"/>
              </w:rPr>
              <w:t>fter (CLA)</w:t>
            </w:r>
            <w:r w:rsidRPr="00B14856">
              <w:rPr>
                <w:rFonts w:cs="Arial"/>
                <w:color w:val="000000"/>
                <w:sz w:val="18"/>
                <w:szCs w:val="18"/>
              </w:rPr>
              <w:t xml:space="preserve"> number/per 10,000</w:t>
            </w:r>
            <w:r>
              <w:rPr>
                <w:rFonts w:cs="Arial"/>
                <w:color w:val="000000"/>
                <w:sz w:val="18"/>
                <w:szCs w:val="18"/>
              </w:rPr>
              <w:t xml:space="preserve"> (snapshot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7B5CC0BF"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single" w:sz="4" w:space="0" w:color="auto"/>
              <w:left w:val="single" w:sz="8" w:space="0" w:color="auto"/>
              <w:bottom w:val="single" w:sz="8" w:space="0" w:color="000000"/>
              <w:right w:val="single" w:sz="8" w:space="0" w:color="auto"/>
            </w:tcBorders>
            <w:shd w:val="clear" w:color="000000" w:fill="FFFFFF"/>
            <w:noWrap/>
            <w:hideMark/>
          </w:tcPr>
          <w:p w14:paraId="305B48F6" w14:textId="77777777" w:rsidR="000A3959" w:rsidRDefault="000A3959" w:rsidP="000A3959">
            <w:pPr>
              <w:jc w:val="center"/>
              <w:rPr>
                <w:rFonts w:cs="Arial"/>
                <w:color w:val="000000"/>
                <w:sz w:val="18"/>
                <w:szCs w:val="18"/>
              </w:rPr>
            </w:pPr>
            <w:r w:rsidRPr="00B14856">
              <w:rPr>
                <w:rFonts w:cs="Arial"/>
                <w:color w:val="000000"/>
                <w:sz w:val="18"/>
                <w:szCs w:val="18"/>
              </w:rPr>
              <w:t>1,842/75.0</w:t>
            </w:r>
          </w:p>
          <w:p w14:paraId="390ADCA9" w14:textId="5CAFC669" w:rsidR="000A3959" w:rsidRPr="00B14856" w:rsidRDefault="000A3959" w:rsidP="000A3959">
            <w:pPr>
              <w:jc w:val="center"/>
              <w:rPr>
                <w:rFonts w:cs="Arial"/>
                <w:color w:val="000000"/>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000000" w:fill="E6B8B7"/>
            <w:noWrap/>
            <w:hideMark/>
          </w:tcPr>
          <w:p w14:paraId="765158D0" w14:textId="2183966F" w:rsidR="000A3959" w:rsidRPr="00B14856" w:rsidRDefault="000A3959" w:rsidP="000A3959">
            <w:pPr>
              <w:jc w:val="center"/>
              <w:rPr>
                <w:rFonts w:cs="Arial"/>
                <w:color w:val="000000"/>
                <w:sz w:val="18"/>
                <w:szCs w:val="18"/>
              </w:rPr>
            </w:pPr>
            <w:r w:rsidRPr="00B14856">
              <w:rPr>
                <w:rFonts w:cs="Arial"/>
                <w:color w:val="000000"/>
                <w:sz w:val="18"/>
                <w:szCs w:val="18"/>
              </w:rPr>
              <w:t>1,968/79.7</w:t>
            </w:r>
          </w:p>
        </w:tc>
        <w:tc>
          <w:tcPr>
            <w:tcW w:w="956" w:type="dxa"/>
            <w:tcBorders>
              <w:top w:val="nil"/>
              <w:left w:val="nil"/>
              <w:bottom w:val="single" w:sz="8" w:space="0" w:color="auto"/>
              <w:right w:val="single" w:sz="8" w:space="0" w:color="auto"/>
            </w:tcBorders>
            <w:shd w:val="clear" w:color="auto" w:fill="FFFFFF"/>
          </w:tcPr>
          <w:p w14:paraId="061A4983" w14:textId="45AB36D1" w:rsidR="000A3959" w:rsidRPr="00B14856" w:rsidRDefault="000A3959" w:rsidP="000A3959">
            <w:pPr>
              <w:jc w:val="center"/>
              <w:rPr>
                <w:rFonts w:cs="Arial"/>
                <w:color w:val="000000"/>
                <w:sz w:val="18"/>
                <w:szCs w:val="18"/>
              </w:rPr>
            </w:pPr>
            <w:r>
              <w:rPr>
                <w:color w:val="000000"/>
                <w:sz w:val="18"/>
                <w:szCs w:val="18"/>
              </w:rPr>
              <w:t>62.0</w:t>
            </w:r>
          </w:p>
        </w:tc>
      </w:tr>
      <w:tr w:rsidR="000A3959" w:rsidRPr="00B14856" w14:paraId="7FD7299B" w14:textId="3982D1F9" w:rsidTr="00E734A1">
        <w:trPr>
          <w:trHeight w:val="171"/>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70576F1C" w14:textId="77777777" w:rsidR="000A3959" w:rsidRPr="00B14856" w:rsidRDefault="000A3959" w:rsidP="000A3959">
            <w:pPr>
              <w:rPr>
                <w:rFonts w:cs="Arial"/>
                <w:color w:val="000000"/>
                <w:sz w:val="18"/>
                <w:szCs w:val="18"/>
              </w:rPr>
            </w:pPr>
            <w:r w:rsidRPr="00B14856">
              <w:rPr>
                <w:rFonts w:cs="Arial"/>
                <w:color w:val="000000"/>
                <w:sz w:val="18"/>
                <w:szCs w:val="18"/>
              </w:rPr>
              <w:t>Percentage of CLA in 3 or more placement over last 12 months</w:t>
            </w:r>
          </w:p>
        </w:tc>
        <w:tc>
          <w:tcPr>
            <w:tcW w:w="863" w:type="dxa"/>
            <w:tcBorders>
              <w:top w:val="nil"/>
              <w:left w:val="single" w:sz="8" w:space="0" w:color="auto"/>
              <w:bottom w:val="single" w:sz="8" w:space="0" w:color="000000"/>
              <w:right w:val="single" w:sz="8" w:space="0" w:color="auto"/>
            </w:tcBorders>
            <w:shd w:val="clear" w:color="auto" w:fill="auto"/>
            <w:hideMark/>
          </w:tcPr>
          <w:p w14:paraId="654E8B84"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nil"/>
              <w:bottom w:val="single" w:sz="4" w:space="0" w:color="auto"/>
              <w:right w:val="nil"/>
            </w:tcBorders>
            <w:shd w:val="clear" w:color="000000" w:fill="FFFFFF"/>
            <w:noWrap/>
            <w:hideMark/>
          </w:tcPr>
          <w:p w14:paraId="114B3B05" w14:textId="502EF5AB" w:rsidR="000A3959" w:rsidRPr="00B14856" w:rsidRDefault="000A3959" w:rsidP="000A3959">
            <w:pPr>
              <w:jc w:val="center"/>
              <w:rPr>
                <w:rFonts w:cs="Arial"/>
                <w:color w:val="000000"/>
                <w:sz w:val="18"/>
                <w:szCs w:val="18"/>
              </w:rPr>
            </w:pPr>
            <w:r>
              <w:rPr>
                <w:rFonts w:cs="Arial"/>
                <w:color w:val="000000"/>
                <w:sz w:val="18"/>
                <w:szCs w:val="18"/>
              </w:rPr>
              <w:t>7.7</w:t>
            </w:r>
            <w:r w:rsidRPr="00B14856">
              <w:rPr>
                <w:rFonts w:cs="Arial"/>
                <w:color w:val="000000"/>
                <w:sz w:val="18"/>
                <w:szCs w:val="18"/>
              </w:rPr>
              <w:t>%</w:t>
            </w:r>
          </w:p>
        </w:tc>
        <w:tc>
          <w:tcPr>
            <w:tcW w:w="1276" w:type="dxa"/>
            <w:tcBorders>
              <w:top w:val="single" w:sz="4" w:space="0" w:color="auto"/>
              <w:left w:val="single" w:sz="8" w:space="0" w:color="auto"/>
              <w:bottom w:val="single" w:sz="4" w:space="0" w:color="auto"/>
              <w:right w:val="single" w:sz="8" w:space="0" w:color="auto"/>
            </w:tcBorders>
            <w:shd w:val="clear" w:color="000000" w:fill="D8E4BC"/>
            <w:noWrap/>
            <w:hideMark/>
          </w:tcPr>
          <w:p w14:paraId="7AA6C1FF" w14:textId="349376B1" w:rsidR="000A3959" w:rsidRPr="00B14856" w:rsidRDefault="000A3959" w:rsidP="000A3959">
            <w:pPr>
              <w:jc w:val="center"/>
              <w:rPr>
                <w:rFonts w:cs="Arial"/>
                <w:color w:val="000000"/>
                <w:sz w:val="18"/>
                <w:szCs w:val="18"/>
              </w:rPr>
            </w:pPr>
            <w:r>
              <w:rPr>
                <w:rFonts w:cs="Arial"/>
                <w:color w:val="000000"/>
                <w:sz w:val="18"/>
                <w:szCs w:val="18"/>
              </w:rPr>
              <w:t>7.9</w:t>
            </w:r>
            <w:r w:rsidRPr="00B14856">
              <w:rPr>
                <w:rFonts w:cs="Arial"/>
                <w:color w:val="000000"/>
                <w:sz w:val="18"/>
                <w:szCs w:val="18"/>
              </w:rPr>
              <w:t>%</w:t>
            </w:r>
          </w:p>
        </w:tc>
        <w:tc>
          <w:tcPr>
            <w:tcW w:w="956" w:type="dxa"/>
            <w:tcBorders>
              <w:top w:val="nil"/>
              <w:left w:val="nil"/>
              <w:bottom w:val="single" w:sz="8" w:space="0" w:color="auto"/>
              <w:right w:val="single" w:sz="8" w:space="0" w:color="auto"/>
            </w:tcBorders>
            <w:shd w:val="clear" w:color="auto" w:fill="FFFFFF"/>
          </w:tcPr>
          <w:p w14:paraId="6ABE1DD0" w14:textId="5462CE2F" w:rsidR="000A3959" w:rsidRDefault="000A3959" w:rsidP="000A3959">
            <w:pPr>
              <w:jc w:val="center"/>
              <w:rPr>
                <w:rFonts w:cs="Arial"/>
                <w:color w:val="000000"/>
                <w:sz w:val="18"/>
                <w:szCs w:val="18"/>
              </w:rPr>
            </w:pPr>
            <w:r>
              <w:rPr>
                <w:color w:val="000000"/>
                <w:sz w:val="18"/>
                <w:szCs w:val="18"/>
              </w:rPr>
              <w:t>10%</w:t>
            </w:r>
          </w:p>
        </w:tc>
      </w:tr>
      <w:tr w:rsidR="000A3959" w:rsidRPr="00B14856" w14:paraId="1012DD44" w14:textId="1A8AA508" w:rsidTr="00E734A1">
        <w:trPr>
          <w:trHeight w:val="237"/>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7C64256D" w14:textId="02331444" w:rsidR="000A3959" w:rsidRPr="00B14856" w:rsidRDefault="000A3959" w:rsidP="000A3959">
            <w:pPr>
              <w:rPr>
                <w:rFonts w:cs="Arial"/>
                <w:color w:val="000000"/>
                <w:sz w:val="18"/>
                <w:szCs w:val="18"/>
              </w:rPr>
            </w:pPr>
            <w:r w:rsidRPr="00B14856">
              <w:rPr>
                <w:rFonts w:cs="Arial"/>
                <w:color w:val="000000"/>
                <w:sz w:val="18"/>
                <w:szCs w:val="18"/>
              </w:rPr>
              <w:t>Percentage of staff on Assessed and Supported Year in Employment (ASYE)</w:t>
            </w:r>
            <w:r w:rsidRPr="00E268FB">
              <w:rPr>
                <w:rFonts w:cs="Arial"/>
                <w:color w:val="000000"/>
                <w:sz w:val="18"/>
                <w:szCs w:val="18"/>
              </w:rPr>
              <w:t xml:space="preserve"> (snapshot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28FCCC32"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single" w:sz="4" w:space="0" w:color="auto"/>
              <w:left w:val="nil"/>
              <w:bottom w:val="single" w:sz="4" w:space="0" w:color="auto"/>
              <w:right w:val="nil"/>
            </w:tcBorders>
            <w:shd w:val="clear" w:color="000000" w:fill="FFFFFF"/>
            <w:noWrap/>
            <w:hideMark/>
          </w:tcPr>
          <w:p w14:paraId="05326EE9" w14:textId="5F084332" w:rsidR="000A3959" w:rsidRDefault="000A3959" w:rsidP="000A3959">
            <w:pPr>
              <w:jc w:val="center"/>
              <w:rPr>
                <w:rFonts w:cs="Arial"/>
                <w:color w:val="000000"/>
                <w:sz w:val="18"/>
                <w:szCs w:val="18"/>
              </w:rPr>
            </w:pPr>
            <w:r>
              <w:rPr>
                <w:rFonts w:cs="Arial"/>
                <w:color w:val="000000"/>
                <w:sz w:val="18"/>
                <w:szCs w:val="18"/>
              </w:rPr>
              <w:t>44.9</w:t>
            </w:r>
            <w:r w:rsidRPr="00B14856">
              <w:rPr>
                <w:rFonts w:cs="Arial"/>
                <w:color w:val="000000"/>
                <w:sz w:val="18"/>
                <w:szCs w:val="18"/>
              </w:rPr>
              <w:t>%</w:t>
            </w:r>
          </w:p>
          <w:p w14:paraId="7AD5A4D3" w14:textId="75BB150F" w:rsidR="000A3959" w:rsidRPr="00B14856" w:rsidRDefault="000A3959" w:rsidP="000A3959">
            <w:pPr>
              <w:jc w:val="center"/>
              <w:rPr>
                <w:rFonts w:cs="Arial"/>
                <w:color w:val="000000"/>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000000" w:fill="F8CBAD"/>
            <w:noWrap/>
            <w:hideMark/>
          </w:tcPr>
          <w:p w14:paraId="070F9A0F" w14:textId="183D286A" w:rsidR="000A3959" w:rsidRDefault="000A3959" w:rsidP="000A3959">
            <w:pPr>
              <w:jc w:val="center"/>
              <w:rPr>
                <w:rFonts w:cs="Arial"/>
                <w:color w:val="000000"/>
                <w:sz w:val="18"/>
                <w:szCs w:val="18"/>
              </w:rPr>
            </w:pPr>
            <w:r>
              <w:rPr>
                <w:rFonts w:cs="Arial"/>
                <w:color w:val="000000"/>
                <w:sz w:val="18"/>
                <w:szCs w:val="18"/>
              </w:rPr>
              <w:t>27.2</w:t>
            </w:r>
            <w:r w:rsidRPr="00B14856">
              <w:rPr>
                <w:rFonts w:cs="Arial"/>
                <w:color w:val="000000"/>
                <w:sz w:val="18"/>
                <w:szCs w:val="18"/>
              </w:rPr>
              <w:t>%</w:t>
            </w:r>
          </w:p>
          <w:p w14:paraId="7C95DBEE" w14:textId="40ED96B3" w:rsidR="000A3959" w:rsidRPr="00B14856" w:rsidRDefault="000A3959" w:rsidP="000A3959">
            <w:pPr>
              <w:jc w:val="center"/>
              <w:rPr>
                <w:rFonts w:cs="Arial"/>
                <w:color w:val="000000"/>
                <w:sz w:val="18"/>
                <w:szCs w:val="18"/>
              </w:rPr>
            </w:pPr>
          </w:p>
        </w:tc>
        <w:tc>
          <w:tcPr>
            <w:tcW w:w="956" w:type="dxa"/>
            <w:tcBorders>
              <w:top w:val="nil"/>
              <w:left w:val="nil"/>
              <w:bottom w:val="single" w:sz="8" w:space="0" w:color="auto"/>
              <w:right w:val="single" w:sz="8" w:space="0" w:color="auto"/>
            </w:tcBorders>
            <w:shd w:val="clear" w:color="auto" w:fill="FFFFFF"/>
          </w:tcPr>
          <w:p w14:paraId="53E9F008" w14:textId="6D8CCE3E" w:rsidR="000A3959" w:rsidRDefault="000A3959" w:rsidP="000A3959">
            <w:pPr>
              <w:jc w:val="center"/>
              <w:rPr>
                <w:rFonts w:cs="Arial"/>
                <w:color w:val="000000"/>
                <w:sz w:val="18"/>
                <w:szCs w:val="18"/>
              </w:rPr>
            </w:pPr>
            <w:r>
              <w:rPr>
                <w:color w:val="000000"/>
                <w:sz w:val="18"/>
                <w:szCs w:val="18"/>
              </w:rPr>
              <w:t>-</w:t>
            </w:r>
          </w:p>
        </w:tc>
      </w:tr>
      <w:tr w:rsidR="000A3959" w:rsidRPr="00B14856" w14:paraId="1FCC3441" w14:textId="50AA51B9" w:rsidTr="00E734A1">
        <w:trPr>
          <w:trHeight w:val="94"/>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3EBF320D" w14:textId="3451DBEE" w:rsidR="000A3959" w:rsidRPr="00B14856" w:rsidRDefault="000A3959" w:rsidP="000A3959">
            <w:pPr>
              <w:rPr>
                <w:rFonts w:cs="Arial"/>
                <w:color w:val="000000"/>
                <w:sz w:val="18"/>
                <w:szCs w:val="18"/>
              </w:rPr>
            </w:pPr>
            <w:r w:rsidRPr="00B14856">
              <w:rPr>
                <w:rFonts w:cs="Arial"/>
                <w:color w:val="000000"/>
                <w:sz w:val="18"/>
                <w:szCs w:val="18"/>
              </w:rPr>
              <w:t>Percentage of staff who are experienced social workers (3+ years)</w:t>
            </w:r>
            <w:r w:rsidRPr="00E268FB">
              <w:rPr>
                <w:rFonts w:cs="Arial"/>
                <w:color w:val="000000"/>
                <w:sz w:val="18"/>
                <w:szCs w:val="18"/>
              </w:rPr>
              <w:t xml:space="preserve"> (snapshot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47EFE6FA" w14:textId="77777777" w:rsidR="000A3959" w:rsidRPr="00B14856" w:rsidRDefault="000A3959" w:rsidP="000A3959">
            <w:pPr>
              <w:jc w:val="center"/>
              <w:rPr>
                <w:rFonts w:cs="Arial"/>
                <w:color w:val="000000"/>
                <w:sz w:val="18"/>
                <w:szCs w:val="18"/>
              </w:rPr>
            </w:pPr>
            <w:r w:rsidRPr="00B14856">
              <w:rPr>
                <w:rFonts w:cs="Arial"/>
                <w:color w:val="000000"/>
                <w:sz w:val="18"/>
                <w:szCs w:val="18"/>
              </w:rPr>
              <w:t>H</w:t>
            </w:r>
          </w:p>
        </w:tc>
        <w:tc>
          <w:tcPr>
            <w:tcW w:w="1344" w:type="dxa"/>
            <w:tcBorders>
              <w:top w:val="single" w:sz="4" w:space="0" w:color="auto"/>
              <w:left w:val="single" w:sz="8" w:space="0" w:color="auto"/>
              <w:bottom w:val="single" w:sz="8" w:space="0" w:color="000000"/>
              <w:right w:val="single" w:sz="8" w:space="0" w:color="auto"/>
            </w:tcBorders>
            <w:shd w:val="clear" w:color="000000" w:fill="FFFFFF"/>
            <w:noWrap/>
            <w:hideMark/>
          </w:tcPr>
          <w:p w14:paraId="597CDEE2" w14:textId="0715AEB4" w:rsidR="000A3959" w:rsidRPr="00B14856" w:rsidRDefault="000A3959" w:rsidP="000A3959">
            <w:pPr>
              <w:jc w:val="center"/>
              <w:rPr>
                <w:rFonts w:cs="Arial"/>
                <w:color w:val="000000"/>
                <w:sz w:val="18"/>
                <w:szCs w:val="18"/>
              </w:rPr>
            </w:pPr>
            <w:r>
              <w:rPr>
                <w:rFonts w:cs="Arial"/>
                <w:color w:val="000000"/>
                <w:sz w:val="18"/>
                <w:szCs w:val="18"/>
              </w:rPr>
              <w:t>New measure</w:t>
            </w:r>
          </w:p>
        </w:tc>
        <w:tc>
          <w:tcPr>
            <w:tcW w:w="1276" w:type="dxa"/>
            <w:tcBorders>
              <w:top w:val="single" w:sz="4" w:space="0" w:color="auto"/>
              <w:left w:val="single" w:sz="8" w:space="0" w:color="auto"/>
              <w:bottom w:val="single" w:sz="4" w:space="0" w:color="auto"/>
              <w:right w:val="single" w:sz="8" w:space="0" w:color="auto"/>
            </w:tcBorders>
            <w:shd w:val="clear" w:color="000000" w:fill="F8CBAD"/>
            <w:noWrap/>
            <w:hideMark/>
          </w:tcPr>
          <w:p w14:paraId="025E9BC8" w14:textId="7D442240" w:rsidR="000A3959" w:rsidRDefault="000A3959" w:rsidP="000A3959">
            <w:pPr>
              <w:jc w:val="center"/>
              <w:rPr>
                <w:rFonts w:cs="Arial"/>
                <w:color w:val="000000"/>
                <w:sz w:val="18"/>
                <w:szCs w:val="18"/>
              </w:rPr>
            </w:pPr>
            <w:r w:rsidRPr="00B14856">
              <w:rPr>
                <w:rFonts w:cs="Arial"/>
                <w:color w:val="000000"/>
                <w:sz w:val="18"/>
                <w:szCs w:val="18"/>
              </w:rPr>
              <w:t>26</w:t>
            </w:r>
            <w:r>
              <w:rPr>
                <w:rFonts w:cs="Arial"/>
                <w:color w:val="000000"/>
                <w:sz w:val="18"/>
                <w:szCs w:val="18"/>
              </w:rPr>
              <w:t>.0</w:t>
            </w:r>
            <w:r w:rsidRPr="00B14856">
              <w:rPr>
                <w:rFonts w:cs="Arial"/>
                <w:color w:val="000000"/>
                <w:sz w:val="18"/>
                <w:szCs w:val="18"/>
              </w:rPr>
              <w:t>%</w:t>
            </w:r>
          </w:p>
          <w:p w14:paraId="028B07B0" w14:textId="2523DDF5" w:rsidR="000A3959" w:rsidRPr="00B14856" w:rsidRDefault="000A3959" w:rsidP="000A3959">
            <w:pPr>
              <w:jc w:val="center"/>
              <w:rPr>
                <w:rFonts w:cs="Arial"/>
                <w:color w:val="000000"/>
                <w:sz w:val="18"/>
                <w:szCs w:val="18"/>
              </w:rPr>
            </w:pPr>
          </w:p>
        </w:tc>
        <w:tc>
          <w:tcPr>
            <w:tcW w:w="956" w:type="dxa"/>
            <w:tcBorders>
              <w:top w:val="nil"/>
              <w:left w:val="nil"/>
              <w:bottom w:val="single" w:sz="8" w:space="0" w:color="auto"/>
              <w:right w:val="single" w:sz="8" w:space="0" w:color="auto"/>
            </w:tcBorders>
            <w:shd w:val="clear" w:color="auto" w:fill="FFFFFF"/>
          </w:tcPr>
          <w:p w14:paraId="310E18D9" w14:textId="4DD11350" w:rsidR="000A3959" w:rsidRPr="00B14856" w:rsidRDefault="000A3959" w:rsidP="000A3959">
            <w:pPr>
              <w:jc w:val="center"/>
              <w:rPr>
                <w:rFonts w:cs="Arial"/>
                <w:color w:val="000000"/>
                <w:sz w:val="18"/>
                <w:szCs w:val="18"/>
              </w:rPr>
            </w:pPr>
            <w:r>
              <w:rPr>
                <w:color w:val="000000"/>
                <w:sz w:val="18"/>
                <w:szCs w:val="18"/>
              </w:rPr>
              <w:t>-</w:t>
            </w:r>
          </w:p>
        </w:tc>
      </w:tr>
      <w:tr w:rsidR="000A3959" w:rsidRPr="00B14856" w14:paraId="39D7D5C4" w14:textId="04DC133A" w:rsidTr="00E734A1">
        <w:trPr>
          <w:trHeight w:val="60"/>
        </w:trPr>
        <w:tc>
          <w:tcPr>
            <w:tcW w:w="4482" w:type="dxa"/>
            <w:tcBorders>
              <w:top w:val="nil"/>
              <w:left w:val="single" w:sz="8" w:space="0" w:color="auto"/>
              <w:bottom w:val="single" w:sz="8" w:space="0" w:color="000000"/>
              <w:right w:val="single" w:sz="8" w:space="0" w:color="auto"/>
            </w:tcBorders>
            <w:shd w:val="clear" w:color="auto" w:fill="auto"/>
            <w:vAlign w:val="center"/>
            <w:hideMark/>
          </w:tcPr>
          <w:p w14:paraId="77FD7784" w14:textId="14A960A7" w:rsidR="000A3959" w:rsidRPr="00B14856" w:rsidRDefault="000A3959" w:rsidP="000A3959">
            <w:pPr>
              <w:rPr>
                <w:rFonts w:cs="Arial"/>
                <w:color w:val="000000"/>
                <w:sz w:val="18"/>
                <w:szCs w:val="18"/>
              </w:rPr>
            </w:pPr>
            <w:r w:rsidRPr="00B14856">
              <w:rPr>
                <w:rFonts w:cs="Arial"/>
                <w:color w:val="000000"/>
                <w:sz w:val="18"/>
                <w:szCs w:val="18"/>
              </w:rPr>
              <w:t>Average caseload per social worker</w:t>
            </w:r>
            <w:r>
              <w:rPr>
                <w:rFonts w:cs="Arial"/>
                <w:color w:val="000000"/>
                <w:sz w:val="18"/>
                <w:szCs w:val="18"/>
              </w:rPr>
              <w:t xml:space="preserve"> </w:t>
            </w:r>
            <w:r w:rsidRPr="00E268FB">
              <w:rPr>
                <w:rFonts w:cs="Arial"/>
                <w:color w:val="000000"/>
                <w:sz w:val="18"/>
                <w:szCs w:val="18"/>
              </w:rPr>
              <w:t>(snapshot as at 31 March)</w:t>
            </w:r>
          </w:p>
        </w:tc>
        <w:tc>
          <w:tcPr>
            <w:tcW w:w="863" w:type="dxa"/>
            <w:tcBorders>
              <w:top w:val="nil"/>
              <w:left w:val="single" w:sz="8" w:space="0" w:color="auto"/>
              <w:bottom w:val="single" w:sz="8" w:space="0" w:color="000000"/>
              <w:right w:val="single" w:sz="8" w:space="0" w:color="auto"/>
            </w:tcBorders>
            <w:shd w:val="clear" w:color="auto" w:fill="auto"/>
            <w:hideMark/>
          </w:tcPr>
          <w:p w14:paraId="51DEF99A" w14:textId="77777777" w:rsidR="000A3959" w:rsidRPr="00B14856" w:rsidRDefault="000A3959" w:rsidP="000A3959">
            <w:pPr>
              <w:jc w:val="center"/>
              <w:rPr>
                <w:rFonts w:cs="Arial"/>
                <w:color w:val="000000"/>
                <w:sz w:val="18"/>
                <w:szCs w:val="18"/>
              </w:rPr>
            </w:pPr>
            <w:r w:rsidRPr="00B14856">
              <w:rPr>
                <w:rFonts w:cs="Arial"/>
                <w:color w:val="000000"/>
                <w:sz w:val="18"/>
                <w:szCs w:val="18"/>
              </w:rPr>
              <w:t>L</w:t>
            </w:r>
          </w:p>
        </w:tc>
        <w:tc>
          <w:tcPr>
            <w:tcW w:w="1344" w:type="dxa"/>
            <w:tcBorders>
              <w:top w:val="nil"/>
              <w:left w:val="single" w:sz="8" w:space="0" w:color="auto"/>
              <w:bottom w:val="single" w:sz="8" w:space="0" w:color="000000"/>
              <w:right w:val="single" w:sz="8" w:space="0" w:color="auto"/>
            </w:tcBorders>
            <w:shd w:val="clear" w:color="000000" w:fill="FFFFFF"/>
            <w:noWrap/>
            <w:hideMark/>
          </w:tcPr>
          <w:p w14:paraId="721A67BA" w14:textId="5102D777" w:rsidR="000A3959" w:rsidRPr="00B14856" w:rsidRDefault="000A3959" w:rsidP="000A3959">
            <w:pPr>
              <w:jc w:val="center"/>
              <w:rPr>
                <w:rFonts w:cs="Arial"/>
                <w:color w:val="000000"/>
                <w:sz w:val="18"/>
                <w:szCs w:val="18"/>
              </w:rPr>
            </w:pPr>
            <w:r>
              <w:rPr>
                <w:rFonts w:cs="Arial"/>
                <w:color w:val="000000"/>
                <w:sz w:val="18"/>
                <w:szCs w:val="18"/>
              </w:rPr>
              <w:t>New measure</w:t>
            </w:r>
          </w:p>
        </w:tc>
        <w:tc>
          <w:tcPr>
            <w:tcW w:w="1276" w:type="dxa"/>
            <w:tcBorders>
              <w:top w:val="single" w:sz="4" w:space="0" w:color="auto"/>
              <w:left w:val="single" w:sz="4" w:space="0" w:color="auto"/>
              <w:bottom w:val="single" w:sz="4" w:space="0" w:color="auto"/>
              <w:right w:val="single" w:sz="8" w:space="0" w:color="auto"/>
            </w:tcBorders>
            <w:shd w:val="clear" w:color="000000" w:fill="D8E4BC"/>
            <w:noWrap/>
            <w:hideMark/>
          </w:tcPr>
          <w:p w14:paraId="6C034229" w14:textId="599036CD" w:rsidR="000A3959" w:rsidRPr="00B14856" w:rsidRDefault="000A3959" w:rsidP="000A3959">
            <w:pPr>
              <w:jc w:val="center"/>
              <w:rPr>
                <w:rFonts w:cs="Arial"/>
                <w:color w:val="000000"/>
                <w:sz w:val="18"/>
                <w:szCs w:val="18"/>
              </w:rPr>
            </w:pPr>
            <w:r w:rsidRPr="00B14856">
              <w:rPr>
                <w:rFonts w:cs="Arial"/>
                <w:color w:val="000000"/>
                <w:sz w:val="18"/>
                <w:szCs w:val="18"/>
              </w:rPr>
              <w:t>22</w:t>
            </w:r>
            <w:r>
              <w:rPr>
                <w:rFonts w:cs="Arial"/>
                <w:color w:val="000000"/>
                <w:sz w:val="18"/>
                <w:szCs w:val="18"/>
              </w:rPr>
              <w:t>.0</w:t>
            </w:r>
          </w:p>
        </w:tc>
        <w:tc>
          <w:tcPr>
            <w:tcW w:w="956" w:type="dxa"/>
            <w:tcBorders>
              <w:top w:val="nil"/>
              <w:left w:val="nil"/>
              <w:bottom w:val="single" w:sz="8" w:space="0" w:color="auto"/>
              <w:right w:val="single" w:sz="8" w:space="0" w:color="auto"/>
            </w:tcBorders>
            <w:shd w:val="clear" w:color="auto" w:fill="FFFFFF"/>
          </w:tcPr>
          <w:p w14:paraId="09DA5C1C" w14:textId="68DEC864" w:rsidR="000A3959" w:rsidRPr="00B14856" w:rsidRDefault="000A3959" w:rsidP="000A3959">
            <w:pPr>
              <w:jc w:val="center"/>
              <w:rPr>
                <w:rFonts w:cs="Arial"/>
                <w:color w:val="000000"/>
                <w:sz w:val="18"/>
                <w:szCs w:val="18"/>
              </w:rPr>
            </w:pPr>
            <w:r>
              <w:rPr>
                <w:color w:val="000000"/>
                <w:sz w:val="18"/>
                <w:szCs w:val="18"/>
              </w:rPr>
              <w:t>-</w:t>
            </w:r>
          </w:p>
        </w:tc>
      </w:tr>
    </w:tbl>
    <w:p w14:paraId="2830A343" w14:textId="3DE108C4" w:rsidR="00B14856" w:rsidRPr="00095258" w:rsidRDefault="00095258" w:rsidP="00026433">
      <w:pPr>
        <w:rPr>
          <w:rFonts w:eastAsiaTheme="minorHAnsi" w:cs="Arial"/>
          <w:i/>
          <w:sz w:val="20"/>
          <w:lang w:eastAsia="en-US"/>
        </w:rPr>
      </w:pPr>
      <w:r w:rsidRPr="00095258">
        <w:rPr>
          <w:rFonts w:eastAsiaTheme="minorHAnsi" w:cs="Arial"/>
          <w:i/>
          <w:sz w:val="20"/>
          <w:lang w:eastAsia="en-US"/>
        </w:rPr>
        <w:t>Note:  The figures</w:t>
      </w:r>
      <w:r>
        <w:rPr>
          <w:rFonts w:eastAsiaTheme="minorHAnsi" w:cs="Arial"/>
          <w:i/>
          <w:sz w:val="20"/>
          <w:lang w:eastAsia="en-US"/>
        </w:rPr>
        <w:t xml:space="preserve"> for 2017/18 are not the final, published figures and should be treated as estimates.</w:t>
      </w:r>
    </w:p>
    <w:p w14:paraId="2FDCF8A3" w14:textId="77777777" w:rsidR="00095258" w:rsidRDefault="00095258" w:rsidP="003A0BC3">
      <w:pPr>
        <w:rPr>
          <w:rFonts w:eastAsiaTheme="minorHAnsi" w:cs="Arial"/>
          <w:i/>
          <w:szCs w:val="24"/>
          <w:lang w:eastAsia="en-US"/>
        </w:rPr>
      </w:pPr>
    </w:p>
    <w:p w14:paraId="6CF3F9C2" w14:textId="77777777" w:rsidR="00026433" w:rsidRDefault="00026433" w:rsidP="003A0BC3">
      <w:pPr>
        <w:rPr>
          <w:rFonts w:eastAsiaTheme="minorHAnsi" w:cs="Arial"/>
          <w:i/>
          <w:szCs w:val="24"/>
          <w:lang w:eastAsia="en-US"/>
        </w:rPr>
      </w:pPr>
      <w:r w:rsidRPr="00925E3D">
        <w:rPr>
          <w:rFonts w:eastAsiaTheme="minorHAnsi" w:cs="Arial"/>
          <w:i/>
          <w:szCs w:val="24"/>
          <w:lang w:eastAsia="en-US"/>
        </w:rPr>
        <w:t>Children's Social Care</w:t>
      </w:r>
    </w:p>
    <w:p w14:paraId="61A90E59" w14:textId="77777777" w:rsidR="006A7668" w:rsidRPr="00925E3D" w:rsidRDefault="006A7668" w:rsidP="003A0BC3">
      <w:pPr>
        <w:rPr>
          <w:rFonts w:eastAsiaTheme="minorHAnsi" w:cs="Arial"/>
          <w:i/>
          <w:szCs w:val="24"/>
          <w:lang w:eastAsia="en-US"/>
        </w:rPr>
      </w:pPr>
    </w:p>
    <w:p w14:paraId="28345EC2" w14:textId="782AFEBD" w:rsidR="00026433" w:rsidRPr="00925E3D" w:rsidRDefault="00191E6C" w:rsidP="00065A8C">
      <w:pPr>
        <w:spacing w:after="200"/>
        <w:jc w:val="both"/>
        <w:rPr>
          <w:rFonts w:eastAsiaTheme="minorEastAsia" w:cs="Arial"/>
          <w:color w:val="000000" w:themeColor="text1"/>
          <w:szCs w:val="24"/>
        </w:rPr>
      </w:pPr>
      <w:r>
        <w:rPr>
          <w:rFonts w:eastAsiaTheme="minorEastAsia" w:cs="Arial"/>
          <w:color w:val="000000" w:themeColor="text1"/>
          <w:szCs w:val="24"/>
        </w:rPr>
        <w:t>There has been a</w:t>
      </w:r>
      <w:r w:rsidR="00DE3A3A">
        <w:rPr>
          <w:rFonts w:eastAsiaTheme="minorEastAsia" w:cs="Arial"/>
          <w:color w:val="000000" w:themeColor="text1"/>
          <w:szCs w:val="24"/>
        </w:rPr>
        <w:t xml:space="preserve"> 5% </w:t>
      </w:r>
      <w:r>
        <w:rPr>
          <w:rFonts w:eastAsiaTheme="minorEastAsia" w:cs="Arial"/>
          <w:color w:val="000000" w:themeColor="text1"/>
          <w:szCs w:val="24"/>
        </w:rPr>
        <w:t>in</w:t>
      </w:r>
      <w:r w:rsidR="00026433" w:rsidRPr="00925E3D">
        <w:rPr>
          <w:rFonts w:eastAsiaTheme="minorEastAsia" w:cs="Arial"/>
          <w:color w:val="000000" w:themeColor="text1"/>
          <w:szCs w:val="24"/>
        </w:rPr>
        <w:t xml:space="preserve">crease </w:t>
      </w:r>
      <w:r>
        <w:rPr>
          <w:rFonts w:eastAsiaTheme="minorEastAsia" w:cs="Arial"/>
          <w:color w:val="000000" w:themeColor="text1"/>
          <w:szCs w:val="24"/>
        </w:rPr>
        <w:t xml:space="preserve">in contacts received with </w:t>
      </w:r>
      <w:r w:rsidR="00E734A1">
        <w:rPr>
          <w:rFonts w:eastAsiaTheme="minorEastAsia" w:cs="Arial"/>
          <w:color w:val="000000" w:themeColor="text1"/>
          <w:szCs w:val="24"/>
        </w:rPr>
        <w:t>a corresponding increase in referrals.</w:t>
      </w:r>
      <w:r w:rsidR="007E5669">
        <w:rPr>
          <w:rFonts w:eastAsiaTheme="minorEastAsia" w:cs="Arial"/>
          <w:color w:val="000000" w:themeColor="text1"/>
          <w:szCs w:val="24"/>
        </w:rPr>
        <w:t xml:space="preserve"> </w:t>
      </w:r>
      <w:r w:rsidR="008C21A9" w:rsidRPr="00925E3D">
        <w:rPr>
          <w:rFonts w:eastAsiaTheme="minorEastAsia" w:cs="Arial"/>
          <w:color w:val="000000" w:themeColor="text1"/>
          <w:szCs w:val="24"/>
        </w:rPr>
        <w:t xml:space="preserve">Around a third of </w:t>
      </w:r>
      <w:r w:rsidR="00DE3A3A">
        <w:rPr>
          <w:rFonts w:eastAsiaTheme="minorEastAsia" w:cs="Arial"/>
          <w:color w:val="000000" w:themeColor="text1"/>
          <w:szCs w:val="24"/>
        </w:rPr>
        <w:t>all</w:t>
      </w:r>
      <w:r>
        <w:rPr>
          <w:rFonts w:eastAsiaTheme="minorEastAsia" w:cs="Arial"/>
          <w:color w:val="000000" w:themeColor="text1"/>
          <w:szCs w:val="24"/>
        </w:rPr>
        <w:t xml:space="preserve"> </w:t>
      </w:r>
      <w:r w:rsidR="008C21A9" w:rsidRPr="00925E3D">
        <w:rPr>
          <w:rFonts w:eastAsiaTheme="minorEastAsia" w:cs="Arial"/>
          <w:color w:val="000000" w:themeColor="text1"/>
          <w:szCs w:val="24"/>
        </w:rPr>
        <w:t>con</w:t>
      </w:r>
      <w:r>
        <w:rPr>
          <w:rFonts w:eastAsiaTheme="minorEastAsia" w:cs="Arial"/>
          <w:color w:val="000000" w:themeColor="text1"/>
          <w:szCs w:val="24"/>
        </w:rPr>
        <w:t xml:space="preserve">tacts are from the police, and closer working between the authority and the police </w:t>
      </w:r>
      <w:r w:rsidR="00E734A1">
        <w:rPr>
          <w:rFonts w:eastAsiaTheme="minorEastAsia" w:cs="Arial"/>
          <w:color w:val="000000" w:themeColor="text1"/>
          <w:szCs w:val="24"/>
        </w:rPr>
        <w:t>will improve</w:t>
      </w:r>
      <w:r>
        <w:rPr>
          <w:rFonts w:eastAsiaTheme="minorEastAsia" w:cs="Arial"/>
          <w:color w:val="000000" w:themeColor="text1"/>
          <w:szCs w:val="24"/>
        </w:rPr>
        <w:t xml:space="preserve"> the level of</w:t>
      </w:r>
      <w:r w:rsidR="000D5B63" w:rsidRPr="00925E3D">
        <w:rPr>
          <w:rFonts w:eastAsiaTheme="minorEastAsia" w:cs="Arial"/>
          <w:color w:val="000000" w:themeColor="text1"/>
          <w:szCs w:val="24"/>
        </w:rPr>
        <w:t xml:space="preserve"> appropriate </w:t>
      </w:r>
      <w:r w:rsidR="00DE3A3A">
        <w:rPr>
          <w:rFonts w:eastAsiaTheme="minorEastAsia" w:cs="Arial"/>
          <w:color w:val="000000" w:themeColor="text1"/>
          <w:szCs w:val="24"/>
        </w:rPr>
        <w:t>contacts being made.</w:t>
      </w:r>
      <w:r w:rsidR="000D5B63" w:rsidRPr="00925E3D">
        <w:rPr>
          <w:rFonts w:eastAsiaTheme="minorEastAsia" w:cs="Arial"/>
          <w:color w:val="000000" w:themeColor="text1"/>
          <w:szCs w:val="24"/>
        </w:rPr>
        <w:t xml:space="preserve"> </w:t>
      </w:r>
      <w:r w:rsidR="008C21A9" w:rsidRPr="00925E3D">
        <w:rPr>
          <w:rFonts w:eastAsiaTheme="minorEastAsia" w:cs="Arial"/>
          <w:color w:val="000000" w:themeColor="text1"/>
          <w:szCs w:val="24"/>
        </w:rPr>
        <w:t xml:space="preserve"> </w:t>
      </w:r>
      <w:r w:rsidR="00E734A1">
        <w:rPr>
          <w:rFonts w:eastAsiaTheme="minorEastAsia" w:cs="Arial"/>
          <w:color w:val="000000" w:themeColor="text1"/>
          <w:szCs w:val="24"/>
        </w:rPr>
        <w:t>T</w:t>
      </w:r>
      <w:r w:rsidR="00DE3A3A">
        <w:rPr>
          <w:rFonts w:eastAsiaTheme="minorEastAsia" w:cs="Arial"/>
          <w:color w:val="000000" w:themeColor="text1"/>
          <w:szCs w:val="24"/>
        </w:rPr>
        <w:t>he rate of</w:t>
      </w:r>
      <w:r w:rsidR="000B3BAB">
        <w:rPr>
          <w:rFonts w:eastAsiaTheme="minorEastAsia" w:cs="Arial"/>
          <w:color w:val="000000" w:themeColor="text1"/>
          <w:szCs w:val="24"/>
        </w:rPr>
        <w:t xml:space="preserve"> re-</w:t>
      </w:r>
      <w:r w:rsidR="00DE3A3A">
        <w:rPr>
          <w:rFonts w:eastAsiaTheme="minorEastAsia" w:cs="Arial"/>
          <w:color w:val="000000" w:themeColor="text1"/>
          <w:szCs w:val="24"/>
        </w:rPr>
        <w:t>referrals</w:t>
      </w:r>
      <w:r w:rsidR="00E734A1">
        <w:rPr>
          <w:rFonts w:eastAsiaTheme="minorEastAsia" w:cs="Arial"/>
          <w:color w:val="000000" w:themeColor="text1"/>
          <w:szCs w:val="24"/>
        </w:rPr>
        <w:t xml:space="preserve"> has remained stable at 19%.</w:t>
      </w:r>
    </w:p>
    <w:p w14:paraId="7C23F910" w14:textId="3007229C" w:rsidR="008C21A9" w:rsidRPr="00925E3D" w:rsidRDefault="00DE3A3A" w:rsidP="00065A8C">
      <w:pPr>
        <w:spacing w:after="200"/>
        <w:jc w:val="both"/>
        <w:rPr>
          <w:rFonts w:eastAsiaTheme="minorEastAsia" w:cs="Arial"/>
          <w:szCs w:val="24"/>
        </w:rPr>
      </w:pPr>
      <w:r>
        <w:rPr>
          <w:rFonts w:eastAsiaTheme="minorEastAsia" w:cs="Arial"/>
          <w:szCs w:val="24"/>
        </w:rPr>
        <w:t>Twenty five percent</w:t>
      </w:r>
      <w:r w:rsidR="008C21A9" w:rsidRPr="00925E3D">
        <w:rPr>
          <w:rFonts w:eastAsiaTheme="minorEastAsia" w:cs="Arial"/>
          <w:szCs w:val="24"/>
        </w:rPr>
        <w:t xml:space="preserve"> of assessments </w:t>
      </w:r>
      <w:r w:rsidR="00095258">
        <w:rPr>
          <w:rFonts w:eastAsiaTheme="minorEastAsia" w:cs="Arial"/>
          <w:szCs w:val="24"/>
        </w:rPr>
        <w:t xml:space="preserve">completed during the year </w:t>
      </w:r>
      <w:r w:rsidR="008C21A9" w:rsidRPr="00925E3D">
        <w:rPr>
          <w:rFonts w:eastAsiaTheme="minorEastAsia" w:cs="Arial"/>
          <w:szCs w:val="24"/>
        </w:rPr>
        <w:t>took over 45 days to complete which is highe</w:t>
      </w:r>
      <w:r>
        <w:rPr>
          <w:rFonts w:eastAsiaTheme="minorEastAsia" w:cs="Arial"/>
          <w:szCs w:val="24"/>
        </w:rPr>
        <w:t>r than all comparator averages.</w:t>
      </w:r>
    </w:p>
    <w:p w14:paraId="0B16CAAF" w14:textId="247B80D0" w:rsidR="000D5B63" w:rsidRPr="00925E3D" w:rsidRDefault="00DE3A3A" w:rsidP="00065A8C">
      <w:pPr>
        <w:jc w:val="both"/>
        <w:rPr>
          <w:rFonts w:eastAsiaTheme="minorHAnsi" w:cs="Arial"/>
          <w:szCs w:val="24"/>
          <w:lang w:eastAsia="en-US"/>
        </w:rPr>
      </w:pPr>
      <w:r>
        <w:rPr>
          <w:rFonts w:eastAsiaTheme="minorEastAsia" w:cs="Arial"/>
          <w:szCs w:val="24"/>
        </w:rPr>
        <w:lastRenderedPageBreak/>
        <w:t xml:space="preserve">The number of children looked after has </w:t>
      </w:r>
      <w:r w:rsidR="007E5669">
        <w:rPr>
          <w:rFonts w:eastAsiaTheme="minorEastAsia" w:cs="Arial"/>
          <w:szCs w:val="24"/>
        </w:rPr>
        <w:t>continued to increase</w:t>
      </w:r>
      <w:r w:rsidR="00E734A1">
        <w:rPr>
          <w:rFonts w:eastAsiaTheme="minorEastAsia" w:cs="Arial"/>
          <w:szCs w:val="24"/>
        </w:rPr>
        <w:t xml:space="preserve"> which is in line with the position across the region</w:t>
      </w:r>
      <w:r w:rsidR="007E5669">
        <w:rPr>
          <w:rFonts w:eastAsiaTheme="minorEastAsia" w:cs="Arial"/>
          <w:szCs w:val="24"/>
        </w:rPr>
        <w:t xml:space="preserve">, however </w:t>
      </w:r>
      <w:r>
        <w:rPr>
          <w:rFonts w:eastAsiaTheme="minorEastAsia" w:cs="Arial"/>
          <w:szCs w:val="24"/>
        </w:rPr>
        <w:t>t</w:t>
      </w:r>
      <w:r w:rsidR="000D5B63" w:rsidRPr="00925E3D">
        <w:rPr>
          <w:rFonts w:eastAsiaTheme="minorEastAsia" w:cs="Arial"/>
          <w:szCs w:val="24"/>
        </w:rPr>
        <w:t xml:space="preserve">he number of children in need and the number of children with child protection plans are both reducing, and the latest figures show that this trend is continuing.  </w:t>
      </w:r>
    </w:p>
    <w:p w14:paraId="046A5666" w14:textId="77777777" w:rsidR="00026433" w:rsidRPr="00925E3D" w:rsidRDefault="00026433" w:rsidP="00065A8C">
      <w:pPr>
        <w:jc w:val="both"/>
        <w:rPr>
          <w:rFonts w:eastAsiaTheme="minorEastAsia" w:cs="Arial"/>
          <w:color w:val="000000" w:themeColor="text1"/>
          <w:szCs w:val="24"/>
        </w:rPr>
      </w:pPr>
    </w:p>
    <w:p w14:paraId="38DB69FA" w14:textId="616AD835" w:rsidR="003A0BC3" w:rsidRDefault="000D5B63" w:rsidP="00065A8C">
      <w:pPr>
        <w:spacing w:after="160"/>
        <w:jc w:val="both"/>
        <w:rPr>
          <w:rFonts w:eastAsiaTheme="minorHAnsi" w:cs="Arial"/>
          <w:szCs w:val="24"/>
          <w:lang w:eastAsia="en-US"/>
        </w:rPr>
      </w:pPr>
      <w:r w:rsidRPr="00925E3D">
        <w:rPr>
          <w:rFonts w:eastAsiaTheme="minorHAnsi" w:cs="Arial"/>
          <w:szCs w:val="24"/>
          <w:lang w:eastAsia="en-US"/>
        </w:rPr>
        <w:t>The proportion of newly qualified social workers (Assessed and Supported Year in Employment) within Lancashire has continued to reduce</w:t>
      </w:r>
      <w:r w:rsidR="00C83113" w:rsidRPr="00925E3D">
        <w:rPr>
          <w:rFonts w:eastAsiaTheme="minorHAnsi" w:cs="Arial"/>
          <w:szCs w:val="24"/>
          <w:lang w:eastAsia="en-US"/>
        </w:rPr>
        <w:t xml:space="preserve"> </w:t>
      </w:r>
      <w:r w:rsidRPr="00925E3D">
        <w:rPr>
          <w:rFonts w:eastAsiaTheme="minorHAnsi" w:cs="Arial"/>
          <w:szCs w:val="24"/>
          <w:lang w:eastAsia="en-US"/>
        </w:rPr>
        <w:t>which indicates that retention of newly qualified staff is improving</w:t>
      </w:r>
      <w:r w:rsidR="00DE3A3A">
        <w:rPr>
          <w:rFonts w:eastAsiaTheme="minorHAnsi" w:cs="Arial"/>
          <w:szCs w:val="24"/>
          <w:lang w:eastAsia="en-US"/>
        </w:rPr>
        <w:t xml:space="preserve"> with people staying </w:t>
      </w:r>
      <w:r w:rsidR="00C83113" w:rsidRPr="00925E3D">
        <w:rPr>
          <w:rFonts w:eastAsiaTheme="minorHAnsi" w:cs="Arial"/>
          <w:szCs w:val="24"/>
          <w:lang w:eastAsia="en-US"/>
        </w:rPr>
        <w:t>with us as they gain experience</w:t>
      </w:r>
      <w:r w:rsidR="00DE3A3A">
        <w:rPr>
          <w:rFonts w:eastAsiaTheme="minorHAnsi" w:cs="Arial"/>
          <w:szCs w:val="24"/>
          <w:lang w:eastAsia="en-US"/>
        </w:rPr>
        <w:t>.  This</w:t>
      </w:r>
      <w:r w:rsidR="00C83113" w:rsidRPr="00925E3D">
        <w:rPr>
          <w:rFonts w:eastAsiaTheme="minorHAnsi" w:cs="Arial"/>
          <w:color w:val="000000" w:themeColor="text1"/>
          <w:szCs w:val="24"/>
          <w:lang w:eastAsia="en-US"/>
        </w:rPr>
        <w:t xml:space="preserve"> reflects the support that is now provided to A</w:t>
      </w:r>
      <w:r w:rsidR="006A7668">
        <w:rPr>
          <w:rFonts w:eastAsiaTheme="minorHAnsi" w:cs="Arial"/>
          <w:color w:val="000000" w:themeColor="text1"/>
          <w:szCs w:val="24"/>
          <w:lang w:eastAsia="en-US"/>
        </w:rPr>
        <w:t xml:space="preserve">ssessed and </w:t>
      </w:r>
      <w:r w:rsidR="00C83113" w:rsidRPr="00925E3D">
        <w:rPr>
          <w:rFonts w:eastAsiaTheme="minorHAnsi" w:cs="Arial"/>
          <w:color w:val="000000" w:themeColor="text1"/>
          <w:szCs w:val="24"/>
          <w:lang w:eastAsia="en-US"/>
        </w:rPr>
        <w:t>S</w:t>
      </w:r>
      <w:r w:rsidR="006A7668">
        <w:rPr>
          <w:rFonts w:eastAsiaTheme="minorHAnsi" w:cs="Arial"/>
          <w:color w:val="000000" w:themeColor="text1"/>
          <w:szCs w:val="24"/>
          <w:lang w:eastAsia="en-US"/>
        </w:rPr>
        <w:t xml:space="preserve">upported </w:t>
      </w:r>
      <w:r w:rsidR="00C83113" w:rsidRPr="00925E3D">
        <w:rPr>
          <w:rFonts w:eastAsiaTheme="minorHAnsi" w:cs="Arial"/>
          <w:color w:val="000000" w:themeColor="text1"/>
          <w:szCs w:val="24"/>
          <w:lang w:eastAsia="en-US"/>
        </w:rPr>
        <w:t>Y</w:t>
      </w:r>
      <w:r w:rsidR="006A7668">
        <w:rPr>
          <w:rFonts w:eastAsiaTheme="minorHAnsi" w:cs="Arial"/>
          <w:color w:val="000000" w:themeColor="text1"/>
          <w:szCs w:val="24"/>
          <w:lang w:eastAsia="en-US"/>
        </w:rPr>
        <w:t xml:space="preserve">ear in </w:t>
      </w:r>
      <w:r w:rsidR="00C83113" w:rsidRPr="00925E3D">
        <w:rPr>
          <w:rFonts w:eastAsiaTheme="minorHAnsi" w:cs="Arial"/>
          <w:color w:val="000000" w:themeColor="text1"/>
          <w:szCs w:val="24"/>
          <w:lang w:eastAsia="en-US"/>
        </w:rPr>
        <w:t>E</w:t>
      </w:r>
      <w:r w:rsidR="006A7668">
        <w:rPr>
          <w:rFonts w:eastAsiaTheme="minorHAnsi" w:cs="Arial"/>
          <w:color w:val="000000" w:themeColor="text1"/>
          <w:szCs w:val="24"/>
          <w:lang w:eastAsia="en-US"/>
        </w:rPr>
        <w:t>mployment Social Workers,</w:t>
      </w:r>
      <w:r w:rsidR="00C83113" w:rsidRPr="00925E3D">
        <w:rPr>
          <w:rFonts w:eastAsiaTheme="minorHAnsi" w:cs="Arial"/>
          <w:color w:val="000000" w:themeColor="text1"/>
          <w:szCs w:val="24"/>
          <w:lang w:eastAsia="en-US"/>
        </w:rPr>
        <w:t xml:space="preserve"> by Advanced Practitio</w:t>
      </w:r>
      <w:r w:rsidR="007E5669">
        <w:rPr>
          <w:rFonts w:eastAsiaTheme="minorHAnsi" w:cs="Arial"/>
          <w:color w:val="000000" w:themeColor="text1"/>
          <w:szCs w:val="24"/>
          <w:lang w:eastAsia="en-US"/>
        </w:rPr>
        <w:t>ners and the Social Work Academy</w:t>
      </w:r>
      <w:r w:rsidR="00C83113" w:rsidRPr="00925E3D">
        <w:rPr>
          <w:rFonts w:eastAsiaTheme="minorHAnsi" w:cs="Arial"/>
          <w:color w:val="000000" w:themeColor="text1"/>
          <w:szCs w:val="24"/>
          <w:lang w:eastAsia="en-US"/>
        </w:rPr>
        <w:t>.</w:t>
      </w:r>
      <w:r w:rsidR="00DE3A3A">
        <w:rPr>
          <w:rFonts w:eastAsiaTheme="minorHAnsi" w:cs="Arial"/>
          <w:color w:val="000000" w:themeColor="text1"/>
          <w:szCs w:val="24"/>
          <w:lang w:eastAsia="en-US"/>
        </w:rPr>
        <w:t xml:space="preserve"> </w:t>
      </w:r>
      <w:r w:rsidR="007E5669">
        <w:rPr>
          <w:rFonts w:eastAsiaTheme="minorHAnsi" w:cs="Arial"/>
          <w:color w:val="000000" w:themeColor="text1"/>
          <w:szCs w:val="24"/>
          <w:lang w:eastAsia="en-US"/>
        </w:rPr>
        <w:t xml:space="preserve"> </w:t>
      </w:r>
      <w:r w:rsidRPr="00925E3D">
        <w:rPr>
          <w:rFonts w:eastAsiaTheme="minorHAnsi" w:cs="Arial"/>
          <w:szCs w:val="24"/>
          <w:lang w:eastAsia="en-US"/>
        </w:rPr>
        <w:t xml:space="preserve">The proportion of social workers with over three years' experience has improved indicating that experienced staff are </w:t>
      </w:r>
      <w:r w:rsidR="00C83113" w:rsidRPr="00925E3D">
        <w:rPr>
          <w:rFonts w:eastAsiaTheme="minorHAnsi" w:cs="Arial"/>
          <w:szCs w:val="24"/>
          <w:lang w:eastAsia="en-US"/>
        </w:rPr>
        <w:t xml:space="preserve">also </w:t>
      </w:r>
      <w:r w:rsidRPr="00925E3D">
        <w:rPr>
          <w:rFonts w:eastAsiaTheme="minorHAnsi" w:cs="Arial"/>
          <w:szCs w:val="24"/>
          <w:lang w:eastAsia="en-US"/>
        </w:rPr>
        <w:t xml:space="preserve">being retained. </w:t>
      </w:r>
      <w:r w:rsidR="007E5669">
        <w:rPr>
          <w:rFonts w:eastAsiaTheme="minorHAnsi" w:cs="Arial"/>
          <w:szCs w:val="24"/>
          <w:lang w:eastAsia="en-US"/>
        </w:rPr>
        <w:t xml:space="preserve"> </w:t>
      </w:r>
      <w:r w:rsidRPr="00925E3D">
        <w:rPr>
          <w:rFonts w:eastAsiaTheme="minorHAnsi" w:cs="Arial"/>
          <w:szCs w:val="24"/>
          <w:lang w:eastAsia="en-US"/>
        </w:rPr>
        <w:t>The average caseload</w:t>
      </w:r>
      <w:r w:rsidR="00095258">
        <w:rPr>
          <w:rFonts w:eastAsiaTheme="minorHAnsi" w:cs="Arial"/>
          <w:szCs w:val="24"/>
          <w:lang w:eastAsia="en-US"/>
        </w:rPr>
        <w:t xml:space="preserve"> for all social workers remains</w:t>
      </w:r>
      <w:r w:rsidRPr="00925E3D">
        <w:rPr>
          <w:rFonts w:eastAsiaTheme="minorHAnsi" w:cs="Arial"/>
          <w:szCs w:val="24"/>
          <w:lang w:eastAsia="en-US"/>
        </w:rPr>
        <w:t xml:space="preserve"> comparatively good.</w:t>
      </w:r>
    </w:p>
    <w:p w14:paraId="262707D1" w14:textId="77777777" w:rsidR="007E5669" w:rsidRPr="007E5669" w:rsidRDefault="007E5669" w:rsidP="007E5669">
      <w:pPr>
        <w:pStyle w:val="NoSpacing"/>
        <w:rPr>
          <w:rFonts w:eastAsiaTheme="minorHAnsi"/>
          <w:lang w:eastAsia="en-US"/>
        </w:rPr>
      </w:pPr>
    </w:p>
    <w:tbl>
      <w:tblPr>
        <w:tblW w:w="9771" w:type="dxa"/>
        <w:tblLayout w:type="fixed"/>
        <w:tblLook w:val="04A0" w:firstRow="1" w:lastRow="0" w:firstColumn="1" w:lastColumn="0" w:noHBand="0" w:noVBand="1"/>
      </w:tblPr>
      <w:tblGrid>
        <w:gridCol w:w="5349"/>
        <w:gridCol w:w="1322"/>
        <w:gridCol w:w="967"/>
        <w:gridCol w:w="967"/>
        <w:gridCol w:w="1166"/>
      </w:tblGrid>
      <w:tr w:rsidR="004D3C78" w:rsidRPr="002B5EE5" w14:paraId="5E2BD763" w14:textId="7A1A533E" w:rsidTr="008762C0">
        <w:trPr>
          <w:trHeight w:val="278"/>
        </w:trPr>
        <w:tc>
          <w:tcPr>
            <w:tcW w:w="534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A26558" w14:textId="77777777" w:rsidR="004D3C78" w:rsidRPr="002B5EE5" w:rsidRDefault="004D3C78" w:rsidP="00CF2E88">
            <w:pPr>
              <w:rPr>
                <w:rFonts w:cs="Arial"/>
                <w:b/>
                <w:bCs/>
                <w:color w:val="000000"/>
                <w:sz w:val="18"/>
                <w:szCs w:val="18"/>
              </w:rPr>
            </w:pPr>
            <w:r w:rsidRPr="002B5EE5">
              <w:rPr>
                <w:rFonts w:cs="Arial"/>
                <w:b/>
                <w:bCs/>
                <w:color w:val="000000"/>
                <w:sz w:val="18"/>
                <w:szCs w:val="18"/>
              </w:rPr>
              <w:t>Performance Measure</w:t>
            </w:r>
          </w:p>
        </w:tc>
        <w:tc>
          <w:tcPr>
            <w:tcW w:w="1322" w:type="dxa"/>
            <w:tcBorders>
              <w:top w:val="single" w:sz="8" w:space="0" w:color="auto"/>
              <w:left w:val="nil"/>
              <w:bottom w:val="single" w:sz="8" w:space="0" w:color="auto"/>
              <w:right w:val="single" w:sz="8" w:space="0" w:color="auto"/>
            </w:tcBorders>
            <w:shd w:val="clear" w:color="000000" w:fill="D9D9D9"/>
            <w:vAlign w:val="center"/>
            <w:hideMark/>
          </w:tcPr>
          <w:p w14:paraId="3316B6C4" w14:textId="77777777" w:rsidR="004D3C78" w:rsidRPr="002B5EE5" w:rsidRDefault="004D3C78" w:rsidP="002B5EE5">
            <w:pPr>
              <w:jc w:val="center"/>
              <w:rPr>
                <w:rFonts w:cs="Arial"/>
                <w:b/>
                <w:bCs/>
                <w:color w:val="000000"/>
                <w:sz w:val="18"/>
                <w:szCs w:val="18"/>
              </w:rPr>
            </w:pPr>
            <w:r w:rsidRPr="002B5EE5">
              <w:rPr>
                <w:rFonts w:cs="Arial"/>
                <w:b/>
                <w:bCs/>
                <w:color w:val="000000"/>
                <w:sz w:val="18"/>
                <w:szCs w:val="18"/>
              </w:rPr>
              <w:t>Good is High or Low</w:t>
            </w:r>
          </w:p>
        </w:tc>
        <w:tc>
          <w:tcPr>
            <w:tcW w:w="967" w:type="dxa"/>
            <w:tcBorders>
              <w:top w:val="single" w:sz="8" w:space="0" w:color="auto"/>
              <w:left w:val="nil"/>
              <w:bottom w:val="single" w:sz="8" w:space="0" w:color="auto"/>
              <w:right w:val="single" w:sz="8" w:space="0" w:color="auto"/>
            </w:tcBorders>
            <w:shd w:val="clear" w:color="000000" w:fill="D9D9D9"/>
            <w:noWrap/>
            <w:vAlign w:val="center"/>
            <w:hideMark/>
          </w:tcPr>
          <w:p w14:paraId="096E3B5C" w14:textId="77777777" w:rsidR="004D3C78" w:rsidRPr="002B5EE5" w:rsidRDefault="004D3C78" w:rsidP="002B5EE5">
            <w:pPr>
              <w:jc w:val="center"/>
              <w:rPr>
                <w:rFonts w:cs="Arial"/>
                <w:b/>
                <w:bCs/>
                <w:color w:val="000000"/>
                <w:sz w:val="18"/>
                <w:szCs w:val="18"/>
              </w:rPr>
            </w:pPr>
            <w:r w:rsidRPr="002B5EE5">
              <w:rPr>
                <w:rFonts w:cs="Arial"/>
                <w:b/>
                <w:bCs/>
                <w:color w:val="000000"/>
                <w:sz w:val="18"/>
                <w:szCs w:val="18"/>
              </w:rPr>
              <w:t>2016/17</w:t>
            </w:r>
          </w:p>
        </w:tc>
        <w:tc>
          <w:tcPr>
            <w:tcW w:w="9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2680E7" w14:textId="77777777" w:rsidR="004D3C78" w:rsidRPr="002B5EE5" w:rsidRDefault="004D3C78" w:rsidP="002B5EE5">
            <w:pPr>
              <w:jc w:val="center"/>
              <w:rPr>
                <w:rFonts w:cs="Arial"/>
                <w:b/>
                <w:bCs/>
                <w:color w:val="000000"/>
                <w:sz w:val="18"/>
                <w:szCs w:val="18"/>
              </w:rPr>
            </w:pPr>
            <w:r w:rsidRPr="002B5EE5">
              <w:rPr>
                <w:rFonts w:cs="Arial"/>
                <w:b/>
                <w:bCs/>
                <w:color w:val="000000"/>
                <w:sz w:val="18"/>
                <w:szCs w:val="18"/>
              </w:rPr>
              <w:t>2017/18</w:t>
            </w:r>
          </w:p>
        </w:tc>
        <w:tc>
          <w:tcPr>
            <w:tcW w:w="1166" w:type="dxa"/>
            <w:tcBorders>
              <w:top w:val="single" w:sz="8" w:space="0" w:color="auto"/>
              <w:left w:val="single" w:sz="8" w:space="0" w:color="auto"/>
              <w:bottom w:val="single" w:sz="8" w:space="0" w:color="auto"/>
              <w:right w:val="single" w:sz="8" w:space="0" w:color="auto"/>
            </w:tcBorders>
            <w:shd w:val="clear" w:color="000000" w:fill="D9D9D9"/>
            <w:vAlign w:val="center"/>
          </w:tcPr>
          <w:p w14:paraId="5EF8631D" w14:textId="59F2B5A3" w:rsidR="004D3C78" w:rsidRPr="002B5EE5" w:rsidRDefault="004D3C78" w:rsidP="00CF2E88">
            <w:pPr>
              <w:rPr>
                <w:rFonts w:cs="Arial"/>
                <w:b/>
                <w:bCs/>
                <w:color w:val="000000"/>
                <w:sz w:val="18"/>
                <w:szCs w:val="18"/>
              </w:rPr>
            </w:pPr>
            <w:r>
              <w:rPr>
                <w:rFonts w:cs="Arial"/>
                <w:b/>
                <w:bCs/>
                <w:color w:val="000000"/>
                <w:sz w:val="18"/>
                <w:szCs w:val="18"/>
              </w:rPr>
              <w:t>England Average</w:t>
            </w:r>
          </w:p>
        </w:tc>
      </w:tr>
      <w:tr w:rsidR="004D3C78" w:rsidRPr="002B5EE5" w14:paraId="7F2AB81E" w14:textId="79FF3775" w:rsidTr="008762C0">
        <w:trPr>
          <w:trHeight w:val="60"/>
        </w:trPr>
        <w:tc>
          <w:tcPr>
            <w:tcW w:w="9771" w:type="dxa"/>
            <w:gridSpan w:val="5"/>
            <w:tcBorders>
              <w:top w:val="single" w:sz="8" w:space="0" w:color="auto"/>
              <w:left w:val="single" w:sz="8" w:space="0" w:color="auto"/>
              <w:bottom w:val="single" w:sz="8" w:space="0" w:color="auto"/>
              <w:right w:val="single" w:sz="8" w:space="0" w:color="auto"/>
            </w:tcBorders>
            <w:shd w:val="clear" w:color="000000" w:fill="D9D9D9"/>
            <w:vAlign w:val="center"/>
          </w:tcPr>
          <w:p w14:paraId="4EFF813C" w14:textId="28E8C7A7" w:rsidR="004D3C78" w:rsidRPr="002B5EE5" w:rsidRDefault="004D3C78" w:rsidP="004D3C78">
            <w:pPr>
              <w:rPr>
                <w:rFonts w:cs="Arial"/>
                <w:b/>
                <w:bCs/>
                <w:color w:val="000000"/>
                <w:sz w:val="18"/>
                <w:szCs w:val="18"/>
              </w:rPr>
            </w:pPr>
            <w:r>
              <w:rPr>
                <w:rFonts w:cs="Arial"/>
                <w:b/>
                <w:bCs/>
                <w:color w:val="000000"/>
                <w:sz w:val="18"/>
                <w:szCs w:val="18"/>
              </w:rPr>
              <w:t>Adoptions</w:t>
            </w:r>
          </w:p>
        </w:tc>
      </w:tr>
      <w:tr w:rsidR="000A3959" w:rsidRPr="002B5EE5" w14:paraId="5B65BC9F" w14:textId="3B0DACD8" w:rsidTr="008762C0">
        <w:trPr>
          <w:trHeight w:val="304"/>
        </w:trPr>
        <w:tc>
          <w:tcPr>
            <w:tcW w:w="5349" w:type="dxa"/>
            <w:tcBorders>
              <w:top w:val="nil"/>
              <w:left w:val="single" w:sz="8" w:space="0" w:color="auto"/>
              <w:bottom w:val="nil"/>
              <w:right w:val="single" w:sz="8" w:space="0" w:color="auto"/>
            </w:tcBorders>
            <w:shd w:val="clear" w:color="auto" w:fill="auto"/>
            <w:hideMark/>
          </w:tcPr>
          <w:p w14:paraId="42B74ACB" w14:textId="77777777" w:rsidR="000A3959" w:rsidRPr="002B5EE5" w:rsidRDefault="000A3959" w:rsidP="00CF2E88">
            <w:pPr>
              <w:jc w:val="center"/>
              <w:rPr>
                <w:rFonts w:cs="Arial"/>
                <w:color w:val="000000"/>
                <w:sz w:val="18"/>
                <w:szCs w:val="18"/>
              </w:rPr>
            </w:pPr>
            <w:r w:rsidRPr="002B5EE5">
              <w:rPr>
                <w:rFonts w:cs="Arial"/>
                <w:color w:val="000000"/>
                <w:sz w:val="18"/>
                <w:szCs w:val="18"/>
              </w:rPr>
              <w:t>Average time between a child entering care and moving in with their adoptive family, for children who have been adopted (days)</w:t>
            </w:r>
          </w:p>
        </w:tc>
        <w:tc>
          <w:tcPr>
            <w:tcW w:w="1322" w:type="dxa"/>
            <w:tcBorders>
              <w:top w:val="nil"/>
              <w:left w:val="nil"/>
              <w:bottom w:val="nil"/>
              <w:right w:val="single" w:sz="8" w:space="0" w:color="auto"/>
            </w:tcBorders>
            <w:shd w:val="clear" w:color="auto" w:fill="auto"/>
            <w:hideMark/>
          </w:tcPr>
          <w:p w14:paraId="0CBD32AE" w14:textId="77777777" w:rsidR="000A3959" w:rsidRPr="002B5EE5" w:rsidRDefault="000A3959" w:rsidP="00CF2E88">
            <w:pPr>
              <w:jc w:val="center"/>
              <w:rPr>
                <w:rFonts w:cs="Arial"/>
                <w:color w:val="000000"/>
                <w:sz w:val="18"/>
                <w:szCs w:val="18"/>
              </w:rPr>
            </w:pPr>
            <w:r w:rsidRPr="002B5EE5">
              <w:rPr>
                <w:rFonts w:cs="Arial"/>
                <w:color w:val="000000"/>
                <w:sz w:val="18"/>
                <w:szCs w:val="18"/>
              </w:rPr>
              <w:t>L</w:t>
            </w:r>
          </w:p>
        </w:tc>
        <w:tc>
          <w:tcPr>
            <w:tcW w:w="967" w:type="dxa"/>
            <w:tcBorders>
              <w:top w:val="nil"/>
              <w:left w:val="nil"/>
              <w:bottom w:val="nil"/>
              <w:right w:val="single" w:sz="8" w:space="0" w:color="auto"/>
            </w:tcBorders>
            <w:shd w:val="clear" w:color="000000" w:fill="FFFFFF"/>
            <w:noWrap/>
            <w:hideMark/>
          </w:tcPr>
          <w:p w14:paraId="514DE406" w14:textId="77777777" w:rsidR="000A3959" w:rsidRPr="002B5EE5" w:rsidRDefault="000A3959" w:rsidP="00CF2E88">
            <w:pPr>
              <w:jc w:val="center"/>
              <w:rPr>
                <w:rFonts w:cs="Arial"/>
                <w:color w:val="000000"/>
                <w:sz w:val="18"/>
                <w:szCs w:val="18"/>
              </w:rPr>
            </w:pPr>
            <w:r w:rsidRPr="002B5EE5">
              <w:rPr>
                <w:rFonts w:cs="Arial"/>
                <w:color w:val="000000"/>
                <w:sz w:val="18"/>
                <w:szCs w:val="18"/>
              </w:rPr>
              <w:t>489</w:t>
            </w:r>
          </w:p>
        </w:tc>
        <w:tc>
          <w:tcPr>
            <w:tcW w:w="967" w:type="dxa"/>
            <w:tcBorders>
              <w:top w:val="nil"/>
              <w:left w:val="nil"/>
              <w:bottom w:val="nil"/>
              <w:right w:val="single" w:sz="8" w:space="0" w:color="auto"/>
            </w:tcBorders>
            <w:shd w:val="clear" w:color="000000" w:fill="D8E4BC"/>
            <w:noWrap/>
            <w:hideMark/>
          </w:tcPr>
          <w:p w14:paraId="6A9E7119" w14:textId="77777777" w:rsidR="000A3959" w:rsidRPr="002B5EE5" w:rsidRDefault="000A3959" w:rsidP="00CF2E88">
            <w:pPr>
              <w:jc w:val="center"/>
              <w:rPr>
                <w:rFonts w:cs="Arial"/>
                <w:color w:val="000000"/>
                <w:sz w:val="18"/>
                <w:szCs w:val="18"/>
              </w:rPr>
            </w:pPr>
            <w:r w:rsidRPr="002B5EE5">
              <w:rPr>
                <w:rFonts w:cs="Arial"/>
                <w:color w:val="000000"/>
                <w:sz w:val="18"/>
                <w:szCs w:val="18"/>
              </w:rPr>
              <w:t>426</w:t>
            </w:r>
          </w:p>
        </w:tc>
        <w:tc>
          <w:tcPr>
            <w:tcW w:w="1166" w:type="dxa"/>
            <w:tcBorders>
              <w:top w:val="nil"/>
              <w:left w:val="nil"/>
              <w:bottom w:val="single" w:sz="8" w:space="0" w:color="auto"/>
              <w:right w:val="single" w:sz="8" w:space="0" w:color="auto"/>
            </w:tcBorders>
          </w:tcPr>
          <w:p w14:paraId="4AA5A31E" w14:textId="77777777" w:rsidR="008762C0" w:rsidRDefault="000A3959" w:rsidP="00CF2E88">
            <w:pPr>
              <w:jc w:val="center"/>
              <w:rPr>
                <w:color w:val="000000"/>
                <w:sz w:val="18"/>
                <w:szCs w:val="18"/>
              </w:rPr>
            </w:pPr>
            <w:r>
              <w:rPr>
                <w:color w:val="000000"/>
                <w:sz w:val="18"/>
                <w:szCs w:val="18"/>
              </w:rPr>
              <w:t xml:space="preserve">520 </w:t>
            </w:r>
          </w:p>
          <w:p w14:paraId="16ACB057" w14:textId="4F6F9C1A" w:rsidR="000A3959" w:rsidRPr="002B5EE5" w:rsidRDefault="000A3959" w:rsidP="00CF2E88">
            <w:pPr>
              <w:jc w:val="center"/>
              <w:rPr>
                <w:rFonts w:cs="Arial"/>
                <w:color w:val="000000"/>
                <w:sz w:val="18"/>
                <w:szCs w:val="18"/>
              </w:rPr>
            </w:pPr>
            <w:r>
              <w:rPr>
                <w:color w:val="000000"/>
                <w:sz w:val="18"/>
                <w:szCs w:val="18"/>
              </w:rPr>
              <w:t>(2014-17)</w:t>
            </w:r>
          </w:p>
        </w:tc>
      </w:tr>
      <w:tr w:rsidR="000A3959" w:rsidRPr="002B5EE5" w14:paraId="45F73A97" w14:textId="79F5B339" w:rsidTr="008762C0">
        <w:trPr>
          <w:trHeight w:val="283"/>
        </w:trPr>
        <w:tc>
          <w:tcPr>
            <w:tcW w:w="5349" w:type="dxa"/>
            <w:tcBorders>
              <w:top w:val="single" w:sz="8" w:space="0" w:color="auto"/>
              <w:left w:val="single" w:sz="8" w:space="0" w:color="auto"/>
              <w:bottom w:val="single" w:sz="8" w:space="0" w:color="auto"/>
              <w:right w:val="single" w:sz="8" w:space="0" w:color="auto"/>
            </w:tcBorders>
            <w:shd w:val="clear" w:color="auto" w:fill="auto"/>
            <w:hideMark/>
          </w:tcPr>
          <w:p w14:paraId="69021938" w14:textId="77777777" w:rsidR="000A3959" w:rsidRPr="002B5EE5" w:rsidRDefault="000A3959" w:rsidP="00CF2E88">
            <w:pPr>
              <w:rPr>
                <w:rFonts w:cs="Arial"/>
                <w:color w:val="000000"/>
                <w:sz w:val="18"/>
                <w:szCs w:val="18"/>
              </w:rPr>
            </w:pPr>
            <w:r w:rsidRPr="002B5EE5">
              <w:rPr>
                <w:rFonts w:cs="Arial"/>
                <w:color w:val="000000"/>
                <w:sz w:val="18"/>
                <w:szCs w:val="18"/>
              </w:rPr>
              <w:t>Days between a local authority receiving court authority to place a child and the local authority deciding  on a match to an adoptive family (days)</w:t>
            </w:r>
          </w:p>
        </w:tc>
        <w:tc>
          <w:tcPr>
            <w:tcW w:w="1322" w:type="dxa"/>
            <w:tcBorders>
              <w:top w:val="single" w:sz="8" w:space="0" w:color="auto"/>
              <w:left w:val="nil"/>
              <w:bottom w:val="single" w:sz="4" w:space="0" w:color="auto"/>
              <w:right w:val="single" w:sz="8" w:space="0" w:color="auto"/>
            </w:tcBorders>
            <w:shd w:val="clear" w:color="auto" w:fill="auto"/>
            <w:hideMark/>
          </w:tcPr>
          <w:p w14:paraId="108E640B" w14:textId="77777777" w:rsidR="000A3959" w:rsidRPr="002B5EE5" w:rsidRDefault="000A3959" w:rsidP="00CF2E88">
            <w:pPr>
              <w:jc w:val="center"/>
              <w:rPr>
                <w:rFonts w:cs="Arial"/>
                <w:color w:val="000000"/>
                <w:sz w:val="18"/>
                <w:szCs w:val="18"/>
              </w:rPr>
            </w:pPr>
            <w:r w:rsidRPr="002B5EE5">
              <w:rPr>
                <w:rFonts w:cs="Arial"/>
                <w:color w:val="000000"/>
                <w:sz w:val="18"/>
                <w:szCs w:val="18"/>
              </w:rPr>
              <w:t>L</w:t>
            </w:r>
          </w:p>
        </w:tc>
        <w:tc>
          <w:tcPr>
            <w:tcW w:w="967" w:type="dxa"/>
            <w:tcBorders>
              <w:top w:val="single" w:sz="8" w:space="0" w:color="auto"/>
              <w:left w:val="nil"/>
              <w:bottom w:val="single" w:sz="4" w:space="0" w:color="auto"/>
              <w:right w:val="single" w:sz="8" w:space="0" w:color="auto"/>
            </w:tcBorders>
            <w:shd w:val="clear" w:color="000000" w:fill="FFFFFF"/>
            <w:noWrap/>
            <w:hideMark/>
          </w:tcPr>
          <w:p w14:paraId="41A0C6A6" w14:textId="77777777" w:rsidR="000A3959" w:rsidRPr="002B5EE5" w:rsidRDefault="000A3959" w:rsidP="00CF2E88">
            <w:pPr>
              <w:jc w:val="center"/>
              <w:rPr>
                <w:rFonts w:cs="Arial"/>
                <w:color w:val="000000"/>
                <w:sz w:val="18"/>
                <w:szCs w:val="18"/>
              </w:rPr>
            </w:pPr>
            <w:r w:rsidRPr="002B5EE5">
              <w:rPr>
                <w:rFonts w:cs="Arial"/>
                <w:color w:val="000000"/>
                <w:sz w:val="18"/>
                <w:szCs w:val="18"/>
              </w:rPr>
              <w:t>236</w:t>
            </w:r>
          </w:p>
        </w:tc>
        <w:tc>
          <w:tcPr>
            <w:tcW w:w="967" w:type="dxa"/>
            <w:tcBorders>
              <w:top w:val="single" w:sz="8" w:space="0" w:color="auto"/>
              <w:left w:val="nil"/>
              <w:bottom w:val="single" w:sz="4" w:space="0" w:color="auto"/>
              <w:right w:val="single" w:sz="8" w:space="0" w:color="auto"/>
            </w:tcBorders>
            <w:shd w:val="clear" w:color="000000" w:fill="D8E4BC"/>
            <w:noWrap/>
            <w:hideMark/>
          </w:tcPr>
          <w:p w14:paraId="51084977" w14:textId="77777777" w:rsidR="000A3959" w:rsidRPr="002B5EE5" w:rsidRDefault="000A3959" w:rsidP="00CF2E88">
            <w:pPr>
              <w:jc w:val="center"/>
              <w:rPr>
                <w:rFonts w:cs="Arial"/>
                <w:color w:val="000000"/>
                <w:sz w:val="18"/>
                <w:szCs w:val="18"/>
              </w:rPr>
            </w:pPr>
            <w:r w:rsidRPr="002B5EE5">
              <w:rPr>
                <w:rFonts w:cs="Arial"/>
                <w:color w:val="000000"/>
                <w:sz w:val="18"/>
                <w:szCs w:val="18"/>
              </w:rPr>
              <w:t>156</w:t>
            </w:r>
          </w:p>
        </w:tc>
        <w:tc>
          <w:tcPr>
            <w:tcW w:w="1166" w:type="dxa"/>
            <w:tcBorders>
              <w:top w:val="nil"/>
              <w:left w:val="nil"/>
              <w:bottom w:val="single" w:sz="8" w:space="0" w:color="auto"/>
              <w:right w:val="single" w:sz="8" w:space="0" w:color="auto"/>
            </w:tcBorders>
          </w:tcPr>
          <w:p w14:paraId="07C47900" w14:textId="77777777" w:rsidR="008762C0" w:rsidRDefault="000A3959" w:rsidP="00CF2E88">
            <w:pPr>
              <w:jc w:val="center"/>
              <w:rPr>
                <w:color w:val="000000"/>
                <w:sz w:val="18"/>
                <w:szCs w:val="18"/>
              </w:rPr>
            </w:pPr>
            <w:r>
              <w:rPr>
                <w:color w:val="000000"/>
                <w:sz w:val="18"/>
                <w:szCs w:val="18"/>
              </w:rPr>
              <w:t xml:space="preserve">220 </w:t>
            </w:r>
          </w:p>
          <w:p w14:paraId="61E985B2" w14:textId="1762A987" w:rsidR="000A3959" w:rsidRPr="002B5EE5" w:rsidRDefault="000A3959" w:rsidP="00CF2E88">
            <w:pPr>
              <w:jc w:val="center"/>
              <w:rPr>
                <w:rFonts w:cs="Arial"/>
                <w:color w:val="000000"/>
                <w:sz w:val="18"/>
                <w:szCs w:val="18"/>
              </w:rPr>
            </w:pPr>
            <w:r>
              <w:rPr>
                <w:color w:val="000000"/>
                <w:sz w:val="18"/>
                <w:szCs w:val="18"/>
              </w:rPr>
              <w:t>(2014-17)</w:t>
            </w:r>
          </w:p>
        </w:tc>
      </w:tr>
    </w:tbl>
    <w:p w14:paraId="77138FD3" w14:textId="77777777" w:rsidR="00925E3D" w:rsidRDefault="00925E3D" w:rsidP="00026433">
      <w:pPr>
        <w:pStyle w:val="NoSpacing"/>
        <w:jc w:val="both"/>
        <w:rPr>
          <w:rFonts w:ascii="Arial" w:eastAsiaTheme="minorHAnsi" w:hAnsi="Arial" w:cs="Arial"/>
          <w:i/>
          <w:color w:val="000000" w:themeColor="text1"/>
          <w:lang w:eastAsia="en-US"/>
        </w:rPr>
      </w:pPr>
    </w:p>
    <w:p w14:paraId="00262AA2" w14:textId="77777777" w:rsidR="004D3C78" w:rsidRDefault="004D3C78" w:rsidP="004D3C78">
      <w:pPr>
        <w:pStyle w:val="NoSpacing"/>
        <w:rPr>
          <w:rFonts w:ascii="Arial" w:eastAsiaTheme="minorHAnsi" w:hAnsi="Arial" w:cs="Arial"/>
          <w:i/>
          <w:color w:val="000000" w:themeColor="text1"/>
          <w:sz w:val="24"/>
          <w:szCs w:val="24"/>
          <w:lang w:eastAsia="en-US"/>
        </w:rPr>
      </w:pPr>
      <w:r w:rsidRPr="00925E3D">
        <w:rPr>
          <w:rFonts w:ascii="Arial" w:eastAsiaTheme="minorHAnsi" w:hAnsi="Arial" w:cs="Arial"/>
          <w:i/>
          <w:color w:val="000000" w:themeColor="text1"/>
          <w:sz w:val="24"/>
          <w:szCs w:val="24"/>
          <w:lang w:eastAsia="en-US"/>
        </w:rPr>
        <w:t>Adoptions</w:t>
      </w:r>
    </w:p>
    <w:p w14:paraId="5AF547E3" w14:textId="77777777" w:rsidR="006A7668" w:rsidRPr="00925E3D" w:rsidRDefault="006A7668" w:rsidP="004D3C78">
      <w:pPr>
        <w:pStyle w:val="NoSpacing"/>
        <w:rPr>
          <w:rFonts w:ascii="Arial" w:eastAsiaTheme="minorHAnsi" w:hAnsi="Arial" w:cs="Arial"/>
          <w:i/>
          <w:color w:val="000000" w:themeColor="text1"/>
          <w:sz w:val="24"/>
          <w:szCs w:val="24"/>
          <w:lang w:eastAsia="en-US"/>
        </w:rPr>
      </w:pPr>
    </w:p>
    <w:p w14:paraId="5D1F747E" w14:textId="006185D1" w:rsidR="00F966E6" w:rsidRDefault="004D3C78" w:rsidP="00FB2A23">
      <w:pPr>
        <w:pStyle w:val="NoSpacing"/>
        <w:jc w:val="both"/>
        <w:rPr>
          <w:rFonts w:ascii="Arial" w:eastAsiaTheme="minorHAnsi" w:hAnsi="Arial" w:cs="Arial"/>
          <w:sz w:val="24"/>
          <w:szCs w:val="24"/>
          <w:lang w:eastAsia="en-US"/>
        </w:rPr>
      </w:pPr>
      <w:r w:rsidRPr="00925E3D">
        <w:rPr>
          <w:rFonts w:ascii="Arial" w:eastAsiaTheme="minorHAnsi" w:hAnsi="Arial" w:cs="Arial"/>
          <w:sz w:val="24"/>
          <w:szCs w:val="24"/>
          <w:lang w:eastAsia="en-US"/>
        </w:rPr>
        <w:t xml:space="preserve">The average time between a child entering care and moving in with their adoptive family </w:t>
      </w:r>
      <w:r w:rsidR="00095258">
        <w:rPr>
          <w:rFonts w:ascii="Arial" w:eastAsiaTheme="minorHAnsi" w:hAnsi="Arial" w:cs="Arial"/>
          <w:sz w:val="24"/>
          <w:szCs w:val="24"/>
          <w:lang w:eastAsia="en-US"/>
        </w:rPr>
        <w:t>has improved</w:t>
      </w:r>
      <w:r>
        <w:rPr>
          <w:rFonts w:ascii="Arial" w:eastAsiaTheme="minorHAnsi" w:hAnsi="Arial" w:cs="Arial"/>
          <w:sz w:val="24"/>
          <w:szCs w:val="24"/>
          <w:lang w:eastAsia="en-US"/>
        </w:rPr>
        <w:t xml:space="preserve"> </w:t>
      </w:r>
      <w:r w:rsidRPr="00925E3D">
        <w:rPr>
          <w:rFonts w:ascii="Arial" w:eastAsiaTheme="minorHAnsi" w:hAnsi="Arial" w:cs="Arial"/>
          <w:sz w:val="24"/>
          <w:szCs w:val="24"/>
          <w:lang w:eastAsia="en-US"/>
        </w:rPr>
        <w:t xml:space="preserve">and 67% of children waited less than 14 months between entering care and moving in with their adoptive family during quarter four. </w:t>
      </w:r>
      <w:r>
        <w:rPr>
          <w:rFonts w:ascii="Arial" w:eastAsiaTheme="minorHAnsi" w:hAnsi="Arial" w:cs="Arial"/>
          <w:sz w:val="24"/>
          <w:szCs w:val="24"/>
          <w:lang w:eastAsia="en-US"/>
        </w:rPr>
        <w:t xml:space="preserve"> </w:t>
      </w:r>
      <w:r w:rsidRPr="00925E3D">
        <w:rPr>
          <w:rFonts w:ascii="Arial" w:eastAsiaTheme="minorHAnsi" w:hAnsi="Arial" w:cs="Arial"/>
          <w:sz w:val="24"/>
          <w:szCs w:val="24"/>
          <w:lang w:eastAsia="en-US"/>
        </w:rPr>
        <w:t xml:space="preserve">There were 87 adoptions in 2017/18 with no adoption breakdowns.  At the end of </w:t>
      </w:r>
      <w:r w:rsidR="00095258">
        <w:rPr>
          <w:rFonts w:ascii="Arial" w:eastAsiaTheme="minorHAnsi" w:hAnsi="Arial" w:cs="Arial"/>
          <w:sz w:val="24"/>
          <w:szCs w:val="24"/>
          <w:lang w:eastAsia="en-US"/>
        </w:rPr>
        <w:t xml:space="preserve">March 2018, </w:t>
      </w:r>
      <w:r w:rsidRPr="00925E3D">
        <w:rPr>
          <w:rFonts w:ascii="Arial" w:eastAsiaTheme="minorHAnsi" w:hAnsi="Arial" w:cs="Arial"/>
          <w:sz w:val="24"/>
          <w:szCs w:val="24"/>
          <w:lang w:eastAsia="en-US"/>
        </w:rPr>
        <w:t>97</w:t>
      </w:r>
      <w:r>
        <w:rPr>
          <w:rFonts w:ascii="Arial" w:eastAsiaTheme="minorHAnsi" w:hAnsi="Arial" w:cs="Arial"/>
          <w:sz w:val="24"/>
          <w:szCs w:val="24"/>
          <w:lang w:eastAsia="en-US"/>
        </w:rPr>
        <w:t xml:space="preserve"> children were awaiting adoption.</w:t>
      </w:r>
      <w:r w:rsidRPr="00925E3D">
        <w:rPr>
          <w:rFonts w:ascii="Arial" w:eastAsiaTheme="minorHAnsi" w:hAnsi="Arial" w:cs="Arial"/>
          <w:sz w:val="24"/>
          <w:szCs w:val="24"/>
          <w:lang w:eastAsia="en-US"/>
        </w:rPr>
        <w:t xml:space="preserve">  21.1% of the children coming out of care during quarter four were adopted.</w:t>
      </w:r>
    </w:p>
    <w:p w14:paraId="127E1825" w14:textId="77777777" w:rsidR="004D3C78" w:rsidRDefault="004D3C78" w:rsidP="004D3C78">
      <w:pPr>
        <w:pStyle w:val="NoSpacing"/>
        <w:rPr>
          <w:rFonts w:ascii="Arial" w:eastAsiaTheme="minorHAnsi" w:hAnsi="Arial" w:cs="Arial"/>
          <w:i/>
          <w:color w:val="000000" w:themeColor="text1"/>
          <w:sz w:val="24"/>
          <w:szCs w:val="24"/>
          <w:lang w:eastAsia="en-US"/>
        </w:rPr>
      </w:pPr>
    </w:p>
    <w:tbl>
      <w:tblPr>
        <w:tblW w:w="9771" w:type="dxa"/>
        <w:tblLayout w:type="fixed"/>
        <w:tblLook w:val="04A0" w:firstRow="1" w:lastRow="0" w:firstColumn="1" w:lastColumn="0" w:noHBand="0" w:noVBand="1"/>
      </w:tblPr>
      <w:tblGrid>
        <w:gridCol w:w="4599"/>
        <w:gridCol w:w="1345"/>
        <w:gridCol w:w="1417"/>
        <w:gridCol w:w="1418"/>
        <w:gridCol w:w="992"/>
      </w:tblGrid>
      <w:tr w:rsidR="001C18AE" w:rsidRPr="002B5EE5" w14:paraId="3B158D74" w14:textId="2B0EE030" w:rsidTr="008762C0">
        <w:trPr>
          <w:trHeight w:val="60"/>
        </w:trPr>
        <w:tc>
          <w:tcPr>
            <w:tcW w:w="459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BDA88F7" w14:textId="77777777" w:rsidR="001C18AE" w:rsidRPr="002B5EE5" w:rsidRDefault="001C18AE" w:rsidP="00CF2E88">
            <w:pPr>
              <w:rPr>
                <w:rFonts w:cs="Arial"/>
                <w:b/>
                <w:bCs/>
                <w:color w:val="000000"/>
                <w:sz w:val="18"/>
                <w:szCs w:val="18"/>
              </w:rPr>
            </w:pPr>
            <w:r w:rsidRPr="002B5EE5">
              <w:rPr>
                <w:rFonts w:cs="Arial"/>
                <w:b/>
                <w:bCs/>
                <w:color w:val="000000"/>
                <w:sz w:val="18"/>
                <w:szCs w:val="18"/>
              </w:rPr>
              <w:t>Performance Measure</w:t>
            </w:r>
          </w:p>
        </w:tc>
        <w:tc>
          <w:tcPr>
            <w:tcW w:w="1345" w:type="dxa"/>
            <w:tcBorders>
              <w:top w:val="single" w:sz="8" w:space="0" w:color="auto"/>
              <w:left w:val="nil"/>
              <w:bottom w:val="single" w:sz="8" w:space="0" w:color="auto"/>
              <w:right w:val="single" w:sz="8" w:space="0" w:color="auto"/>
            </w:tcBorders>
            <w:shd w:val="clear" w:color="000000" w:fill="D9D9D9"/>
            <w:vAlign w:val="center"/>
            <w:hideMark/>
          </w:tcPr>
          <w:p w14:paraId="19C55229" w14:textId="77777777" w:rsidR="001C18AE" w:rsidRPr="002B5EE5" w:rsidRDefault="001C18AE" w:rsidP="00E734A1">
            <w:pPr>
              <w:jc w:val="center"/>
              <w:rPr>
                <w:rFonts w:cs="Arial"/>
                <w:b/>
                <w:bCs/>
                <w:color w:val="000000"/>
                <w:sz w:val="18"/>
                <w:szCs w:val="18"/>
              </w:rPr>
            </w:pPr>
            <w:r w:rsidRPr="002B5EE5">
              <w:rPr>
                <w:rFonts w:cs="Arial"/>
                <w:b/>
                <w:bCs/>
                <w:color w:val="000000"/>
                <w:sz w:val="18"/>
                <w:szCs w:val="18"/>
              </w:rPr>
              <w:t>Good is High or Low</w:t>
            </w:r>
          </w:p>
        </w:tc>
        <w:tc>
          <w:tcPr>
            <w:tcW w:w="1417" w:type="dxa"/>
            <w:tcBorders>
              <w:top w:val="single" w:sz="4" w:space="0" w:color="auto"/>
              <w:left w:val="nil"/>
              <w:bottom w:val="single" w:sz="8" w:space="0" w:color="auto"/>
              <w:right w:val="single" w:sz="8" w:space="0" w:color="auto"/>
            </w:tcBorders>
            <w:shd w:val="clear" w:color="000000" w:fill="D9D9D9"/>
            <w:noWrap/>
            <w:vAlign w:val="center"/>
            <w:hideMark/>
          </w:tcPr>
          <w:p w14:paraId="006E67BF" w14:textId="77777777" w:rsidR="001C18AE" w:rsidRDefault="001C18AE" w:rsidP="00E734A1">
            <w:pPr>
              <w:jc w:val="center"/>
              <w:rPr>
                <w:rFonts w:cs="Arial"/>
                <w:b/>
                <w:bCs/>
                <w:color w:val="000000"/>
                <w:sz w:val="18"/>
                <w:szCs w:val="18"/>
              </w:rPr>
            </w:pPr>
            <w:r>
              <w:rPr>
                <w:rFonts w:cs="Arial"/>
                <w:b/>
                <w:bCs/>
                <w:color w:val="000000"/>
                <w:sz w:val="18"/>
                <w:szCs w:val="18"/>
              </w:rPr>
              <w:t>Previous</w:t>
            </w:r>
          </w:p>
          <w:p w14:paraId="4ECC4984" w14:textId="4B5ECCBF" w:rsidR="001C18AE" w:rsidRPr="002B5EE5" w:rsidRDefault="001C18AE" w:rsidP="00E734A1">
            <w:pPr>
              <w:jc w:val="center"/>
              <w:rPr>
                <w:rFonts w:cs="Arial"/>
                <w:b/>
                <w:bCs/>
                <w:color w:val="000000"/>
                <w:sz w:val="18"/>
                <w:szCs w:val="18"/>
              </w:rPr>
            </w:pPr>
            <w:r>
              <w:rPr>
                <w:rFonts w:cs="Arial"/>
                <w:b/>
                <w:bCs/>
                <w:color w:val="000000"/>
                <w:sz w:val="18"/>
                <w:szCs w:val="18"/>
              </w:rPr>
              <w:t>Period</w:t>
            </w:r>
          </w:p>
        </w:tc>
        <w:tc>
          <w:tcPr>
            <w:tcW w:w="1418" w:type="dxa"/>
            <w:tcBorders>
              <w:top w:val="single" w:sz="8" w:space="0" w:color="auto"/>
              <w:left w:val="nil"/>
              <w:bottom w:val="single" w:sz="8" w:space="0" w:color="auto"/>
              <w:right w:val="single" w:sz="4" w:space="0" w:color="auto"/>
            </w:tcBorders>
            <w:shd w:val="clear" w:color="000000" w:fill="D9D9D9"/>
            <w:noWrap/>
            <w:vAlign w:val="center"/>
            <w:hideMark/>
          </w:tcPr>
          <w:p w14:paraId="0E2D2EE3" w14:textId="0614B6F8" w:rsidR="001C18AE" w:rsidRPr="002B5EE5" w:rsidRDefault="001C18AE" w:rsidP="00E734A1">
            <w:pPr>
              <w:jc w:val="center"/>
              <w:rPr>
                <w:rFonts w:cs="Arial"/>
                <w:b/>
                <w:bCs/>
                <w:color w:val="000000"/>
                <w:sz w:val="18"/>
                <w:szCs w:val="18"/>
              </w:rPr>
            </w:pPr>
            <w:r>
              <w:rPr>
                <w:rFonts w:cs="Arial"/>
                <w:b/>
                <w:bCs/>
                <w:color w:val="000000"/>
                <w:sz w:val="18"/>
                <w:szCs w:val="18"/>
              </w:rPr>
              <w:t>Latest Available</w:t>
            </w:r>
            <w:r w:rsidRPr="002B5EE5">
              <w:rPr>
                <w:rFonts w:cs="Arial"/>
                <w:b/>
                <w:bCs/>
                <w:color w:val="000000"/>
                <w:sz w:val="18"/>
                <w:szCs w:val="18"/>
              </w:rPr>
              <w:t xml:space="preserve"> </w:t>
            </w:r>
          </w:p>
        </w:tc>
        <w:tc>
          <w:tcPr>
            <w:tcW w:w="992" w:type="dxa"/>
            <w:tcBorders>
              <w:top w:val="single" w:sz="8" w:space="0" w:color="auto"/>
              <w:left w:val="single" w:sz="4" w:space="0" w:color="auto"/>
              <w:bottom w:val="single" w:sz="8" w:space="0" w:color="auto"/>
              <w:right w:val="single" w:sz="4" w:space="0" w:color="auto"/>
            </w:tcBorders>
            <w:shd w:val="clear" w:color="000000" w:fill="D9D9D9"/>
          </w:tcPr>
          <w:p w14:paraId="4E735A46" w14:textId="3E599D4B" w:rsidR="001C18AE" w:rsidRDefault="001C18AE" w:rsidP="00CF2E88">
            <w:pPr>
              <w:jc w:val="center"/>
              <w:rPr>
                <w:rFonts w:cs="Arial"/>
                <w:b/>
                <w:bCs/>
                <w:color w:val="000000"/>
                <w:sz w:val="18"/>
                <w:szCs w:val="18"/>
              </w:rPr>
            </w:pPr>
            <w:r>
              <w:rPr>
                <w:rFonts w:cs="Arial"/>
                <w:b/>
                <w:bCs/>
                <w:color w:val="000000"/>
                <w:sz w:val="18"/>
                <w:szCs w:val="18"/>
              </w:rPr>
              <w:t>England</w:t>
            </w:r>
          </w:p>
          <w:p w14:paraId="74BB6488" w14:textId="4F716567" w:rsidR="001C18AE" w:rsidRDefault="001C18AE" w:rsidP="00CF2E88">
            <w:pPr>
              <w:jc w:val="center"/>
              <w:rPr>
                <w:rFonts w:cs="Arial"/>
                <w:b/>
                <w:bCs/>
                <w:color w:val="000000"/>
                <w:sz w:val="18"/>
                <w:szCs w:val="18"/>
              </w:rPr>
            </w:pPr>
            <w:r>
              <w:rPr>
                <w:rFonts w:cs="Arial"/>
                <w:b/>
                <w:bCs/>
                <w:color w:val="000000"/>
                <w:sz w:val="18"/>
                <w:szCs w:val="18"/>
              </w:rPr>
              <w:t>Average</w:t>
            </w:r>
          </w:p>
        </w:tc>
      </w:tr>
      <w:tr w:rsidR="000A3959" w:rsidRPr="002B5EE5" w14:paraId="0F9970E3" w14:textId="540CA01A" w:rsidTr="008762C0">
        <w:trPr>
          <w:trHeight w:val="387"/>
        </w:trPr>
        <w:tc>
          <w:tcPr>
            <w:tcW w:w="4599" w:type="dxa"/>
            <w:tcBorders>
              <w:top w:val="nil"/>
              <w:left w:val="single" w:sz="8" w:space="0" w:color="auto"/>
              <w:bottom w:val="single" w:sz="8" w:space="0" w:color="auto"/>
              <w:right w:val="single" w:sz="8" w:space="0" w:color="auto"/>
            </w:tcBorders>
            <w:shd w:val="clear" w:color="auto" w:fill="auto"/>
            <w:hideMark/>
          </w:tcPr>
          <w:p w14:paraId="47C603D9" w14:textId="3A5AFB8F" w:rsidR="000A3959" w:rsidRPr="002B5EE5" w:rsidRDefault="000A3959" w:rsidP="00CF2E88">
            <w:pPr>
              <w:rPr>
                <w:rFonts w:cs="Arial"/>
                <w:color w:val="000000"/>
                <w:sz w:val="18"/>
                <w:szCs w:val="18"/>
              </w:rPr>
            </w:pPr>
            <w:r w:rsidRPr="002B5EE5">
              <w:rPr>
                <w:rFonts w:cs="Arial"/>
                <w:color w:val="000000"/>
                <w:sz w:val="18"/>
                <w:szCs w:val="18"/>
              </w:rPr>
              <w:t>Rate per 100,000 of first time entrants to youth justice system</w:t>
            </w:r>
          </w:p>
        </w:tc>
        <w:tc>
          <w:tcPr>
            <w:tcW w:w="1345" w:type="dxa"/>
            <w:tcBorders>
              <w:top w:val="nil"/>
              <w:left w:val="nil"/>
              <w:bottom w:val="single" w:sz="8" w:space="0" w:color="auto"/>
              <w:right w:val="single" w:sz="8" w:space="0" w:color="auto"/>
            </w:tcBorders>
            <w:shd w:val="clear" w:color="auto" w:fill="auto"/>
            <w:hideMark/>
          </w:tcPr>
          <w:p w14:paraId="128E6B69" w14:textId="77777777" w:rsidR="000A3959" w:rsidRPr="002B5EE5" w:rsidRDefault="000A3959" w:rsidP="00CF2E88">
            <w:pPr>
              <w:jc w:val="center"/>
              <w:rPr>
                <w:rFonts w:cs="Arial"/>
                <w:color w:val="000000"/>
                <w:sz w:val="18"/>
                <w:szCs w:val="18"/>
              </w:rPr>
            </w:pPr>
            <w:r w:rsidRPr="002B5EE5">
              <w:rPr>
                <w:rFonts w:cs="Arial"/>
                <w:color w:val="000000"/>
                <w:sz w:val="18"/>
                <w:szCs w:val="18"/>
              </w:rPr>
              <w:t>L</w:t>
            </w:r>
          </w:p>
        </w:tc>
        <w:tc>
          <w:tcPr>
            <w:tcW w:w="1417" w:type="dxa"/>
            <w:tcBorders>
              <w:top w:val="nil"/>
              <w:left w:val="nil"/>
              <w:bottom w:val="single" w:sz="4" w:space="0" w:color="auto"/>
              <w:right w:val="single" w:sz="8" w:space="0" w:color="auto"/>
            </w:tcBorders>
            <w:shd w:val="clear" w:color="000000" w:fill="FFFFFF"/>
            <w:noWrap/>
            <w:hideMark/>
          </w:tcPr>
          <w:p w14:paraId="47D0FC2E" w14:textId="77777777" w:rsidR="000A3959" w:rsidRPr="002B5EE5" w:rsidRDefault="000A3959" w:rsidP="00CF2E88">
            <w:pPr>
              <w:jc w:val="center"/>
              <w:rPr>
                <w:rFonts w:cs="Arial"/>
                <w:color w:val="000000"/>
                <w:sz w:val="18"/>
                <w:szCs w:val="18"/>
              </w:rPr>
            </w:pPr>
            <w:r w:rsidRPr="002B5EE5">
              <w:rPr>
                <w:rFonts w:cs="Arial"/>
                <w:color w:val="000000"/>
                <w:sz w:val="18"/>
                <w:szCs w:val="18"/>
              </w:rPr>
              <w:t>204 (Jul 16</w:t>
            </w:r>
            <w:r>
              <w:rPr>
                <w:rFonts w:cs="Arial"/>
                <w:color w:val="000000"/>
                <w:sz w:val="18"/>
                <w:szCs w:val="18"/>
              </w:rPr>
              <w:t xml:space="preserve"> </w:t>
            </w:r>
            <w:r w:rsidRPr="002B5EE5">
              <w:rPr>
                <w:rFonts w:cs="Arial"/>
                <w:color w:val="000000"/>
                <w:sz w:val="18"/>
                <w:szCs w:val="18"/>
              </w:rPr>
              <w:t>-Jun 17)</w:t>
            </w:r>
          </w:p>
        </w:tc>
        <w:tc>
          <w:tcPr>
            <w:tcW w:w="1418" w:type="dxa"/>
            <w:tcBorders>
              <w:top w:val="nil"/>
              <w:left w:val="nil"/>
              <w:bottom w:val="single" w:sz="8" w:space="0" w:color="auto"/>
              <w:right w:val="single" w:sz="8" w:space="0" w:color="auto"/>
            </w:tcBorders>
            <w:shd w:val="clear" w:color="000000" w:fill="D8E4BC"/>
            <w:noWrap/>
            <w:hideMark/>
          </w:tcPr>
          <w:p w14:paraId="37675291" w14:textId="77777777" w:rsidR="000A3959" w:rsidRPr="002B5EE5" w:rsidRDefault="000A3959" w:rsidP="00CF2E88">
            <w:pPr>
              <w:jc w:val="center"/>
              <w:rPr>
                <w:rFonts w:cs="Arial"/>
                <w:color w:val="000000"/>
                <w:sz w:val="18"/>
                <w:szCs w:val="18"/>
              </w:rPr>
            </w:pPr>
            <w:r w:rsidRPr="002B5EE5">
              <w:rPr>
                <w:rFonts w:cs="Arial"/>
                <w:color w:val="000000"/>
                <w:sz w:val="18"/>
                <w:szCs w:val="18"/>
              </w:rPr>
              <w:t>188</w:t>
            </w:r>
            <w:r>
              <w:rPr>
                <w:rFonts w:cs="Arial"/>
                <w:color w:val="000000"/>
                <w:sz w:val="18"/>
                <w:szCs w:val="18"/>
              </w:rPr>
              <w:t xml:space="preserve"> </w:t>
            </w:r>
            <w:r w:rsidRPr="002B5EE5">
              <w:rPr>
                <w:rFonts w:cs="Arial"/>
                <w:color w:val="000000"/>
                <w:sz w:val="18"/>
                <w:szCs w:val="18"/>
              </w:rPr>
              <w:t>(Oct 16 - Sept 17)</w:t>
            </w:r>
          </w:p>
        </w:tc>
        <w:tc>
          <w:tcPr>
            <w:tcW w:w="992" w:type="dxa"/>
            <w:tcBorders>
              <w:top w:val="nil"/>
              <w:left w:val="nil"/>
              <w:bottom w:val="single" w:sz="8" w:space="0" w:color="auto"/>
              <w:right w:val="single" w:sz="8" w:space="0" w:color="auto"/>
            </w:tcBorders>
            <w:shd w:val="clear" w:color="000000" w:fill="FFFFFF"/>
          </w:tcPr>
          <w:p w14:paraId="0366F877" w14:textId="41BEB4BD" w:rsidR="000A3959" w:rsidRPr="002B5EE5" w:rsidRDefault="000A3959" w:rsidP="00CF2E88">
            <w:pPr>
              <w:jc w:val="center"/>
              <w:rPr>
                <w:rFonts w:cs="Arial"/>
                <w:color w:val="000000"/>
                <w:sz w:val="18"/>
                <w:szCs w:val="18"/>
              </w:rPr>
            </w:pPr>
            <w:r>
              <w:rPr>
                <w:rFonts w:cs="Arial"/>
                <w:color w:val="000000"/>
                <w:sz w:val="18"/>
                <w:szCs w:val="18"/>
              </w:rPr>
              <w:t>304</w:t>
            </w:r>
          </w:p>
        </w:tc>
      </w:tr>
      <w:tr w:rsidR="000A3959" w:rsidRPr="002B5EE5" w14:paraId="71CC9A22" w14:textId="205699BD" w:rsidTr="008762C0">
        <w:trPr>
          <w:trHeight w:val="229"/>
        </w:trPr>
        <w:tc>
          <w:tcPr>
            <w:tcW w:w="4599" w:type="dxa"/>
            <w:tcBorders>
              <w:top w:val="nil"/>
              <w:left w:val="single" w:sz="8" w:space="0" w:color="auto"/>
              <w:bottom w:val="single" w:sz="8" w:space="0" w:color="auto"/>
              <w:right w:val="single" w:sz="8" w:space="0" w:color="auto"/>
            </w:tcBorders>
            <w:shd w:val="clear" w:color="auto" w:fill="auto"/>
            <w:hideMark/>
          </w:tcPr>
          <w:p w14:paraId="0C8C5E0E" w14:textId="77777777" w:rsidR="000A3959" w:rsidRPr="002B5EE5" w:rsidRDefault="000A3959" w:rsidP="00CF2E88">
            <w:pPr>
              <w:rPr>
                <w:rFonts w:cs="Arial"/>
                <w:color w:val="000000"/>
                <w:sz w:val="18"/>
                <w:szCs w:val="18"/>
              </w:rPr>
            </w:pPr>
            <w:r w:rsidRPr="002B5EE5">
              <w:rPr>
                <w:rFonts w:cs="Arial"/>
                <w:color w:val="000000"/>
                <w:sz w:val="18"/>
                <w:szCs w:val="18"/>
              </w:rPr>
              <w:t>% of YP reoffending</w:t>
            </w:r>
          </w:p>
        </w:tc>
        <w:tc>
          <w:tcPr>
            <w:tcW w:w="1345" w:type="dxa"/>
            <w:tcBorders>
              <w:top w:val="nil"/>
              <w:left w:val="nil"/>
              <w:bottom w:val="single" w:sz="8" w:space="0" w:color="auto"/>
              <w:right w:val="single" w:sz="8" w:space="0" w:color="auto"/>
            </w:tcBorders>
            <w:shd w:val="clear" w:color="auto" w:fill="auto"/>
            <w:hideMark/>
          </w:tcPr>
          <w:p w14:paraId="0000EB4C" w14:textId="77777777" w:rsidR="000A3959" w:rsidRPr="002B5EE5" w:rsidRDefault="000A3959" w:rsidP="00CF2E88">
            <w:pPr>
              <w:jc w:val="center"/>
              <w:rPr>
                <w:rFonts w:cs="Arial"/>
                <w:color w:val="000000"/>
                <w:sz w:val="18"/>
                <w:szCs w:val="18"/>
              </w:rPr>
            </w:pPr>
            <w:r w:rsidRPr="002B5EE5">
              <w:rPr>
                <w:rFonts w:cs="Arial"/>
                <w:color w:val="000000"/>
                <w:sz w:val="18"/>
                <w:szCs w:val="18"/>
              </w:rPr>
              <w:t>L</w:t>
            </w:r>
          </w:p>
        </w:tc>
        <w:tc>
          <w:tcPr>
            <w:tcW w:w="1417" w:type="dxa"/>
            <w:tcBorders>
              <w:top w:val="single" w:sz="4" w:space="0" w:color="auto"/>
              <w:left w:val="single" w:sz="8" w:space="0" w:color="auto"/>
              <w:bottom w:val="single" w:sz="8" w:space="0" w:color="auto"/>
              <w:right w:val="nil"/>
            </w:tcBorders>
            <w:shd w:val="clear" w:color="000000" w:fill="FFFFFF"/>
            <w:noWrap/>
            <w:hideMark/>
          </w:tcPr>
          <w:p w14:paraId="00782289" w14:textId="77777777" w:rsidR="000A3959" w:rsidRPr="002B5EE5" w:rsidRDefault="000A3959" w:rsidP="00CF2E88">
            <w:pPr>
              <w:jc w:val="center"/>
              <w:rPr>
                <w:rFonts w:cs="Arial"/>
                <w:color w:val="000000"/>
                <w:sz w:val="18"/>
                <w:szCs w:val="18"/>
              </w:rPr>
            </w:pPr>
            <w:r w:rsidRPr="002B5EE5">
              <w:rPr>
                <w:rFonts w:cs="Arial"/>
                <w:color w:val="000000"/>
                <w:sz w:val="18"/>
                <w:szCs w:val="18"/>
              </w:rPr>
              <w:t>43.0%</w:t>
            </w:r>
            <w:r>
              <w:rPr>
                <w:rFonts w:cs="Arial"/>
                <w:color w:val="000000"/>
                <w:sz w:val="18"/>
                <w:szCs w:val="18"/>
              </w:rPr>
              <w:t xml:space="preserve"> </w:t>
            </w:r>
            <w:r w:rsidRPr="002B5EE5">
              <w:rPr>
                <w:rFonts w:cs="Arial"/>
                <w:color w:val="000000"/>
                <w:sz w:val="18"/>
                <w:szCs w:val="18"/>
              </w:rPr>
              <w:t>(Oct 15</w:t>
            </w:r>
            <w:r>
              <w:rPr>
                <w:rFonts w:cs="Arial"/>
                <w:color w:val="000000"/>
                <w:sz w:val="18"/>
                <w:szCs w:val="18"/>
              </w:rPr>
              <w:t xml:space="preserve"> -</w:t>
            </w:r>
            <w:r w:rsidRPr="002B5EE5">
              <w:rPr>
                <w:rFonts w:cs="Arial"/>
                <w:color w:val="000000"/>
                <w:sz w:val="18"/>
                <w:szCs w:val="18"/>
              </w:rPr>
              <w:t xml:space="preserve"> Dec 15)</w:t>
            </w:r>
          </w:p>
        </w:tc>
        <w:tc>
          <w:tcPr>
            <w:tcW w:w="1418" w:type="dxa"/>
            <w:tcBorders>
              <w:top w:val="nil"/>
              <w:left w:val="single" w:sz="8" w:space="0" w:color="auto"/>
              <w:bottom w:val="single" w:sz="8" w:space="0" w:color="auto"/>
              <w:right w:val="single" w:sz="8" w:space="0" w:color="auto"/>
            </w:tcBorders>
            <w:shd w:val="clear" w:color="000000" w:fill="F8CBAD"/>
            <w:noWrap/>
            <w:hideMark/>
          </w:tcPr>
          <w:p w14:paraId="1BD193AD" w14:textId="77777777" w:rsidR="000A3959" w:rsidRPr="002B5EE5" w:rsidRDefault="000A3959" w:rsidP="00CF2E88">
            <w:pPr>
              <w:jc w:val="center"/>
              <w:rPr>
                <w:rFonts w:cs="Arial"/>
                <w:color w:val="000000"/>
                <w:sz w:val="18"/>
                <w:szCs w:val="18"/>
              </w:rPr>
            </w:pPr>
            <w:r w:rsidRPr="002B5EE5">
              <w:rPr>
                <w:rFonts w:cs="Arial"/>
                <w:color w:val="000000"/>
                <w:sz w:val="18"/>
                <w:szCs w:val="18"/>
              </w:rPr>
              <w:t>43.1% (Jan 16 - Mar 16)</w:t>
            </w:r>
          </w:p>
        </w:tc>
        <w:tc>
          <w:tcPr>
            <w:tcW w:w="992" w:type="dxa"/>
            <w:tcBorders>
              <w:top w:val="nil"/>
              <w:left w:val="nil"/>
              <w:bottom w:val="single" w:sz="8" w:space="0" w:color="auto"/>
              <w:right w:val="single" w:sz="8" w:space="0" w:color="auto"/>
            </w:tcBorders>
            <w:shd w:val="clear" w:color="000000" w:fill="FFFFFF"/>
          </w:tcPr>
          <w:p w14:paraId="3554BD74" w14:textId="4C2894FF" w:rsidR="000A3959" w:rsidRPr="002B5EE5" w:rsidRDefault="000A3959" w:rsidP="00CF2E88">
            <w:pPr>
              <w:jc w:val="center"/>
              <w:rPr>
                <w:rFonts w:cs="Arial"/>
                <w:color w:val="000000"/>
                <w:sz w:val="18"/>
                <w:szCs w:val="18"/>
              </w:rPr>
            </w:pPr>
            <w:r>
              <w:rPr>
                <w:rFonts w:cs="Arial"/>
                <w:color w:val="000000"/>
                <w:sz w:val="18"/>
                <w:szCs w:val="18"/>
              </w:rPr>
              <w:t>42.1%</w:t>
            </w:r>
          </w:p>
        </w:tc>
      </w:tr>
      <w:tr w:rsidR="000A3959" w:rsidRPr="002B5EE5" w14:paraId="1A502D04" w14:textId="0EF4E429" w:rsidTr="008762C0">
        <w:trPr>
          <w:trHeight w:val="76"/>
        </w:trPr>
        <w:tc>
          <w:tcPr>
            <w:tcW w:w="4599" w:type="dxa"/>
            <w:tcBorders>
              <w:top w:val="nil"/>
              <w:left w:val="single" w:sz="8" w:space="0" w:color="auto"/>
              <w:bottom w:val="single" w:sz="4" w:space="0" w:color="auto"/>
              <w:right w:val="single" w:sz="8" w:space="0" w:color="auto"/>
            </w:tcBorders>
            <w:shd w:val="clear" w:color="auto" w:fill="auto"/>
            <w:hideMark/>
          </w:tcPr>
          <w:p w14:paraId="0A908938" w14:textId="77777777" w:rsidR="000A3959" w:rsidRPr="002B5EE5" w:rsidRDefault="000A3959" w:rsidP="00CF2E88">
            <w:pPr>
              <w:rPr>
                <w:rFonts w:cs="Arial"/>
                <w:color w:val="000000"/>
                <w:sz w:val="18"/>
                <w:szCs w:val="18"/>
              </w:rPr>
            </w:pPr>
            <w:r w:rsidRPr="002B5EE5">
              <w:rPr>
                <w:rFonts w:cs="Arial"/>
                <w:color w:val="000000"/>
                <w:sz w:val="18"/>
                <w:szCs w:val="18"/>
              </w:rPr>
              <w:t>Rolling average Special Educational Needs statements transferred to Education and Health Care plan</w:t>
            </w:r>
          </w:p>
        </w:tc>
        <w:tc>
          <w:tcPr>
            <w:tcW w:w="1345" w:type="dxa"/>
            <w:tcBorders>
              <w:top w:val="nil"/>
              <w:left w:val="nil"/>
              <w:bottom w:val="single" w:sz="4" w:space="0" w:color="auto"/>
              <w:right w:val="single" w:sz="8" w:space="0" w:color="auto"/>
            </w:tcBorders>
            <w:shd w:val="clear" w:color="auto" w:fill="auto"/>
            <w:hideMark/>
          </w:tcPr>
          <w:p w14:paraId="65ECD71F" w14:textId="77777777" w:rsidR="000A3959" w:rsidRPr="002B5EE5" w:rsidRDefault="000A3959" w:rsidP="00CF2E88">
            <w:pPr>
              <w:jc w:val="center"/>
              <w:rPr>
                <w:rFonts w:cs="Arial"/>
                <w:color w:val="000000"/>
                <w:sz w:val="18"/>
                <w:szCs w:val="18"/>
              </w:rPr>
            </w:pPr>
            <w:r w:rsidRPr="002B5EE5">
              <w:rPr>
                <w:rFonts w:cs="Arial"/>
                <w:color w:val="000000"/>
                <w:sz w:val="18"/>
                <w:szCs w:val="18"/>
              </w:rPr>
              <w:t>H</w:t>
            </w:r>
          </w:p>
        </w:tc>
        <w:tc>
          <w:tcPr>
            <w:tcW w:w="1417" w:type="dxa"/>
            <w:tcBorders>
              <w:top w:val="nil"/>
              <w:left w:val="nil"/>
              <w:bottom w:val="single" w:sz="4" w:space="0" w:color="auto"/>
              <w:right w:val="single" w:sz="8" w:space="0" w:color="auto"/>
            </w:tcBorders>
            <w:shd w:val="clear" w:color="000000" w:fill="FFFFFF"/>
            <w:noWrap/>
            <w:hideMark/>
          </w:tcPr>
          <w:p w14:paraId="3EBFCC4B" w14:textId="75D035DA" w:rsidR="000A3959" w:rsidRPr="002B5EE5" w:rsidRDefault="000A3959" w:rsidP="00CF2E88">
            <w:pPr>
              <w:jc w:val="center"/>
              <w:rPr>
                <w:rFonts w:cs="Arial"/>
                <w:color w:val="000000"/>
                <w:sz w:val="18"/>
                <w:szCs w:val="18"/>
              </w:rPr>
            </w:pPr>
            <w:r w:rsidRPr="002B5EE5">
              <w:rPr>
                <w:rFonts w:cs="Arial"/>
                <w:color w:val="000000"/>
                <w:sz w:val="18"/>
                <w:szCs w:val="18"/>
              </w:rPr>
              <w:t>293 (Sept 14</w:t>
            </w:r>
            <w:r>
              <w:rPr>
                <w:rFonts w:cs="Arial"/>
                <w:color w:val="000000"/>
                <w:sz w:val="18"/>
                <w:szCs w:val="18"/>
              </w:rPr>
              <w:t xml:space="preserve"> </w:t>
            </w:r>
            <w:r w:rsidRPr="002B5EE5">
              <w:rPr>
                <w:rFonts w:cs="Arial"/>
                <w:color w:val="000000"/>
                <w:sz w:val="18"/>
                <w:szCs w:val="18"/>
              </w:rPr>
              <w:t>-</w:t>
            </w:r>
            <w:r>
              <w:rPr>
                <w:rFonts w:cs="Arial"/>
                <w:color w:val="000000"/>
                <w:sz w:val="18"/>
                <w:szCs w:val="18"/>
              </w:rPr>
              <w:t xml:space="preserve"> </w:t>
            </w:r>
            <w:r w:rsidRPr="002B5EE5">
              <w:rPr>
                <w:rFonts w:cs="Arial"/>
                <w:color w:val="000000"/>
                <w:sz w:val="18"/>
                <w:szCs w:val="18"/>
              </w:rPr>
              <w:t>Jan 18)</w:t>
            </w:r>
          </w:p>
        </w:tc>
        <w:tc>
          <w:tcPr>
            <w:tcW w:w="1418" w:type="dxa"/>
            <w:tcBorders>
              <w:top w:val="nil"/>
              <w:left w:val="nil"/>
              <w:bottom w:val="single" w:sz="4" w:space="0" w:color="auto"/>
              <w:right w:val="single" w:sz="8" w:space="0" w:color="auto"/>
            </w:tcBorders>
            <w:shd w:val="clear" w:color="000000" w:fill="D8E4BC"/>
            <w:noWrap/>
            <w:hideMark/>
          </w:tcPr>
          <w:p w14:paraId="5F0D2419" w14:textId="77777777" w:rsidR="000A3959" w:rsidRPr="002B5EE5" w:rsidRDefault="000A3959" w:rsidP="00CF2E88">
            <w:pPr>
              <w:jc w:val="center"/>
              <w:rPr>
                <w:rFonts w:cs="Arial"/>
                <w:color w:val="000000"/>
                <w:sz w:val="18"/>
                <w:szCs w:val="18"/>
              </w:rPr>
            </w:pPr>
            <w:r w:rsidRPr="002B5EE5">
              <w:rPr>
                <w:rFonts w:cs="Arial"/>
                <w:color w:val="000000"/>
                <w:sz w:val="18"/>
                <w:szCs w:val="18"/>
              </w:rPr>
              <w:t>339 (Sept 14</w:t>
            </w:r>
            <w:r>
              <w:rPr>
                <w:rFonts w:cs="Arial"/>
                <w:color w:val="000000"/>
                <w:sz w:val="18"/>
                <w:szCs w:val="18"/>
              </w:rPr>
              <w:t xml:space="preserve"> </w:t>
            </w:r>
            <w:r w:rsidRPr="002B5EE5">
              <w:rPr>
                <w:rFonts w:cs="Arial"/>
                <w:color w:val="000000"/>
                <w:sz w:val="18"/>
                <w:szCs w:val="18"/>
              </w:rPr>
              <w:t>-April 18)</w:t>
            </w:r>
          </w:p>
        </w:tc>
        <w:tc>
          <w:tcPr>
            <w:tcW w:w="992" w:type="dxa"/>
            <w:tcBorders>
              <w:top w:val="nil"/>
              <w:left w:val="nil"/>
              <w:bottom w:val="single" w:sz="8" w:space="0" w:color="auto"/>
              <w:right w:val="single" w:sz="8" w:space="0" w:color="auto"/>
            </w:tcBorders>
            <w:shd w:val="clear" w:color="000000" w:fill="FFFFFF"/>
          </w:tcPr>
          <w:p w14:paraId="4BE8C869" w14:textId="77777777" w:rsidR="000A3959" w:rsidRDefault="000A3959" w:rsidP="00CF2E88">
            <w:pPr>
              <w:jc w:val="center"/>
              <w:rPr>
                <w:rFonts w:cs="Arial"/>
                <w:color w:val="000000"/>
                <w:sz w:val="18"/>
                <w:szCs w:val="18"/>
              </w:rPr>
            </w:pPr>
          </w:p>
          <w:p w14:paraId="63E1A447" w14:textId="3C5D52D0" w:rsidR="000A3959" w:rsidRPr="002B5EE5" w:rsidRDefault="000A3959" w:rsidP="00CF2E88">
            <w:pPr>
              <w:jc w:val="center"/>
              <w:rPr>
                <w:rFonts w:cs="Arial"/>
                <w:color w:val="000000"/>
                <w:sz w:val="18"/>
                <w:szCs w:val="18"/>
              </w:rPr>
            </w:pPr>
            <w:r>
              <w:rPr>
                <w:rFonts w:cs="Arial"/>
                <w:color w:val="000000"/>
                <w:sz w:val="18"/>
                <w:szCs w:val="18"/>
              </w:rPr>
              <w:t>-</w:t>
            </w:r>
          </w:p>
        </w:tc>
      </w:tr>
    </w:tbl>
    <w:p w14:paraId="050AE7ED" w14:textId="2C0AD80B" w:rsidR="007E5669" w:rsidRPr="004D3C78" w:rsidRDefault="007E5669" w:rsidP="00026433">
      <w:pPr>
        <w:pStyle w:val="NoSpacing"/>
        <w:rPr>
          <w:rFonts w:ascii="Arial" w:eastAsiaTheme="minorHAnsi" w:hAnsi="Arial" w:cs="Arial"/>
          <w:sz w:val="24"/>
          <w:szCs w:val="24"/>
          <w:lang w:eastAsia="en-US"/>
        </w:rPr>
      </w:pPr>
    </w:p>
    <w:p w14:paraId="0143A730" w14:textId="77777777" w:rsidR="00415E02" w:rsidRDefault="00415E02" w:rsidP="003A0BC3">
      <w:pPr>
        <w:pStyle w:val="NoSpacing"/>
        <w:rPr>
          <w:rFonts w:ascii="Arial" w:eastAsiaTheme="minorHAnsi" w:hAnsi="Arial" w:cs="Arial"/>
          <w:i/>
          <w:sz w:val="24"/>
          <w:szCs w:val="24"/>
          <w:lang w:eastAsia="en-US"/>
        </w:rPr>
      </w:pPr>
      <w:r w:rsidRPr="00925E3D">
        <w:rPr>
          <w:rFonts w:ascii="Arial" w:eastAsiaTheme="minorHAnsi" w:hAnsi="Arial" w:cs="Arial"/>
          <w:i/>
          <w:sz w:val="24"/>
          <w:szCs w:val="24"/>
          <w:lang w:eastAsia="en-US"/>
        </w:rPr>
        <w:t>Youth Offending Team</w:t>
      </w:r>
    </w:p>
    <w:p w14:paraId="0ED3B91E" w14:textId="77777777" w:rsidR="006A7668" w:rsidRPr="00925E3D" w:rsidRDefault="006A7668" w:rsidP="003A0BC3">
      <w:pPr>
        <w:pStyle w:val="NoSpacing"/>
        <w:rPr>
          <w:rFonts w:ascii="Arial" w:eastAsiaTheme="minorHAnsi" w:hAnsi="Arial" w:cs="Arial"/>
          <w:i/>
          <w:sz w:val="24"/>
          <w:szCs w:val="24"/>
          <w:lang w:eastAsia="en-US"/>
        </w:rPr>
      </w:pPr>
    </w:p>
    <w:p w14:paraId="1B717B03" w14:textId="36076C36" w:rsidR="00415E02" w:rsidRPr="00925E3D" w:rsidRDefault="00415E02" w:rsidP="00FB2A23">
      <w:pPr>
        <w:pStyle w:val="NoSpacing"/>
        <w:jc w:val="both"/>
        <w:rPr>
          <w:rFonts w:ascii="Arial" w:eastAsiaTheme="minorHAnsi" w:hAnsi="Arial" w:cs="Arial"/>
          <w:sz w:val="24"/>
          <w:szCs w:val="24"/>
          <w:lang w:eastAsia="en-US"/>
        </w:rPr>
      </w:pPr>
      <w:r w:rsidRPr="00925E3D">
        <w:rPr>
          <w:rFonts w:ascii="Arial" w:eastAsiaTheme="minorHAnsi" w:hAnsi="Arial" w:cs="Arial"/>
          <w:sz w:val="24"/>
          <w:szCs w:val="24"/>
          <w:lang w:eastAsia="en-US"/>
        </w:rPr>
        <w:t>There were fewer first time entrants to the youth justice system and Lancashire remains lower tha</w:t>
      </w:r>
      <w:r w:rsidR="007E5669">
        <w:rPr>
          <w:rFonts w:ascii="Arial" w:eastAsiaTheme="minorHAnsi" w:hAnsi="Arial" w:cs="Arial"/>
          <w:sz w:val="24"/>
          <w:szCs w:val="24"/>
          <w:lang w:eastAsia="en-US"/>
        </w:rPr>
        <w:t xml:space="preserve">n the national (304.0), </w:t>
      </w:r>
      <w:r w:rsidRPr="00925E3D">
        <w:rPr>
          <w:rFonts w:ascii="Arial" w:eastAsiaTheme="minorHAnsi" w:hAnsi="Arial" w:cs="Arial"/>
          <w:sz w:val="24"/>
          <w:szCs w:val="24"/>
          <w:lang w:eastAsia="en-US"/>
        </w:rPr>
        <w:t xml:space="preserve">regional (262.0) and statistical neighbour rates (305.0).  Published data from the Ministry of Justice suggests </w:t>
      </w:r>
      <w:r w:rsidR="007E5669">
        <w:rPr>
          <w:rFonts w:ascii="Arial" w:eastAsiaTheme="minorHAnsi" w:hAnsi="Arial" w:cs="Arial"/>
          <w:sz w:val="24"/>
          <w:szCs w:val="24"/>
          <w:lang w:eastAsia="en-US"/>
        </w:rPr>
        <w:t>that the percentage</w:t>
      </w:r>
      <w:r w:rsidRPr="00925E3D">
        <w:rPr>
          <w:rFonts w:ascii="Arial" w:eastAsiaTheme="minorHAnsi" w:hAnsi="Arial" w:cs="Arial"/>
          <w:sz w:val="24"/>
          <w:szCs w:val="24"/>
          <w:lang w:eastAsia="en-US"/>
        </w:rPr>
        <w:t xml:space="preserve"> of Lancashire youth re-offending was slightly higher than the national (42.1%) but lower than the regi</w:t>
      </w:r>
      <w:r w:rsidR="007E5669">
        <w:rPr>
          <w:rFonts w:ascii="Arial" w:eastAsiaTheme="minorHAnsi" w:hAnsi="Arial" w:cs="Arial"/>
          <w:sz w:val="24"/>
          <w:szCs w:val="24"/>
          <w:lang w:eastAsia="en-US"/>
        </w:rPr>
        <w:t>onal (44.6%) proportion</w:t>
      </w:r>
      <w:r w:rsidRPr="00925E3D">
        <w:rPr>
          <w:rFonts w:ascii="Arial" w:eastAsiaTheme="minorHAnsi" w:hAnsi="Arial" w:cs="Arial"/>
          <w:sz w:val="24"/>
          <w:szCs w:val="24"/>
          <w:lang w:eastAsia="en-US"/>
        </w:rPr>
        <w:t xml:space="preserve">s.  </w:t>
      </w:r>
    </w:p>
    <w:p w14:paraId="3C9B807B" w14:textId="77777777" w:rsidR="004D3C78" w:rsidRPr="00925E3D" w:rsidRDefault="004D3C78" w:rsidP="003A0BC3">
      <w:pPr>
        <w:pStyle w:val="NoSpacing"/>
        <w:rPr>
          <w:rFonts w:ascii="Arial" w:eastAsiaTheme="minorHAnsi" w:hAnsi="Arial" w:cs="Arial"/>
          <w:color w:val="000000" w:themeColor="text1"/>
          <w:sz w:val="24"/>
          <w:szCs w:val="24"/>
          <w:lang w:eastAsia="en-US"/>
        </w:rPr>
      </w:pPr>
    </w:p>
    <w:p w14:paraId="7C16F19B" w14:textId="77777777" w:rsidR="00415E02" w:rsidRDefault="00415E02" w:rsidP="003A0BC3">
      <w:pPr>
        <w:pStyle w:val="NoSpacing"/>
        <w:rPr>
          <w:rFonts w:ascii="Arial" w:eastAsiaTheme="minorHAnsi" w:hAnsi="Arial" w:cs="Arial"/>
          <w:i/>
          <w:sz w:val="24"/>
          <w:szCs w:val="24"/>
          <w:lang w:eastAsia="en-US"/>
        </w:rPr>
      </w:pPr>
      <w:r w:rsidRPr="00925E3D">
        <w:rPr>
          <w:rFonts w:ascii="Arial" w:eastAsiaTheme="minorHAnsi" w:hAnsi="Arial" w:cs="Arial"/>
          <w:i/>
          <w:sz w:val="24"/>
          <w:szCs w:val="24"/>
          <w:lang w:eastAsia="en-US"/>
        </w:rPr>
        <w:t>Special Educational Needs &amp; Disabilities</w:t>
      </w:r>
    </w:p>
    <w:p w14:paraId="6B716BB8" w14:textId="77777777" w:rsidR="006A7668" w:rsidRPr="00925E3D" w:rsidRDefault="006A7668" w:rsidP="003A0BC3">
      <w:pPr>
        <w:pStyle w:val="NoSpacing"/>
        <w:rPr>
          <w:rFonts w:ascii="Arial" w:eastAsiaTheme="minorHAnsi" w:hAnsi="Arial" w:cs="Arial"/>
          <w:i/>
          <w:sz w:val="24"/>
          <w:szCs w:val="24"/>
          <w:lang w:eastAsia="en-US"/>
        </w:rPr>
      </w:pPr>
    </w:p>
    <w:p w14:paraId="173FAECA" w14:textId="29078BED" w:rsidR="00415E02" w:rsidRPr="009F7546" w:rsidRDefault="00415E02" w:rsidP="00FB2A23">
      <w:pPr>
        <w:pStyle w:val="NoSpacing"/>
        <w:jc w:val="both"/>
        <w:rPr>
          <w:rFonts w:ascii="Arial" w:hAnsi="Arial" w:cs="Arial"/>
        </w:rPr>
      </w:pPr>
      <w:r w:rsidRPr="00925E3D">
        <w:rPr>
          <w:rFonts w:ascii="Arial" w:hAnsi="Arial" w:cs="Arial"/>
          <w:sz w:val="24"/>
          <w:szCs w:val="24"/>
        </w:rPr>
        <w:t xml:space="preserve">There were only 10 pupils remaining with a Special Educational Need statement in Lancashire towards the end of March 2018.  Each of these 10 cases have a draft </w:t>
      </w:r>
      <w:r w:rsidRPr="00925E3D">
        <w:rPr>
          <w:rFonts w:ascii="Arial" w:hAnsi="Arial" w:cs="Arial"/>
          <w:sz w:val="24"/>
          <w:szCs w:val="24"/>
        </w:rPr>
        <w:lastRenderedPageBreak/>
        <w:t>Education, Health and Care plan which was issued by the 31 March deadline but the parents/carers had requested not to finalise the plans.  The vast majority of S</w:t>
      </w:r>
      <w:r w:rsidR="006A7668">
        <w:rPr>
          <w:rFonts w:ascii="Arial" w:hAnsi="Arial" w:cs="Arial"/>
          <w:sz w:val="24"/>
          <w:szCs w:val="24"/>
        </w:rPr>
        <w:t xml:space="preserve">pecial </w:t>
      </w:r>
      <w:r w:rsidRPr="006A7668">
        <w:rPr>
          <w:rFonts w:ascii="Arial" w:hAnsi="Arial" w:cs="Arial"/>
          <w:sz w:val="24"/>
          <w:szCs w:val="24"/>
        </w:rPr>
        <w:t>E</w:t>
      </w:r>
      <w:r w:rsidR="006A7668" w:rsidRPr="006A7668">
        <w:rPr>
          <w:rFonts w:ascii="Arial" w:hAnsi="Arial" w:cs="Arial"/>
          <w:sz w:val="24"/>
          <w:szCs w:val="24"/>
        </w:rPr>
        <w:t xml:space="preserve">ducation </w:t>
      </w:r>
      <w:r w:rsidRPr="006A7668">
        <w:rPr>
          <w:rFonts w:ascii="Arial" w:hAnsi="Arial" w:cs="Arial"/>
          <w:sz w:val="24"/>
          <w:szCs w:val="24"/>
        </w:rPr>
        <w:t>N</w:t>
      </w:r>
      <w:r w:rsidR="006A7668" w:rsidRPr="006A7668">
        <w:rPr>
          <w:rFonts w:ascii="Arial" w:hAnsi="Arial" w:cs="Arial"/>
          <w:sz w:val="24"/>
          <w:szCs w:val="24"/>
        </w:rPr>
        <w:t>eeds</w:t>
      </w:r>
      <w:r w:rsidRPr="006A7668">
        <w:rPr>
          <w:rFonts w:ascii="Arial" w:hAnsi="Arial" w:cs="Arial"/>
          <w:sz w:val="24"/>
          <w:szCs w:val="24"/>
        </w:rPr>
        <w:t xml:space="preserve"> statements have now been transferred to E</w:t>
      </w:r>
      <w:r w:rsidR="006A7668" w:rsidRPr="006A7668">
        <w:rPr>
          <w:rFonts w:ascii="Arial" w:hAnsi="Arial" w:cs="Arial"/>
          <w:sz w:val="24"/>
          <w:szCs w:val="24"/>
        </w:rPr>
        <w:t xml:space="preserve">ducation </w:t>
      </w:r>
      <w:r w:rsidRPr="006A7668">
        <w:rPr>
          <w:rFonts w:ascii="Arial" w:hAnsi="Arial" w:cs="Arial"/>
          <w:sz w:val="24"/>
          <w:szCs w:val="24"/>
        </w:rPr>
        <w:t>H</w:t>
      </w:r>
      <w:r w:rsidR="006A7668" w:rsidRPr="006A7668">
        <w:rPr>
          <w:rFonts w:ascii="Arial" w:hAnsi="Arial" w:cs="Arial"/>
          <w:sz w:val="24"/>
          <w:szCs w:val="24"/>
        </w:rPr>
        <w:t xml:space="preserve">ealth and </w:t>
      </w:r>
      <w:r w:rsidRPr="006A7668">
        <w:rPr>
          <w:rFonts w:ascii="Arial" w:hAnsi="Arial" w:cs="Arial"/>
          <w:sz w:val="24"/>
          <w:szCs w:val="24"/>
        </w:rPr>
        <w:t>C</w:t>
      </w:r>
      <w:r w:rsidR="006A7668" w:rsidRPr="006A7668">
        <w:rPr>
          <w:rFonts w:ascii="Arial" w:hAnsi="Arial" w:cs="Arial"/>
          <w:sz w:val="24"/>
          <w:szCs w:val="24"/>
        </w:rPr>
        <w:t xml:space="preserve">are </w:t>
      </w:r>
      <w:r w:rsidRPr="006A7668">
        <w:rPr>
          <w:rFonts w:ascii="Arial" w:hAnsi="Arial" w:cs="Arial"/>
          <w:sz w:val="24"/>
          <w:szCs w:val="24"/>
        </w:rPr>
        <w:t>P</w:t>
      </w:r>
      <w:r w:rsidR="006A7668" w:rsidRPr="006A7668">
        <w:rPr>
          <w:rFonts w:ascii="Arial" w:hAnsi="Arial" w:cs="Arial"/>
          <w:sz w:val="24"/>
          <w:szCs w:val="24"/>
        </w:rPr>
        <w:t>lans</w:t>
      </w:r>
      <w:r w:rsidRPr="006A7668">
        <w:rPr>
          <w:rFonts w:ascii="Arial" w:hAnsi="Arial" w:cs="Arial"/>
          <w:sz w:val="24"/>
          <w:szCs w:val="24"/>
        </w:rPr>
        <w:t>.  As a result</w:t>
      </w:r>
      <w:r w:rsidR="007E5669" w:rsidRPr="006A7668">
        <w:rPr>
          <w:rFonts w:ascii="Arial" w:hAnsi="Arial" w:cs="Arial"/>
          <w:sz w:val="24"/>
          <w:szCs w:val="24"/>
        </w:rPr>
        <w:t>,</w:t>
      </w:r>
      <w:r w:rsidRPr="006A7668">
        <w:rPr>
          <w:rFonts w:ascii="Arial" w:hAnsi="Arial" w:cs="Arial"/>
          <w:sz w:val="24"/>
          <w:szCs w:val="24"/>
        </w:rPr>
        <w:t xml:space="preserve"> the number of E</w:t>
      </w:r>
      <w:r w:rsidR="006A7668" w:rsidRPr="006A7668">
        <w:rPr>
          <w:rFonts w:ascii="Arial" w:hAnsi="Arial" w:cs="Arial"/>
          <w:sz w:val="24"/>
          <w:szCs w:val="24"/>
        </w:rPr>
        <w:t xml:space="preserve">ducation </w:t>
      </w:r>
      <w:r w:rsidRPr="006A7668">
        <w:rPr>
          <w:rFonts w:ascii="Arial" w:hAnsi="Arial" w:cs="Arial"/>
          <w:sz w:val="24"/>
          <w:szCs w:val="24"/>
        </w:rPr>
        <w:t>H</w:t>
      </w:r>
      <w:r w:rsidR="006A7668" w:rsidRPr="006A7668">
        <w:rPr>
          <w:rFonts w:ascii="Arial" w:hAnsi="Arial" w:cs="Arial"/>
          <w:sz w:val="24"/>
          <w:szCs w:val="24"/>
        </w:rPr>
        <w:t xml:space="preserve">ealth and </w:t>
      </w:r>
      <w:r w:rsidRPr="006A7668">
        <w:rPr>
          <w:rFonts w:ascii="Arial" w:hAnsi="Arial" w:cs="Arial"/>
          <w:sz w:val="24"/>
          <w:szCs w:val="24"/>
        </w:rPr>
        <w:t>C</w:t>
      </w:r>
      <w:r w:rsidR="006A7668" w:rsidRPr="006A7668">
        <w:rPr>
          <w:rFonts w:ascii="Arial" w:hAnsi="Arial" w:cs="Arial"/>
          <w:sz w:val="24"/>
          <w:szCs w:val="24"/>
        </w:rPr>
        <w:t xml:space="preserve">are </w:t>
      </w:r>
      <w:r w:rsidRPr="006A7668">
        <w:rPr>
          <w:rFonts w:ascii="Arial" w:hAnsi="Arial" w:cs="Arial"/>
          <w:sz w:val="24"/>
          <w:szCs w:val="24"/>
        </w:rPr>
        <w:t>P</w:t>
      </w:r>
      <w:r w:rsidR="006A7668" w:rsidRPr="006A7668">
        <w:rPr>
          <w:rFonts w:ascii="Arial" w:hAnsi="Arial" w:cs="Arial"/>
          <w:sz w:val="24"/>
          <w:szCs w:val="24"/>
        </w:rPr>
        <w:t>lans</w:t>
      </w:r>
      <w:r w:rsidRPr="006A7668">
        <w:rPr>
          <w:rFonts w:ascii="Arial" w:hAnsi="Arial" w:cs="Arial"/>
          <w:sz w:val="24"/>
          <w:szCs w:val="24"/>
        </w:rPr>
        <w:t xml:space="preserve"> in place (6,391) had increased at the end of March when compared to January 2018 (5,556).</w:t>
      </w:r>
    </w:p>
    <w:p w14:paraId="47114CD7" w14:textId="77777777" w:rsidR="005403E0" w:rsidRDefault="005403E0" w:rsidP="00415E02">
      <w:pPr>
        <w:pStyle w:val="NoSpacing"/>
        <w:rPr>
          <w:rFonts w:ascii="Arial" w:hAnsi="Arial" w:cs="Arial"/>
          <w:sz w:val="24"/>
          <w:szCs w:val="24"/>
        </w:rPr>
      </w:pPr>
    </w:p>
    <w:tbl>
      <w:tblPr>
        <w:tblW w:w="9636" w:type="dxa"/>
        <w:tblLook w:val="04A0" w:firstRow="1" w:lastRow="0" w:firstColumn="1" w:lastColumn="0" w:noHBand="0" w:noVBand="1"/>
      </w:tblPr>
      <w:tblGrid>
        <w:gridCol w:w="5093"/>
        <w:gridCol w:w="875"/>
        <w:gridCol w:w="1187"/>
        <w:gridCol w:w="1134"/>
        <w:gridCol w:w="1347"/>
      </w:tblGrid>
      <w:tr w:rsidR="005403E0" w:rsidRPr="00437B6A" w14:paraId="6A32EBBF" w14:textId="070F21AE" w:rsidTr="00FB2A23">
        <w:trPr>
          <w:trHeight w:val="87"/>
        </w:trPr>
        <w:tc>
          <w:tcPr>
            <w:tcW w:w="50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27FA107" w14:textId="77777777" w:rsidR="005403E0" w:rsidRPr="00CF2E88" w:rsidRDefault="005403E0" w:rsidP="00437B6A">
            <w:pPr>
              <w:rPr>
                <w:rFonts w:cs="Arial"/>
                <w:b/>
                <w:bCs/>
                <w:sz w:val="18"/>
                <w:szCs w:val="18"/>
              </w:rPr>
            </w:pPr>
            <w:r w:rsidRPr="00CF2E88">
              <w:rPr>
                <w:rFonts w:cs="Arial"/>
                <w:b/>
                <w:bCs/>
                <w:sz w:val="18"/>
                <w:szCs w:val="18"/>
              </w:rPr>
              <w:t>Performance Measure</w:t>
            </w:r>
          </w:p>
        </w:tc>
        <w:tc>
          <w:tcPr>
            <w:tcW w:w="875" w:type="dxa"/>
            <w:tcBorders>
              <w:top w:val="single" w:sz="8" w:space="0" w:color="auto"/>
              <w:left w:val="nil"/>
              <w:bottom w:val="single" w:sz="8" w:space="0" w:color="auto"/>
              <w:right w:val="single" w:sz="8" w:space="0" w:color="auto"/>
            </w:tcBorders>
            <w:shd w:val="clear" w:color="000000" w:fill="D9D9D9"/>
            <w:vAlign w:val="center"/>
            <w:hideMark/>
          </w:tcPr>
          <w:p w14:paraId="65515F1C" w14:textId="77777777" w:rsidR="005403E0" w:rsidRPr="00CF2E88" w:rsidRDefault="005403E0" w:rsidP="00437B6A">
            <w:pPr>
              <w:jc w:val="center"/>
              <w:rPr>
                <w:rFonts w:cs="Arial"/>
                <w:b/>
                <w:bCs/>
                <w:sz w:val="18"/>
                <w:szCs w:val="18"/>
              </w:rPr>
            </w:pPr>
            <w:r w:rsidRPr="00CF2E88">
              <w:rPr>
                <w:rFonts w:cs="Arial"/>
                <w:b/>
                <w:bCs/>
                <w:sz w:val="18"/>
                <w:szCs w:val="18"/>
              </w:rPr>
              <w:t>Good is High or Low</w:t>
            </w:r>
          </w:p>
        </w:tc>
        <w:tc>
          <w:tcPr>
            <w:tcW w:w="1187" w:type="dxa"/>
            <w:tcBorders>
              <w:top w:val="single" w:sz="8" w:space="0" w:color="auto"/>
              <w:left w:val="nil"/>
              <w:bottom w:val="single" w:sz="8" w:space="0" w:color="auto"/>
              <w:right w:val="nil"/>
            </w:tcBorders>
            <w:shd w:val="clear" w:color="000000" w:fill="D9D9D9"/>
            <w:noWrap/>
            <w:vAlign w:val="center"/>
            <w:hideMark/>
          </w:tcPr>
          <w:p w14:paraId="0EF42BED" w14:textId="77777777" w:rsidR="005403E0" w:rsidRPr="00CF2E88" w:rsidRDefault="005403E0" w:rsidP="00437B6A">
            <w:pPr>
              <w:jc w:val="center"/>
              <w:rPr>
                <w:rFonts w:cs="Arial"/>
                <w:b/>
                <w:bCs/>
                <w:sz w:val="18"/>
                <w:szCs w:val="18"/>
              </w:rPr>
            </w:pPr>
            <w:r w:rsidRPr="00CF2E88">
              <w:rPr>
                <w:rFonts w:cs="Arial"/>
                <w:b/>
                <w:bCs/>
                <w:sz w:val="18"/>
                <w:szCs w:val="18"/>
              </w:rPr>
              <w:t>Previous</w:t>
            </w:r>
          </w:p>
          <w:p w14:paraId="7B8B5B0C" w14:textId="4845E93B" w:rsidR="00CF2E88" w:rsidRPr="00CF2E88" w:rsidRDefault="00CF2E88" w:rsidP="00437B6A">
            <w:pPr>
              <w:jc w:val="center"/>
              <w:rPr>
                <w:rFonts w:cs="Arial"/>
                <w:b/>
                <w:bCs/>
                <w:sz w:val="18"/>
                <w:szCs w:val="18"/>
              </w:rPr>
            </w:pPr>
            <w:r w:rsidRPr="00CF2E88">
              <w:rPr>
                <w:rFonts w:cs="Arial"/>
                <w:b/>
                <w:bCs/>
                <w:sz w:val="18"/>
                <w:szCs w:val="18"/>
              </w:rPr>
              <w:t>Period</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D1156DF" w14:textId="77777777" w:rsidR="005403E0" w:rsidRPr="00CF2E88" w:rsidRDefault="005403E0" w:rsidP="00437B6A">
            <w:pPr>
              <w:jc w:val="center"/>
              <w:rPr>
                <w:rFonts w:cs="Arial"/>
                <w:b/>
                <w:bCs/>
                <w:sz w:val="18"/>
                <w:szCs w:val="18"/>
              </w:rPr>
            </w:pPr>
            <w:r w:rsidRPr="00CF2E88">
              <w:rPr>
                <w:rFonts w:cs="Arial"/>
                <w:b/>
                <w:bCs/>
                <w:sz w:val="18"/>
                <w:szCs w:val="18"/>
              </w:rPr>
              <w:t>Latest</w:t>
            </w:r>
          </w:p>
          <w:p w14:paraId="2C30E0F5" w14:textId="5D3E8C11" w:rsidR="00CF2E88" w:rsidRPr="00CF2E88" w:rsidRDefault="00CF2E88" w:rsidP="00437B6A">
            <w:pPr>
              <w:jc w:val="center"/>
              <w:rPr>
                <w:rFonts w:cs="Arial"/>
                <w:b/>
                <w:bCs/>
                <w:sz w:val="18"/>
                <w:szCs w:val="18"/>
              </w:rPr>
            </w:pPr>
            <w:r w:rsidRPr="00CF2E88">
              <w:rPr>
                <w:rFonts w:cs="Arial"/>
                <w:b/>
                <w:bCs/>
                <w:sz w:val="18"/>
                <w:szCs w:val="18"/>
              </w:rPr>
              <w:t>Available</w:t>
            </w:r>
          </w:p>
        </w:tc>
        <w:tc>
          <w:tcPr>
            <w:tcW w:w="1347" w:type="dxa"/>
            <w:tcBorders>
              <w:top w:val="single" w:sz="8" w:space="0" w:color="auto"/>
              <w:left w:val="single" w:sz="8" w:space="0" w:color="auto"/>
              <w:bottom w:val="single" w:sz="8" w:space="0" w:color="auto"/>
              <w:right w:val="single" w:sz="8" w:space="0" w:color="auto"/>
            </w:tcBorders>
            <w:shd w:val="clear" w:color="000000" w:fill="D9D9D9"/>
            <w:vAlign w:val="center"/>
          </w:tcPr>
          <w:p w14:paraId="01BD8A20" w14:textId="77777777" w:rsidR="005403E0" w:rsidRPr="00CF2E88" w:rsidRDefault="005403E0" w:rsidP="00CF2E88">
            <w:pPr>
              <w:jc w:val="center"/>
              <w:rPr>
                <w:rFonts w:cs="Arial"/>
                <w:b/>
                <w:bCs/>
                <w:sz w:val="18"/>
                <w:szCs w:val="18"/>
              </w:rPr>
            </w:pPr>
            <w:r w:rsidRPr="00CF2E88">
              <w:rPr>
                <w:rFonts w:cs="Arial"/>
                <w:b/>
                <w:bCs/>
                <w:sz w:val="18"/>
                <w:szCs w:val="18"/>
              </w:rPr>
              <w:t>England</w:t>
            </w:r>
          </w:p>
          <w:p w14:paraId="6A8BB9B8" w14:textId="5F689A0E" w:rsidR="005403E0" w:rsidRPr="00CF2E88" w:rsidRDefault="005403E0" w:rsidP="00CF2E88">
            <w:pPr>
              <w:jc w:val="center"/>
              <w:rPr>
                <w:rFonts w:cs="Arial"/>
                <w:b/>
                <w:bCs/>
                <w:sz w:val="18"/>
                <w:szCs w:val="18"/>
              </w:rPr>
            </w:pPr>
            <w:r w:rsidRPr="00CF2E88">
              <w:rPr>
                <w:rFonts w:cs="Arial"/>
                <w:b/>
                <w:bCs/>
                <w:sz w:val="18"/>
                <w:szCs w:val="18"/>
              </w:rPr>
              <w:t>Average</w:t>
            </w:r>
          </w:p>
        </w:tc>
      </w:tr>
      <w:tr w:rsidR="00CF2E88" w:rsidRPr="00437B6A" w14:paraId="7216FDE6" w14:textId="0D60B9D0" w:rsidTr="00FB2A23">
        <w:trPr>
          <w:trHeight w:val="60"/>
        </w:trPr>
        <w:tc>
          <w:tcPr>
            <w:tcW w:w="963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C51E9A" w14:textId="502D5212" w:rsidR="00CF2E88" w:rsidRPr="00CF2E88" w:rsidRDefault="00CF2E88" w:rsidP="00437B6A">
            <w:pPr>
              <w:rPr>
                <w:rFonts w:cs="Arial"/>
                <w:b/>
                <w:bCs/>
                <w:sz w:val="18"/>
                <w:szCs w:val="18"/>
              </w:rPr>
            </w:pPr>
            <w:r w:rsidRPr="00CF2E88">
              <w:rPr>
                <w:rFonts w:cs="Arial"/>
                <w:b/>
                <w:bCs/>
                <w:sz w:val="18"/>
                <w:szCs w:val="18"/>
              </w:rPr>
              <w:t>School Improvement</w:t>
            </w:r>
          </w:p>
        </w:tc>
      </w:tr>
      <w:tr w:rsidR="005403E0" w:rsidRPr="00437B6A" w14:paraId="4B60A15A" w14:textId="6F33E311" w:rsidTr="00FB2A23">
        <w:trPr>
          <w:trHeight w:val="60"/>
        </w:trPr>
        <w:tc>
          <w:tcPr>
            <w:tcW w:w="5093" w:type="dxa"/>
            <w:tcBorders>
              <w:top w:val="nil"/>
              <w:left w:val="single" w:sz="8" w:space="0" w:color="auto"/>
              <w:bottom w:val="single" w:sz="4" w:space="0" w:color="auto"/>
              <w:right w:val="single" w:sz="8" w:space="0" w:color="auto"/>
            </w:tcBorders>
            <w:shd w:val="clear" w:color="auto" w:fill="auto"/>
            <w:vAlign w:val="center"/>
            <w:hideMark/>
          </w:tcPr>
          <w:p w14:paraId="77176207" w14:textId="77777777" w:rsidR="005403E0" w:rsidRPr="00CF2E88" w:rsidRDefault="005403E0" w:rsidP="005403E0">
            <w:pPr>
              <w:rPr>
                <w:rFonts w:cs="Arial"/>
                <w:sz w:val="18"/>
                <w:szCs w:val="18"/>
              </w:rPr>
            </w:pPr>
            <w:r w:rsidRPr="00CF2E88">
              <w:rPr>
                <w:rFonts w:cs="Arial"/>
                <w:sz w:val="18"/>
                <w:szCs w:val="18"/>
              </w:rPr>
              <w:t>% Absence levels in primary, secondary, and special schools</w:t>
            </w:r>
          </w:p>
        </w:tc>
        <w:tc>
          <w:tcPr>
            <w:tcW w:w="875" w:type="dxa"/>
            <w:tcBorders>
              <w:top w:val="nil"/>
              <w:left w:val="nil"/>
              <w:bottom w:val="single" w:sz="4" w:space="0" w:color="auto"/>
              <w:right w:val="single" w:sz="8" w:space="0" w:color="auto"/>
            </w:tcBorders>
            <w:shd w:val="clear" w:color="auto" w:fill="auto"/>
            <w:vAlign w:val="center"/>
            <w:hideMark/>
          </w:tcPr>
          <w:p w14:paraId="5718A1F3" w14:textId="77777777" w:rsidR="005403E0" w:rsidRPr="00CF2E88" w:rsidRDefault="005403E0" w:rsidP="005403E0">
            <w:pPr>
              <w:jc w:val="center"/>
              <w:rPr>
                <w:rFonts w:cs="Arial"/>
                <w:sz w:val="18"/>
                <w:szCs w:val="18"/>
              </w:rPr>
            </w:pPr>
            <w:r w:rsidRPr="00CF2E88">
              <w:rPr>
                <w:rFonts w:cs="Arial"/>
                <w:sz w:val="18"/>
                <w:szCs w:val="18"/>
              </w:rPr>
              <w:t>L</w:t>
            </w:r>
          </w:p>
        </w:tc>
        <w:tc>
          <w:tcPr>
            <w:tcW w:w="1187" w:type="dxa"/>
            <w:tcBorders>
              <w:top w:val="nil"/>
              <w:left w:val="nil"/>
              <w:bottom w:val="single" w:sz="4" w:space="0" w:color="auto"/>
              <w:right w:val="single" w:sz="8" w:space="0" w:color="auto"/>
            </w:tcBorders>
            <w:shd w:val="clear" w:color="auto" w:fill="auto"/>
            <w:noWrap/>
            <w:vAlign w:val="center"/>
            <w:hideMark/>
          </w:tcPr>
          <w:p w14:paraId="4A8D123E" w14:textId="77777777" w:rsidR="005403E0" w:rsidRPr="00CF2E88" w:rsidRDefault="005403E0" w:rsidP="005403E0">
            <w:pPr>
              <w:jc w:val="center"/>
              <w:rPr>
                <w:rFonts w:cs="Arial"/>
                <w:sz w:val="18"/>
                <w:szCs w:val="18"/>
              </w:rPr>
            </w:pPr>
            <w:r w:rsidRPr="00CF2E88">
              <w:rPr>
                <w:rFonts w:cs="Arial"/>
                <w:sz w:val="18"/>
                <w:szCs w:val="18"/>
              </w:rPr>
              <w:t>4.3%</w:t>
            </w:r>
          </w:p>
          <w:p w14:paraId="2101C24C" w14:textId="20F05F7F" w:rsidR="005403E0" w:rsidRPr="00CF2E88" w:rsidRDefault="005403E0" w:rsidP="005403E0">
            <w:pPr>
              <w:jc w:val="center"/>
              <w:rPr>
                <w:rFonts w:cs="Arial"/>
                <w:sz w:val="18"/>
                <w:szCs w:val="18"/>
              </w:rPr>
            </w:pPr>
            <w:r w:rsidRPr="00CF2E88">
              <w:rPr>
                <w:rFonts w:cs="Arial"/>
                <w:sz w:val="18"/>
                <w:szCs w:val="18"/>
              </w:rPr>
              <w:t xml:space="preserve"> (2015/16)</w:t>
            </w:r>
          </w:p>
        </w:tc>
        <w:tc>
          <w:tcPr>
            <w:tcW w:w="1134" w:type="dxa"/>
            <w:tcBorders>
              <w:top w:val="nil"/>
              <w:left w:val="nil"/>
              <w:bottom w:val="single" w:sz="4" w:space="0" w:color="auto"/>
              <w:right w:val="single" w:sz="8" w:space="0" w:color="auto"/>
            </w:tcBorders>
            <w:shd w:val="clear" w:color="000000" w:fill="D8E4BC"/>
            <w:noWrap/>
            <w:vAlign w:val="center"/>
            <w:hideMark/>
          </w:tcPr>
          <w:p w14:paraId="5B87950E" w14:textId="77777777" w:rsidR="005403E0" w:rsidRPr="00CF2E88" w:rsidRDefault="005403E0" w:rsidP="005403E0">
            <w:pPr>
              <w:jc w:val="center"/>
              <w:rPr>
                <w:rFonts w:cs="Arial"/>
                <w:sz w:val="18"/>
                <w:szCs w:val="18"/>
              </w:rPr>
            </w:pPr>
            <w:r w:rsidRPr="00CF2E88">
              <w:rPr>
                <w:rFonts w:cs="Arial"/>
                <w:sz w:val="18"/>
                <w:szCs w:val="18"/>
              </w:rPr>
              <w:t xml:space="preserve">4.3% </w:t>
            </w:r>
          </w:p>
          <w:p w14:paraId="7B6E23CE" w14:textId="77777777" w:rsidR="005403E0" w:rsidRPr="00CF2E88" w:rsidRDefault="005403E0" w:rsidP="005403E0">
            <w:pPr>
              <w:jc w:val="center"/>
              <w:rPr>
                <w:rFonts w:cs="Arial"/>
                <w:sz w:val="18"/>
                <w:szCs w:val="18"/>
              </w:rPr>
            </w:pPr>
            <w:r w:rsidRPr="00CF2E88">
              <w:rPr>
                <w:rFonts w:cs="Arial"/>
                <w:sz w:val="18"/>
                <w:szCs w:val="18"/>
              </w:rPr>
              <w:t>(2016/17)</w:t>
            </w:r>
          </w:p>
        </w:tc>
        <w:tc>
          <w:tcPr>
            <w:tcW w:w="1347" w:type="dxa"/>
            <w:tcBorders>
              <w:top w:val="nil"/>
              <w:left w:val="nil"/>
              <w:bottom w:val="single" w:sz="8" w:space="0" w:color="auto"/>
              <w:right w:val="single" w:sz="8" w:space="0" w:color="auto"/>
            </w:tcBorders>
            <w:shd w:val="clear" w:color="000000" w:fill="FFFFFF"/>
          </w:tcPr>
          <w:p w14:paraId="349AFD4F" w14:textId="7A285B32" w:rsidR="005403E0" w:rsidRPr="00CF2E88" w:rsidRDefault="005403E0" w:rsidP="005403E0">
            <w:pPr>
              <w:jc w:val="center"/>
              <w:rPr>
                <w:rFonts w:cs="Arial"/>
                <w:sz w:val="18"/>
                <w:szCs w:val="18"/>
              </w:rPr>
            </w:pPr>
            <w:r w:rsidRPr="00CF2E88">
              <w:rPr>
                <w:rFonts w:cs="Arial"/>
                <w:sz w:val="18"/>
                <w:szCs w:val="18"/>
              </w:rPr>
              <w:t>4.7% (2016/17)</w:t>
            </w:r>
          </w:p>
        </w:tc>
      </w:tr>
      <w:tr w:rsidR="008762C0" w:rsidRPr="00437B6A" w14:paraId="1AD824A8" w14:textId="38F49C89" w:rsidTr="00FB2A23">
        <w:trPr>
          <w:trHeight w:val="60"/>
        </w:trPr>
        <w:tc>
          <w:tcPr>
            <w:tcW w:w="5093" w:type="dxa"/>
            <w:tcBorders>
              <w:top w:val="nil"/>
              <w:left w:val="single" w:sz="8" w:space="0" w:color="auto"/>
              <w:bottom w:val="single" w:sz="8" w:space="0" w:color="auto"/>
              <w:right w:val="single" w:sz="8" w:space="0" w:color="auto"/>
            </w:tcBorders>
            <w:vAlign w:val="center"/>
          </w:tcPr>
          <w:p w14:paraId="551ADBED" w14:textId="1D993FF9" w:rsidR="000A3959" w:rsidRPr="00CF2E88" w:rsidRDefault="000A3959" w:rsidP="00806F0E">
            <w:pPr>
              <w:rPr>
                <w:rFonts w:cs="Arial"/>
                <w:sz w:val="18"/>
                <w:szCs w:val="18"/>
              </w:rPr>
            </w:pPr>
            <w:r w:rsidRPr="00CF2E88">
              <w:rPr>
                <w:sz w:val="18"/>
                <w:szCs w:val="18"/>
              </w:rPr>
              <w:t xml:space="preserve">% </w:t>
            </w:r>
            <w:r w:rsidR="00806F0E">
              <w:rPr>
                <w:sz w:val="18"/>
                <w:szCs w:val="18"/>
              </w:rPr>
              <w:t>E</w:t>
            </w:r>
            <w:r w:rsidRPr="00CF2E88">
              <w:rPr>
                <w:sz w:val="18"/>
                <w:szCs w:val="18"/>
              </w:rPr>
              <w:t>ducation settings rated Good/Outstanding</w:t>
            </w:r>
          </w:p>
        </w:tc>
        <w:tc>
          <w:tcPr>
            <w:tcW w:w="875" w:type="dxa"/>
            <w:tcBorders>
              <w:top w:val="nil"/>
              <w:left w:val="nil"/>
              <w:bottom w:val="single" w:sz="8" w:space="0" w:color="auto"/>
              <w:right w:val="single" w:sz="8" w:space="0" w:color="auto"/>
            </w:tcBorders>
            <w:vAlign w:val="center"/>
          </w:tcPr>
          <w:p w14:paraId="0273F1F6" w14:textId="5ACC6929" w:rsidR="000A3959" w:rsidRPr="00CF2E88" w:rsidRDefault="000A3959" w:rsidP="000A3959">
            <w:pPr>
              <w:jc w:val="center"/>
              <w:rPr>
                <w:rFonts w:cs="Arial"/>
                <w:sz w:val="18"/>
                <w:szCs w:val="18"/>
              </w:rPr>
            </w:pPr>
            <w:r w:rsidRPr="00CF2E88">
              <w:rPr>
                <w:sz w:val="18"/>
                <w:szCs w:val="18"/>
              </w:rPr>
              <w:t>H</w:t>
            </w:r>
          </w:p>
        </w:tc>
        <w:tc>
          <w:tcPr>
            <w:tcW w:w="1187" w:type="dxa"/>
            <w:tcBorders>
              <w:top w:val="nil"/>
              <w:left w:val="nil"/>
              <w:bottom w:val="single" w:sz="8" w:space="0" w:color="auto"/>
              <w:right w:val="single" w:sz="8" w:space="0" w:color="auto"/>
            </w:tcBorders>
            <w:noWrap/>
            <w:vAlign w:val="center"/>
          </w:tcPr>
          <w:p w14:paraId="5C2916C7" w14:textId="77777777" w:rsidR="000A3959" w:rsidRPr="00CF2E88" w:rsidRDefault="000A3959" w:rsidP="000A3959">
            <w:pPr>
              <w:jc w:val="center"/>
              <w:rPr>
                <w:rFonts w:ascii="Calibri" w:hAnsi="Calibri"/>
                <w:sz w:val="18"/>
                <w:szCs w:val="18"/>
              </w:rPr>
            </w:pPr>
            <w:r w:rsidRPr="00CF2E88">
              <w:rPr>
                <w:sz w:val="18"/>
                <w:szCs w:val="18"/>
              </w:rPr>
              <w:t>91.1%</w:t>
            </w:r>
          </w:p>
          <w:p w14:paraId="2C447BFD" w14:textId="2F5BA8EF" w:rsidR="000A3959" w:rsidRPr="00CF2E88" w:rsidRDefault="000A3959" w:rsidP="000A3959">
            <w:pPr>
              <w:jc w:val="center"/>
              <w:rPr>
                <w:rFonts w:cs="Arial"/>
                <w:sz w:val="18"/>
                <w:szCs w:val="18"/>
              </w:rPr>
            </w:pPr>
            <w:r w:rsidRPr="00CF2E88">
              <w:rPr>
                <w:sz w:val="18"/>
                <w:szCs w:val="18"/>
              </w:rPr>
              <w:t>(March 17)</w:t>
            </w:r>
          </w:p>
        </w:tc>
        <w:tc>
          <w:tcPr>
            <w:tcW w:w="1134" w:type="dxa"/>
            <w:tcBorders>
              <w:top w:val="nil"/>
              <w:left w:val="nil"/>
              <w:bottom w:val="single" w:sz="8" w:space="0" w:color="auto"/>
              <w:right w:val="single" w:sz="8" w:space="0" w:color="auto"/>
            </w:tcBorders>
            <w:shd w:val="clear" w:color="auto" w:fill="D8E4BC"/>
            <w:noWrap/>
            <w:vAlign w:val="center"/>
          </w:tcPr>
          <w:p w14:paraId="665F9D51" w14:textId="77777777" w:rsidR="000A3959" w:rsidRPr="00CF2E88" w:rsidRDefault="000A3959" w:rsidP="000A3959">
            <w:pPr>
              <w:jc w:val="center"/>
              <w:rPr>
                <w:sz w:val="18"/>
                <w:szCs w:val="18"/>
              </w:rPr>
            </w:pPr>
            <w:r w:rsidRPr="00CF2E88">
              <w:rPr>
                <w:sz w:val="18"/>
                <w:szCs w:val="18"/>
              </w:rPr>
              <w:t xml:space="preserve">90.0% </w:t>
            </w:r>
          </w:p>
          <w:p w14:paraId="5A5570E0" w14:textId="7D231B04" w:rsidR="000A3959" w:rsidRPr="00CF2E88" w:rsidRDefault="000A3959" w:rsidP="000A3959">
            <w:pPr>
              <w:jc w:val="center"/>
              <w:rPr>
                <w:rFonts w:cs="Arial"/>
                <w:sz w:val="18"/>
                <w:szCs w:val="18"/>
              </w:rPr>
            </w:pPr>
            <w:r w:rsidRPr="00CF2E88">
              <w:rPr>
                <w:sz w:val="18"/>
                <w:szCs w:val="18"/>
              </w:rPr>
              <w:t>(March 18)</w:t>
            </w:r>
          </w:p>
        </w:tc>
        <w:tc>
          <w:tcPr>
            <w:tcW w:w="1347" w:type="dxa"/>
            <w:tcBorders>
              <w:top w:val="nil"/>
              <w:left w:val="nil"/>
              <w:bottom w:val="single" w:sz="8" w:space="0" w:color="auto"/>
              <w:right w:val="single" w:sz="8" w:space="0" w:color="auto"/>
            </w:tcBorders>
            <w:shd w:val="clear" w:color="auto" w:fill="FFFFFF"/>
          </w:tcPr>
          <w:p w14:paraId="1B260FA2" w14:textId="44E1400E" w:rsidR="000A3959" w:rsidRPr="00CF2E88" w:rsidRDefault="000A3959" w:rsidP="000A3959">
            <w:pPr>
              <w:jc w:val="center"/>
              <w:rPr>
                <w:rFonts w:cs="Arial"/>
                <w:sz w:val="18"/>
                <w:szCs w:val="18"/>
              </w:rPr>
            </w:pPr>
            <w:r w:rsidRPr="00CF2E88">
              <w:rPr>
                <w:sz w:val="18"/>
                <w:szCs w:val="18"/>
              </w:rPr>
              <w:t>89%</w:t>
            </w:r>
          </w:p>
        </w:tc>
      </w:tr>
    </w:tbl>
    <w:p w14:paraId="0A818B8F" w14:textId="77777777" w:rsidR="00806F0E" w:rsidRDefault="00806F0E" w:rsidP="005403E0">
      <w:pPr>
        <w:pStyle w:val="NoSpacing"/>
        <w:rPr>
          <w:rFonts w:ascii="Arial" w:eastAsiaTheme="minorHAnsi" w:hAnsi="Arial" w:cs="Arial"/>
          <w:i/>
          <w:sz w:val="24"/>
          <w:szCs w:val="24"/>
          <w:lang w:eastAsia="en-US"/>
        </w:rPr>
      </w:pPr>
    </w:p>
    <w:p w14:paraId="0D27E1D6" w14:textId="77777777" w:rsidR="005403E0" w:rsidRDefault="005403E0" w:rsidP="005403E0">
      <w:pPr>
        <w:pStyle w:val="NoSpacing"/>
        <w:rPr>
          <w:rFonts w:ascii="Arial" w:eastAsiaTheme="minorHAnsi" w:hAnsi="Arial" w:cs="Arial"/>
          <w:i/>
          <w:sz w:val="24"/>
          <w:szCs w:val="24"/>
          <w:lang w:eastAsia="en-US"/>
        </w:rPr>
      </w:pPr>
      <w:r w:rsidRPr="009F7546">
        <w:rPr>
          <w:rFonts w:ascii="Arial" w:eastAsiaTheme="minorHAnsi" w:hAnsi="Arial" w:cs="Arial"/>
          <w:i/>
          <w:sz w:val="24"/>
          <w:szCs w:val="24"/>
          <w:lang w:eastAsia="en-US"/>
        </w:rPr>
        <w:t xml:space="preserve">School Improvement </w:t>
      </w:r>
    </w:p>
    <w:p w14:paraId="477F0F69" w14:textId="77777777" w:rsidR="006A7668" w:rsidRPr="009F7546" w:rsidRDefault="006A7668" w:rsidP="005403E0">
      <w:pPr>
        <w:pStyle w:val="NoSpacing"/>
        <w:rPr>
          <w:rFonts w:ascii="Arial" w:eastAsiaTheme="minorHAnsi" w:hAnsi="Arial" w:cs="Arial"/>
          <w:i/>
          <w:sz w:val="24"/>
          <w:szCs w:val="24"/>
          <w:lang w:eastAsia="en-US"/>
        </w:rPr>
      </w:pPr>
    </w:p>
    <w:p w14:paraId="4E0F9699" w14:textId="77777777" w:rsidR="005403E0" w:rsidRDefault="005403E0" w:rsidP="00FB2A23">
      <w:pPr>
        <w:pStyle w:val="NoSpacing"/>
        <w:jc w:val="both"/>
        <w:rPr>
          <w:rFonts w:ascii="Arial" w:hAnsi="Arial" w:cs="Arial"/>
          <w:sz w:val="24"/>
          <w:szCs w:val="24"/>
        </w:rPr>
      </w:pPr>
      <w:r w:rsidRPr="00925E3D">
        <w:rPr>
          <w:rFonts w:ascii="Arial" w:hAnsi="Arial" w:cs="Arial"/>
          <w:sz w:val="24"/>
          <w:szCs w:val="24"/>
        </w:rPr>
        <w:t xml:space="preserve">Finalised data published by the Department for Education suggests </w:t>
      </w:r>
      <w:r>
        <w:rPr>
          <w:rFonts w:ascii="Arial" w:hAnsi="Arial" w:cs="Arial"/>
          <w:sz w:val="24"/>
          <w:szCs w:val="24"/>
        </w:rPr>
        <w:t xml:space="preserve">that </w:t>
      </w:r>
      <w:r w:rsidRPr="00925E3D">
        <w:rPr>
          <w:rFonts w:ascii="Arial" w:hAnsi="Arial" w:cs="Arial"/>
          <w:sz w:val="24"/>
          <w:szCs w:val="24"/>
        </w:rPr>
        <w:t>during 2016/17</w:t>
      </w:r>
      <w:r>
        <w:rPr>
          <w:rFonts w:ascii="Arial" w:hAnsi="Arial" w:cs="Arial"/>
          <w:sz w:val="24"/>
          <w:szCs w:val="24"/>
        </w:rPr>
        <w:t>,</w:t>
      </w:r>
      <w:r w:rsidRPr="00925E3D">
        <w:rPr>
          <w:rFonts w:ascii="Arial" w:hAnsi="Arial" w:cs="Arial"/>
          <w:sz w:val="24"/>
          <w:szCs w:val="24"/>
        </w:rPr>
        <w:t xml:space="preserve"> the proportion of overall absence from school (4.3%) had remained stable when compared to the previous year (4.3%) and was lower than the national (4.7%), regional (4.7%), and s</w:t>
      </w:r>
      <w:r>
        <w:rPr>
          <w:rFonts w:ascii="Arial" w:hAnsi="Arial" w:cs="Arial"/>
          <w:sz w:val="24"/>
          <w:szCs w:val="24"/>
        </w:rPr>
        <w:t>tatistical neighbour (4.7%) percentage</w:t>
      </w:r>
      <w:r w:rsidRPr="00925E3D">
        <w:rPr>
          <w:rFonts w:ascii="Arial" w:hAnsi="Arial" w:cs="Arial"/>
          <w:sz w:val="24"/>
          <w:szCs w:val="24"/>
        </w:rPr>
        <w:t>s.  Lancashire remains in the upper quartile national for this indicator.  The level of persistent absenteeism in Lancashire schools (9.6%), under the new definition which includes pupils having an overall absence rate of 10% or above, was also lower than the national (10.8%), regional (11.1%) and the stati</w:t>
      </w:r>
      <w:r>
        <w:rPr>
          <w:rFonts w:ascii="Arial" w:hAnsi="Arial" w:cs="Arial"/>
          <w:sz w:val="24"/>
          <w:szCs w:val="24"/>
        </w:rPr>
        <w:t>stical neighbour (10.8%) proportion</w:t>
      </w:r>
      <w:r w:rsidRPr="00925E3D">
        <w:rPr>
          <w:rFonts w:ascii="Arial" w:hAnsi="Arial" w:cs="Arial"/>
          <w:sz w:val="24"/>
          <w:szCs w:val="24"/>
        </w:rPr>
        <w:t>s.  Attendance at</w:t>
      </w:r>
      <w:r>
        <w:rPr>
          <w:rFonts w:ascii="Arial" w:hAnsi="Arial" w:cs="Arial"/>
          <w:sz w:val="24"/>
          <w:szCs w:val="24"/>
        </w:rPr>
        <w:t xml:space="preserve"> primary, secondary and special school </w:t>
      </w:r>
      <w:r w:rsidRPr="00925E3D">
        <w:rPr>
          <w:rFonts w:ascii="Arial" w:hAnsi="Arial" w:cs="Arial"/>
          <w:sz w:val="24"/>
          <w:szCs w:val="24"/>
        </w:rPr>
        <w:t>level suggest</w:t>
      </w:r>
      <w:r>
        <w:rPr>
          <w:rFonts w:ascii="Arial" w:hAnsi="Arial" w:cs="Arial"/>
          <w:sz w:val="24"/>
          <w:szCs w:val="24"/>
        </w:rPr>
        <w:t xml:space="preserve">s that </w:t>
      </w:r>
      <w:r w:rsidRPr="00925E3D">
        <w:rPr>
          <w:rFonts w:ascii="Arial" w:hAnsi="Arial" w:cs="Arial"/>
          <w:sz w:val="24"/>
          <w:szCs w:val="24"/>
        </w:rPr>
        <w:t xml:space="preserve">the Lancashire performance is better than </w:t>
      </w:r>
      <w:r>
        <w:rPr>
          <w:rFonts w:ascii="Arial" w:hAnsi="Arial" w:cs="Arial"/>
          <w:sz w:val="24"/>
          <w:szCs w:val="24"/>
        </w:rPr>
        <w:t xml:space="preserve">that of </w:t>
      </w:r>
      <w:r w:rsidRPr="00925E3D">
        <w:rPr>
          <w:rFonts w:ascii="Arial" w:hAnsi="Arial" w:cs="Arial"/>
          <w:sz w:val="24"/>
          <w:szCs w:val="24"/>
        </w:rPr>
        <w:t>comparators.</w:t>
      </w:r>
    </w:p>
    <w:p w14:paraId="76D8D270" w14:textId="77777777" w:rsidR="00117995" w:rsidRDefault="00117995" w:rsidP="00026433">
      <w:pPr>
        <w:rPr>
          <w:rFonts w:eastAsiaTheme="minorHAnsi" w:cs="Arial"/>
          <w:color w:val="FF0000"/>
          <w:szCs w:val="24"/>
          <w:lang w:eastAsia="en-US"/>
        </w:rPr>
      </w:pPr>
    </w:p>
    <w:p w14:paraId="1D4AA449" w14:textId="057C51D2" w:rsidR="00437B6A" w:rsidRDefault="00AD58A2" w:rsidP="00026433">
      <w:pPr>
        <w:rPr>
          <w:b/>
        </w:rPr>
      </w:pPr>
      <w:r>
        <w:rPr>
          <w:b/>
        </w:rPr>
        <w:t>Growth, Environment and Community Services</w:t>
      </w:r>
      <w:r w:rsidR="00A0374B">
        <w:rPr>
          <w:b/>
        </w:rPr>
        <w:t xml:space="preserve"> </w:t>
      </w:r>
    </w:p>
    <w:p w14:paraId="2473B1E5" w14:textId="77777777" w:rsidR="00A0374B" w:rsidRDefault="00A0374B" w:rsidP="00026433">
      <w:pPr>
        <w:rPr>
          <w:b/>
        </w:rPr>
      </w:pPr>
    </w:p>
    <w:tbl>
      <w:tblPr>
        <w:tblW w:w="10047" w:type="dxa"/>
        <w:tblLayout w:type="fixed"/>
        <w:tblLook w:val="04A0" w:firstRow="1" w:lastRow="0" w:firstColumn="1" w:lastColumn="0" w:noHBand="0" w:noVBand="1"/>
      </w:tblPr>
      <w:tblGrid>
        <w:gridCol w:w="6227"/>
        <w:gridCol w:w="851"/>
        <w:gridCol w:w="1101"/>
        <w:gridCol w:w="1868"/>
      </w:tblGrid>
      <w:tr w:rsidR="009458C1" w:rsidRPr="00437B6A" w14:paraId="5F043D8D" w14:textId="77777777" w:rsidTr="008762C0">
        <w:trPr>
          <w:trHeight w:val="503"/>
        </w:trPr>
        <w:tc>
          <w:tcPr>
            <w:tcW w:w="6227" w:type="dxa"/>
            <w:tcBorders>
              <w:top w:val="single" w:sz="4" w:space="0" w:color="auto"/>
              <w:left w:val="single" w:sz="8" w:space="0" w:color="auto"/>
              <w:bottom w:val="nil"/>
              <w:right w:val="single" w:sz="8" w:space="0" w:color="auto"/>
            </w:tcBorders>
            <w:shd w:val="clear" w:color="000000" w:fill="F2F2F2"/>
            <w:vAlign w:val="center"/>
            <w:hideMark/>
          </w:tcPr>
          <w:p w14:paraId="538D354C" w14:textId="77777777" w:rsidR="009458C1" w:rsidRPr="00437B6A" w:rsidRDefault="009458C1" w:rsidP="00437B6A">
            <w:pPr>
              <w:rPr>
                <w:rFonts w:cs="Arial"/>
                <w:b/>
                <w:bCs/>
                <w:color w:val="000000"/>
                <w:sz w:val="18"/>
                <w:szCs w:val="18"/>
              </w:rPr>
            </w:pPr>
            <w:r w:rsidRPr="00437B6A">
              <w:rPr>
                <w:rFonts w:cs="Arial"/>
                <w:b/>
                <w:bCs/>
                <w:color w:val="000000"/>
                <w:sz w:val="18"/>
                <w:szCs w:val="18"/>
              </w:rPr>
              <w:t>Performance Measure</w:t>
            </w:r>
            <w:r w:rsidRPr="00437B6A">
              <w:rPr>
                <w:rFonts w:ascii="Calibri" w:hAnsi="Calibri" w:cs="Arial"/>
                <w:color w:val="000000"/>
                <w:sz w:val="16"/>
                <w:szCs w:val="16"/>
              </w:rPr>
              <w:t> </w:t>
            </w:r>
          </w:p>
        </w:tc>
        <w:tc>
          <w:tcPr>
            <w:tcW w:w="851" w:type="dxa"/>
            <w:tcBorders>
              <w:top w:val="single" w:sz="8" w:space="0" w:color="auto"/>
              <w:left w:val="nil"/>
              <w:bottom w:val="nil"/>
              <w:right w:val="single" w:sz="8" w:space="0" w:color="auto"/>
            </w:tcBorders>
            <w:shd w:val="clear" w:color="000000" w:fill="F2F2F2"/>
            <w:vAlign w:val="center"/>
            <w:hideMark/>
          </w:tcPr>
          <w:p w14:paraId="6B4287F6" w14:textId="77777777" w:rsidR="009458C1" w:rsidRPr="00437B6A" w:rsidRDefault="009458C1" w:rsidP="00437B6A">
            <w:pPr>
              <w:jc w:val="center"/>
              <w:rPr>
                <w:rFonts w:cs="Arial"/>
                <w:b/>
                <w:bCs/>
                <w:color w:val="000000"/>
                <w:sz w:val="18"/>
                <w:szCs w:val="18"/>
              </w:rPr>
            </w:pPr>
            <w:r w:rsidRPr="00437B6A">
              <w:rPr>
                <w:rFonts w:cs="Arial"/>
                <w:b/>
                <w:bCs/>
                <w:color w:val="000000"/>
                <w:sz w:val="18"/>
                <w:szCs w:val="18"/>
              </w:rPr>
              <w:t>Good is High or Low</w:t>
            </w:r>
          </w:p>
        </w:tc>
        <w:tc>
          <w:tcPr>
            <w:tcW w:w="1101" w:type="dxa"/>
            <w:tcBorders>
              <w:top w:val="single" w:sz="8" w:space="0" w:color="auto"/>
              <w:left w:val="nil"/>
              <w:bottom w:val="nil"/>
              <w:right w:val="single" w:sz="8" w:space="0" w:color="auto"/>
            </w:tcBorders>
            <w:shd w:val="clear" w:color="000000" w:fill="F2F2F2"/>
            <w:vAlign w:val="center"/>
            <w:hideMark/>
          </w:tcPr>
          <w:p w14:paraId="7266E306" w14:textId="77777777" w:rsidR="009458C1" w:rsidRPr="00437B6A" w:rsidRDefault="009458C1" w:rsidP="00437B6A">
            <w:pPr>
              <w:jc w:val="center"/>
              <w:rPr>
                <w:rFonts w:cs="Arial"/>
                <w:b/>
                <w:bCs/>
                <w:color w:val="000000"/>
                <w:sz w:val="18"/>
                <w:szCs w:val="18"/>
              </w:rPr>
            </w:pPr>
            <w:r w:rsidRPr="00437B6A">
              <w:rPr>
                <w:rFonts w:cs="Arial"/>
                <w:b/>
                <w:bCs/>
                <w:color w:val="000000"/>
                <w:sz w:val="18"/>
                <w:szCs w:val="18"/>
              </w:rPr>
              <w:t>2016/17</w:t>
            </w:r>
          </w:p>
        </w:tc>
        <w:tc>
          <w:tcPr>
            <w:tcW w:w="1868" w:type="dxa"/>
            <w:tcBorders>
              <w:top w:val="single" w:sz="8" w:space="0" w:color="auto"/>
              <w:left w:val="nil"/>
              <w:bottom w:val="nil"/>
              <w:right w:val="single" w:sz="8" w:space="0" w:color="auto"/>
            </w:tcBorders>
            <w:shd w:val="clear" w:color="000000" w:fill="F2F2F2"/>
            <w:vAlign w:val="center"/>
            <w:hideMark/>
          </w:tcPr>
          <w:p w14:paraId="094CB68F" w14:textId="77777777" w:rsidR="009458C1" w:rsidRPr="00437B6A" w:rsidRDefault="009458C1" w:rsidP="00437B6A">
            <w:pPr>
              <w:jc w:val="center"/>
              <w:rPr>
                <w:rFonts w:cs="Arial"/>
                <w:b/>
                <w:bCs/>
                <w:color w:val="000000"/>
                <w:sz w:val="18"/>
                <w:szCs w:val="18"/>
              </w:rPr>
            </w:pPr>
            <w:r w:rsidRPr="00437B6A">
              <w:rPr>
                <w:rFonts w:cs="Arial"/>
                <w:b/>
                <w:bCs/>
                <w:color w:val="000000"/>
                <w:sz w:val="18"/>
                <w:szCs w:val="18"/>
              </w:rPr>
              <w:t>2017/18</w:t>
            </w:r>
          </w:p>
        </w:tc>
      </w:tr>
      <w:tr w:rsidR="00CF2E88" w:rsidRPr="00437B6A" w14:paraId="43980659" w14:textId="77777777" w:rsidTr="008762C0">
        <w:trPr>
          <w:trHeight w:val="60"/>
        </w:trPr>
        <w:tc>
          <w:tcPr>
            <w:tcW w:w="10047" w:type="dxa"/>
            <w:gridSpan w:val="4"/>
            <w:tcBorders>
              <w:top w:val="single" w:sz="8" w:space="0" w:color="auto"/>
              <w:left w:val="single" w:sz="8" w:space="0" w:color="auto"/>
              <w:bottom w:val="single" w:sz="8" w:space="0" w:color="auto"/>
              <w:right w:val="single" w:sz="8" w:space="0" w:color="000000"/>
            </w:tcBorders>
            <w:shd w:val="clear" w:color="000000" w:fill="F2F2F2"/>
            <w:hideMark/>
          </w:tcPr>
          <w:p w14:paraId="40BA3BE1" w14:textId="20BA1869" w:rsidR="00CF2E88" w:rsidRPr="00437B6A" w:rsidRDefault="00CF2E88" w:rsidP="00CF2E88">
            <w:pPr>
              <w:rPr>
                <w:rFonts w:cs="Arial"/>
                <w:b/>
                <w:bCs/>
                <w:color w:val="000000"/>
                <w:sz w:val="18"/>
                <w:szCs w:val="18"/>
              </w:rPr>
            </w:pPr>
            <w:r w:rsidRPr="00437B6A">
              <w:rPr>
                <w:rFonts w:cs="Arial"/>
                <w:b/>
                <w:bCs/>
                <w:color w:val="000000"/>
                <w:sz w:val="18"/>
                <w:szCs w:val="18"/>
              </w:rPr>
              <w:t>Street lighting and highways</w:t>
            </w:r>
          </w:p>
        </w:tc>
      </w:tr>
      <w:tr w:rsidR="009458C1" w:rsidRPr="00437B6A" w14:paraId="2226FD8D" w14:textId="77777777" w:rsidTr="008762C0">
        <w:trPr>
          <w:trHeight w:val="60"/>
        </w:trPr>
        <w:tc>
          <w:tcPr>
            <w:tcW w:w="6227" w:type="dxa"/>
            <w:tcBorders>
              <w:top w:val="nil"/>
              <w:left w:val="single" w:sz="8" w:space="0" w:color="auto"/>
              <w:bottom w:val="single" w:sz="8" w:space="0" w:color="auto"/>
              <w:right w:val="single" w:sz="8" w:space="0" w:color="auto"/>
            </w:tcBorders>
            <w:shd w:val="clear" w:color="auto" w:fill="auto"/>
            <w:hideMark/>
          </w:tcPr>
          <w:p w14:paraId="3A38557B" w14:textId="77777777" w:rsidR="009458C1" w:rsidRPr="00437B6A" w:rsidRDefault="009458C1" w:rsidP="00CF2E88">
            <w:pPr>
              <w:rPr>
                <w:rFonts w:cs="Arial"/>
                <w:color w:val="000000"/>
                <w:sz w:val="18"/>
                <w:szCs w:val="18"/>
              </w:rPr>
            </w:pPr>
            <w:r w:rsidRPr="00437B6A">
              <w:rPr>
                <w:rFonts w:cs="Arial"/>
                <w:color w:val="000000"/>
                <w:sz w:val="18"/>
                <w:szCs w:val="18"/>
              </w:rPr>
              <w:t>Average number of working days to repair a LCC street lighting fault</w:t>
            </w:r>
          </w:p>
        </w:tc>
        <w:tc>
          <w:tcPr>
            <w:tcW w:w="851" w:type="dxa"/>
            <w:tcBorders>
              <w:top w:val="nil"/>
              <w:left w:val="nil"/>
              <w:bottom w:val="single" w:sz="8" w:space="0" w:color="auto"/>
              <w:right w:val="single" w:sz="4" w:space="0" w:color="auto"/>
            </w:tcBorders>
            <w:shd w:val="clear" w:color="auto" w:fill="auto"/>
            <w:hideMark/>
          </w:tcPr>
          <w:p w14:paraId="1E341EA9" w14:textId="77777777" w:rsidR="009458C1" w:rsidRPr="00437B6A" w:rsidRDefault="009458C1" w:rsidP="00CF2E88">
            <w:pPr>
              <w:jc w:val="center"/>
              <w:rPr>
                <w:rFonts w:cs="Arial"/>
                <w:color w:val="000000"/>
                <w:sz w:val="18"/>
                <w:szCs w:val="18"/>
              </w:rPr>
            </w:pPr>
            <w:r w:rsidRPr="00437B6A">
              <w:rPr>
                <w:rFonts w:cs="Arial"/>
                <w:color w:val="000000"/>
                <w:sz w:val="18"/>
                <w:szCs w:val="18"/>
              </w:rPr>
              <w:t>L</w:t>
            </w:r>
          </w:p>
        </w:tc>
        <w:tc>
          <w:tcPr>
            <w:tcW w:w="1101" w:type="dxa"/>
            <w:tcBorders>
              <w:top w:val="nil"/>
              <w:left w:val="single" w:sz="4" w:space="0" w:color="auto"/>
              <w:bottom w:val="single" w:sz="8" w:space="0" w:color="auto"/>
              <w:right w:val="single" w:sz="8" w:space="0" w:color="auto"/>
            </w:tcBorders>
            <w:shd w:val="clear" w:color="auto" w:fill="auto"/>
            <w:hideMark/>
          </w:tcPr>
          <w:p w14:paraId="5088FE1A" w14:textId="77777777" w:rsidR="009458C1" w:rsidRPr="00437B6A" w:rsidRDefault="009458C1" w:rsidP="00CF2E88">
            <w:pPr>
              <w:jc w:val="center"/>
              <w:rPr>
                <w:rFonts w:cs="Arial"/>
                <w:color w:val="000000"/>
                <w:sz w:val="18"/>
                <w:szCs w:val="18"/>
              </w:rPr>
            </w:pPr>
            <w:r w:rsidRPr="00437B6A">
              <w:rPr>
                <w:rFonts w:cs="Arial"/>
                <w:color w:val="000000"/>
                <w:sz w:val="18"/>
                <w:szCs w:val="18"/>
              </w:rPr>
              <w:t>4.6</w:t>
            </w:r>
          </w:p>
        </w:tc>
        <w:tc>
          <w:tcPr>
            <w:tcW w:w="1868" w:type="dxa"/>
            <w:tcBorders>
              <w:top w:val="nil"/>
              <w:left w:val="nil"/>
              <w:bottom w:val="single" w:sz="8" w:space="0" w:color="auto"/>
              <w:right w:val="single" w:sz="8" w:space="0" w:color="auto"/>
            </w:tcBorders>
            <w:shd w:val="clear" w:color="000000" w:fill="F8CBAD"/>
            <w:hideMark/>
          </w:tcPr>
          <w:p w14:paraId="24851FF0" w14:textId="77777777" w:rsidR="009458C1" w:rsidRPr="00437B6A" w:rsidRDefault="009458C1" w:rsidP="00CF2E88">
            <w:pPr>
              <w:jc w:val="center"/>
              <w:rPr>
                <w:rFonts w:cs="Arial"/>
                <w:color w:val="000000"/>
                <w:sz w:val="18"/>
                <w:szCs w:val="18"/>
              </w:rPr>
            </w:pPr>
            <w:r w:rsidRPr="00437B6A">
              <w:rPr>
                <w:rFonts w:cs="Arial"/>
                <w:color w:val="000000"/>
                <w:sz w:val="18"/>
                <w:szCs w:val="18"/>
              </w:rPr>
              <w:t>7</w:t>
            </w:r>
          </w:p>
        </w:tc>
      </w:tr>
      <w:tr w:rsidR="009458C1" w:rsidRPr="00437B6A" w14:paraId="6B75FD01" w14:textId="77777777" w:rsidTr="008762C0">
        <w:trPr>
          <w:trHeight w:val="60"/>
        </w:trPr>
        <w:tc>
          <w:tcPr>
            <w:tcW w:w="6227" w:type="dxa"/>
            <w:tcBorders>
              <w:top w:val="nil"/>
              <w:left w:val="single" w:sz="8" w:space="0" w:color="auto"/>
              <w:bottom w:val="single" w:sz="8" w:space="0" w:color="auto"/>
              <w:right w:val="single" w:sz="8" w:space="0" w:color="auto"/>
            </w:tcBorders>
            <w:shd w:val="clear" w:color="auto" w:fill="auto"/>
            <w:hideMark/>
          </w:tcPr>
          <w:p w14:paraId="4CD9C903" w14:textId="77777777" w:rsidR="009458C1" w:rsidRPr="00437B6A" w:rsidRDefault="009458C1" w:rsidP="00CF2E88">
            <w:pPr>
              <w:rPr>
                <w:rFonts w:cs="Arial"/>
                <w:color w:val="000000"/>
                <w:sz w:val="18"/>
                <w:szCs w:val="18"/>
              </w:rPr>
            </w:pPr>
            <w:r w:rsidRPr="00437B6A">
              <w:rPr>
                <w:rFonts w:cs="Arial"/>
                <w:color w:val="000000"/>
                <w:sz w:val="18"/>
                <w:szCs w:val="18"/>
              </w:rPr>
              <w:t>Highway Safety Carriageway Defects repaired within 20 working days.</w:t>
            </w:r>
          </w:p>
        </w:tc>
        <w:tc>
          <w:tcPr>
            <w:tcW w:w="851" w:type="dxa"/>
            <w:tcBorders>
              <w:top w:val="nil"/>
              <w:left w:val="nil"/>
              <w:bottom w:val="single" w:sz="8" w:space="0" w:color="auto"/>
              <w:right w:val="single" w:sz="8" w:space="0" w:color="auto"/>
            </w:tcBorders>
            <w:shd w:val="clear" w:color="auto" w:fill="auto"/>
            <w:hideMark/>
          </w:tcPr>
          <w:p w14:paraId="5A015A2B"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00ED1AE9" w14:textId="77777777" w:rsidR="009458C1" w:rsidRPr="00437B6A" w:rsidRDefault="009458C1" w:rsidP="00CF2E88">
            <w:pPr>
              <w:jc w:val="center"/>
              <w:rPr>
                <w:rFonts w:cs="Arial"/>
                <w:color w:val="000000"/>
                <w:sz w:val="18"/>
                <w:szCs w:val="18"/>
              </w:rPr>
            </w:pPr>
            <w:r w:rsidRPr="00437B6A">
              <w:rPr>
                <w:rFonts w:cs="Arial"/>
                <w:color w:val="000000"/>
                <w:sz w:val="18"/>
                <w:szCs w:val="18"/>
              </w:rPr>
              <w:t>97%</w:t>
            </w:r>
          </w:p>
        </w:tc>
        <w:tc>
          <w:tcPr>
            <w:tcW w:w="1868" w:type="dxa"/>
            <w:tcBorders>
              <w:top w:val="nil"/>
              <w:left w:val="nil"/>
              <w:bottom w:val="single" w:sz="8" w:space="0" w:color="auto"/>
              <w:right w:val="single" w:sz="8" w:space="0" w:color="auto"/>
            </w:tcBorders>
            <w:shd w:val="clear" w:color="000000" w:fill="E6B8B7"/>
            <w:hideMark/>
          </w:tcPr>
          <w:p w14:paraId="434FE7A2" w14:textId="77777777" w:rsidR="009458C1" w:rsidRPr="00437B6A" w:rsidRDefault="009458C1" w:rsidP="00CF2E88">
            <w:pPr>
              <w:jc w:val="center"/>
              <w:rPr>
                <w:rFonts w:cs="Arial"/>
                <w:color w:val="000000"/>
                <w:sz w:val="18"/>
                <w:szCs w:val="18"/>
              </w:rPr>
            </w:pPr>
            <w:r w:rsidRPr="00437B6A">
              <w:rPr>
                <w:rFonts w:cs="Arial"/>
                <w:color w:val="000000"/>
                <w:sz w:val="18"/>
                <w:szCs w:val="18"/>
              </w:rPr>
              <w:t>64%</w:t>
            </w:r>
          </w:p>
        </w:tc>
      </w:tr>
      <w:tr w:rsidR="00CF2E88" w:rsidRPr="00437B6A" w14:paraId="1C4B556E" w14:textId="77777777" w:rsidTr="008762C0">
        <w:trPr>
          <w:trHeight w:val="60"/>
        </w:trPr>
        <w:tc>
          <w:tcPr>
            <w:tcW w:w="10047" w:type="dxa"/>
            <w:gridSpan w:val="4"/>
            <w:tcBorders>
              <w:top w:val="single" w:sz="8" w:space="0" w:color="auto"/>
              <w:left w:val="single" w:sz="8" w:space="0" w:color="auto"/>
              <w:bottom w:val="single" w:sz="8" w:space="0" w:color="auto"/>
              <w:right w:val="single" w:sz="8" w:space="0" w:color="000000"/>
            </w:tcBorders>
            <w:shd w:val="clear" w:color="000000" w:fill="D9D9D9"/>
            <w:hideMark/>
          </w:tcPr>
          <w:p w14:paraId="2877F053" w14:textId="02DAC9E2" w:rsidR="00CF2E88" w:rsidRPr="00437B6A" w:rsidRDefault="00CF2E88" w:rsidP="00CF2E88">
            <w:pPr>
              <w:rPr>
                <w:rFonts w:cs="Arial"/>
                <w:b/>
                <w:bCs/>
                <w:color w:val="000000"/>
                <w:sz w:val="18"/>
                <w:szCs w:val="18"/>
              </w:rPr>
            </w:pPr>
            <w:r w:rsidRPr="00437B6A">
              <w:rPr>
                <w:rFonts w:cs="Arial"/>
                <w:b/>
                <w:bCs/>
                <w:color w:val="000000"/>
                <w:sz w:val="18"/>
                <w:szCs w:val="18"/>
              </w:rPr>
              <w:t>Waste management</w:t>
            </w:r>
          </w:p>
        </w:tc>
      </w:tr>
      <w:tr w:rsidR="009458C1" w:rsidRPr="00437B6A" w14:paraId="3ED3EDB3" w14:textId="77777777" w:rsidTr="008762C0">
        <w:trPr>
          <w:trHeight w:val="111"/>
        </w:trPr>
        <w:tc>
          <w:tcPr>
            <w:tcW w:w="6227" w:type="dxa"/>
            <w:tcBorders>
              <w:top w:val="nil"/>
              <w:left w:val="single" w:sz="8" w:space="0" w:color="auto"/>
              <w:bottom w:val="nil"/>
              <w:right w:val="single" w:sz="8" w:space="0" w:color="auto"/>
            </w:tcBorders>
            <w:shd w:val="clear" w:color="auto" w:fill="auto"/>
            <w:hideMark/>
          </w:tcPr>
          <w:p w14:paraId="1119160F" w14:textId="77777777" w:rsidR="009458C1" w:rsidRPr="00437B6A" w:rsidRDefault="009458C1" w:rsidP="00CF2E88">
            <w:pPr>
              <w:rPr>
                <w:rFonts w:cs="Arial"/>
                <w:color w:val="000000"/>
                <w:sz w:val="18"/>
                <w:szCs w:val="18"/>
              </w:rPr>
            </w:pPr>
            <w:r w:rsidRPr="00437B6A">
              <w:rPr>
                <w:rFonts w:cs="Arial"/>
                <w:color w:val="000000"/>
                <w:sz w:val="18"/>
                <w:szCs w:val="18"/>
              </w:rPr>
              <w:t>% of recycling, re-use and composting</w:t>
            </w:r>
          </w:p>
        </w:tc>
        <w:tc>
          <w:tcPr>
            <w:tcW w:w="851" w:type="dxa"/>
            <w:tcBorders>
              <w:top w:val="nil"/>
              <w:left w:val="nil"/>
              <w:bottom w:val="nil"/>
              <w:right w:val="single" w:sz="4" w:space="0" w:color="auto"/>
            </w:tcBorders>
            <w:shd w:val="clear" w:color="auto" w:fill="auto"/>
            <w:hideMark/>
          </w:tcPr>
          <w:p w14:paraId="0A7000AA"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single" w:sz="4" w:space="0" w:color="auto"/>
              <w:bottom w:val="nil"/>
              <w:right w:val="single" w:sz="8" w:space="0" w:color="auto"/>
            </w:tcBorders>
            <w:shd w:val="clear" w:color="auto" w:fill="auto"/>
            <w:hideMark/>
          </w:tcPr>
          <w:p w14:paraId="05D62A9D" w14:textId="77777777" w:rsidR="009458C1" w:rsidRPr="00437B6A" w:rsidRDefault="009458C1" w:rsidP="00CF2E88">
            <w:pPr>
              <w:jc w:val="center"/>
              <w:rPr>
                <w:rFonts w:cs="Arial"/>
                <w:color w:val="000000"/>
                <w:sz w:val="18"/>
                <w:szCs w:val="18"/>
              </w:rPr>
            </w:pPr>
            <w:r w:rsidRPr="00437B6A">
              <w:rPr>
                <w:rFonts w:cs="Arial"/>
                <w:color w:val="000000"/>
                <w:sz w:val="18"/>
                <w:szCs w:val="18"/>
              </w:rPr>
              <w:t>46%</w:t>
            </w:r>
          </w:p>
        </w:tc>
        <w:tc>
          <w:tcPr>
            <w:tcW w:w="1868" w:type="dxa"/>
            <w:tcBorders>
              <w:top w:val="nil"/>
              <w:left w:val="nil"/>
              <w:bottom w:val="nil"/>
              <w:right w:val="single" w:sz="8" w:space="0" w:color="auto"/>
            </w:tcBorders>
            <w:shd w:val="clear" w:color="000000" w:fill="F8CBAD"/>
            <w:hideMark/>
          </w:tcPr>
          <w:p w14:paraId="22A8BFD4" w14:textId="77777777" w:rsidR="009458C1" w:rsidRPr="00437B6A" w:rsidRDefault="009458C1" w:rsidP="00CF2E88">
            <w:pPr>
              <w:jc w:val="center"/>
              <w:rPr>
                <w:rFonts w:cs="Arial"/>
                <w:color w:val="000000"/>
                <w:sz w:val="18"/>
                <w:szCs w:val="18"/>
              </w:rPr>
            </w:pPr>
            <w:r w:rsidRPr="00437B6A">
              <w:rPr>
                <w:rFonts w:cs="Arial"/>
                <w:color w:val="000000"/>
                <w:sz w:val="18"/>
                <w:szCs w:val="18"/>
              </w:rPr>
              <w:t>43% 17/18 forecast</w:t>
            </w:r>
          </w:p>
        </w:tc>
      </w:tr>
      <w:tr w:rsidR="009458C1" w:rsidRPr="00437B6A" w14:paraId="196F4C0A" w14:textId="77777777" w:rsidTr="008762C0">
        <w:trPr>
          <w:trHeight w:val="60"/>
        </w:trPr>
        <w:tc>
          <w:tcPr>
            <w:tcW w:w="6227" w:type="dxa"/>
            <w:tcBorders>
              <w:top w:val="single" w:sz="8" w:space="0" w:color="auto"/>
              <w:left w:val="single" w:sz="8" w:space="0" w:color="auto"/>
              <w:bottom w:val="nil"/>
              <w:right w:val="single" w:sz="8" w:space="0" w:color="auto"/>
            </w:tcBorders>
            <w:shd w:val="clear" w:color="auto" w:fill="auto"/>
            <w:hideMark/>
          </w:tcPr>
          <w:p w14:paraId="6352C304" w14:textId="77777777" w:rsidR="009458C1" w:rsidRPr="00437B6A" w:rsidRDefault="009458C1" w:rsidP="00CF2E88">
            <w:pPr>
              <w:rPr>
                <w:rFonts w:cs="Arial"/>
                <w:color w:val="000000"/>
                <w:sz w:val="18"/>
                <w:szCs w:val="18"/>
              </w:rPr>
            </w:pPr>
            <w:r w:rsidRPr="00437B6A">
              <w:rPr>
                <w:rFonts w:cs="Arial"/>
                <w:color w:val="000000"/>
                <w:sz w:val="18"/>
                <w:szCs w:val="18"/>
              </w:rPr>
              <w:t>% diversion of municipal waste away from landfill (including recovery)</w:t>
            </w:r>
          </w:p>
        </w:tc>
        <w:tc>
          <w:tcPr>
            <w:tcW w:w="851" w:type="dxa"/>
            <w:tcBorders>
              <w:top w:val="single" w:sz="8" w:space="0" w:color="auto"/>
              <w:left w:val="nil"/>
              <w:bottom w:val="nil"/>
              <w:right w:val="single" w:sz="8" w:space="0" w:color="auto"/>
            </w:tcBorders>
            <w:shd w:val="clear" w:color="auto" w:fill="auto"/>
            <w:hideMark/>
          </w:tcPr>
          <w:p w14:paraId="79106C3B"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single" w:sz="8" w:space="0" w:color="auto"/>
              <w:left w:val="nil"/>
              <w:bottom w:val="nil"/>
              <w:right w:val="single" w:sz="8" w:space="0" w:color="auto"/>
            </w:tcBorders>
            <w:shd w:val="clear" w:color="auto" w:fill="auto"/>
            <w:hideMark/>
          </w:tcPr>
          <w:p w14:paraId="06151656" w14:textId="77777777" w:rsidR="009458C1" w:rsidRPr="00437B6A" w:rsidRDefault="009458C1" w:rsidP="00CF2E88">
            <w:pPr>
              <w:jc w:val="center"/>
              <w:rPr>
                <w:rFonts w:cs="Arial"/>
                <w:color w:val="000000"/>
                <w:sz w:val="18"/>
                <w:szCs w:val="18"/>
              </w:rPr>
            </w:pPr>
            <w:r w:rsidRPr="00437B6A">
              <w:rPr>
                <w:rFonts w:cs="Arial"/>
                <w:color w:val="000000"/>
                <w:sz w:val="18"/>
                <w:szCs w:val="18"/>
              </w:rPr>
              <w:t>49%</w:t>
            </w:r>
          </w:p>
        </w:tc>
        <w:tc>
          <w:tcPr>
            <w:tcW w:w="1868" w:type="dxa"/>
            <w:tcBorders>
              <w:top w:val="single" w:sz="8" w:space="0" w:color="auto"/>
              <w:left w:val="nil"/>
              <w:bottom w:val="single" w:sz="8" w:space="0" w:color="auto"/>
              <w:right w:val="single" w:sz="8" w:space="0" w:color="auto"/>
            </w:tcBorders>
            <w:shd w:val="clear" w:color="000000" w:fill="C6E0B4"/>
            <w:hideMark/>
          </w:tcPr>
          <w:p w14:paraId="46A3EAB0" w14:textId="77777777" w:rsidR="009458C1" w:rsidRPr="00437B6A" w:rsidRDefault="009458C1" w:rsidP="00CF2E88">
            <w:pPr>
              <w:jc w:val="center"/>
              <w:rPr>
                <w:rFonts w:cs="Arial"/>
                <w:color w:val="000000"/>
                <w:sz w:val="18"/>
                <w:szCs w:val="18"/>
              </w:rPr>
            </w:pPr>
            <w:r w:rsidRPr="00437B6A">
              <w:rPr>
                <w:rFonts w:cs="Arial"/>
                <w:color w:val="000000"/>
                <w:sz w:val="18"/>
                <w:szCs w:val="18"/>
              </w:rPr>
              <w:t>51% 17/18 forecast</w:t>
            </w:r>
          </w:p>
        </w:tc>
      </w:tr>
      <w:tr w:rsidR="00CF2E88" w:rsidRPr="00437B6A" w14:paraId="63752964" w14:textId="77777777" w:rsidTr="008762C0">
        <w:trPr>
          <w:trHeight w:val="60"/>
        </w:trPr>
        <w:tc>
          <w:tcPr>
            <w:tcW w:w="10047" w:type="dxa"/>
            <w:gridSpan w:val="4"/>
            <w:tcBorders>
              <w:top w:val="single" w:sz="8" w:space="0" w:color="auto"/>
              <w:left w:val="single" w:sz="8" w:space="0" w:color="auto"/>
              <w:bottom w:val="single" w:sz="8" w:space="0" w:color="auto"/>
              <w:right w:val="single" w:sz="8" w:space="0" w:color="000000"/>
            </w:tcBorders>
            <w:shd w:val="clear" w:color="000000" w:fill="D9D9D9"/>
            <w:hideMark/>
          </w:tcPr>
          <w:p w14:paraId="5DC4D6E6" w14:textId="0527358F" w:rsidR="00CF2E88" w:rsidRPr="00437B6A" w:rsidRDefault="00CF2E88" w:rsidP="00291F18">
            <w:pPr>
              <w:rPr>
                <w:rFonts w:cs="Arial"/>
                <w:b/>
                <w:bCs/>
                <w:color w:val="000000"/>
                <w:sz w:val="18"/>
                <w:szCs w:val="18"/>
              </w:rPr>
            </w:pPr>
            <w:r w:rsidRPr="00437B6A">
              <w:rPr>
                <w:rFonts w:cs="Arial"/>
                <w:b/>
                <w:bCs/>
                <w:color w:val="000000"/>
                <w:sz w:val="18"/>
                <w:szCs w:val="18"/>
              </w:rPr>
              <w:t xml:space="preserve">Libraries </w:t>
            </w:r>
            <w:r w:rsidR="00291F18">
              <w:rPr>
                <w:rFonts w:cs="Arial"/>
                <w:b/>
                <w:bCs/>
                <w:color w:val="000000"/>
                <w:sz w:val="18"/>
                <w:szCs w:val="18"/>
              </w:rPr>
              <w:t>and museums</w:t>
            </w:r>
          </w:p>
        </w:tc>
      </w:tr>
      <w:tr w:rsidR="009458C1" w:rsidRPr="00437B6A" w14:paraId="0FBC4A2A" w14:textId="77777777" w:rsidTr="00806F0E">
        <w:trPr>
          <w:trHeight w:val="60"/>
        </w:trPr>
        <w:tc>
          <w:tcPr>
            <w:tcW w:w="6227" w:type="dxa"/>
            <w:tcBorders>
              <w:top w:val="nil"/>
              <w:left w:val="single" w:sz="8" w:space="0" w:color="auto"/>
              <w:bottom w:val="single" w:sz="8" w:space="0" w:color="auto"/>
              <w:right w:val="single" w:sz="8" w:space="0" w:color="auto"/>
            </w:tcBorders>
            <w:shd w:val="clear" w:color="auto" w:fill="auto"/>
            <w:hideMark/>
          </w:tcPr>
          <w:p w14:paraId="20C1DA7D" w14:textId="77777777" w:rsidR="009458C1" w:rsidRPr="00437B6A" w:rsidRDefault="009458C1" w:rsidP="00CF2E88">
            <w:pPr>
              <w:rPr>
                <w:rFonts w:cs="Arial"/>
                <w:color w:val="000000"/>
                <w:sz w:val="18"/>
                <w:szCs w:val="18"/>
              </w:rPr>
            </w:pPr>
            <w:r w:rsidRPr="00437B6A">
              <w:rPr>
                <w:rFonts w:cs="Arial"/>
                <w:color w:val="000000"/>
                <w:sz w:val="18"/>
                <w:szCs w:val="18"/>
              </w:rPr>
              <w:t>Number of visits to libraries each quarter</w:t>
            </w:r>
          </w:p>
        </w:tc>
        <w:tc>
          <w:tcPr>
            <w:tcW w:w="851" w:type="dxa"/>
            <w:tcBorders>
              <w:top w:val="nil"/>
              <w:left w:val="nil"/>
              <w:bottom w:val="single" w:sz="8" w:space="0" w:color="auto"/>
              <w:right w:val="single" w:sz="8" w:space="0" w:color="auto"/>
            </w:tcBorders>
            <w:shd w:val="clear" w:color="auto" w:fill="auto"/>
            <w:hideMark/>
          </w:tcPr>
          <w:p w14:paraId="47E7BC3C"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202D26EF" w14:textId="77777777" w:rsidR="009458C1" w:rsidRPr="00437B6A" w:rsidRDefault="009458C1" w:rsidP="00CF2E88">
            <w:pPr>
              <w:jc w:val="center"/>
              <w:rPr>
                <w:rFonts w:cs="Arial"/>
                <w:color w:val="000000"/>
                <w:sz w:val="18"/>
                <w:szCs w:val="18"/>
              </w:rPr>
            </w:pPr>
            <w:r w:rsidRPr="00437B6A">
              <w:rPr>
                <w:rFonts w:cs="Arial"/>
                <w:color w:val="000000"/>
                <w:sz w:val="18"/>
                <w:szCs w:val="18"/>
              </w:rPr>
              <w:t>4,007,475</w:t>
            </w:r>
          </w:p>
        </w:tc>
        <w:tc>
          <w:tcPr>
            <w:tcW w:w="1868" w:type="dxa"/>
            <w:tcBorders>
              <w:top w:val="nil"/>
              <w:left w:val="nil"/>
              <w:bottom w:val="single" w:sz="8" w:space="0" w:color="auto"/>
              <w:right w:val="single" w:sz="8" w:space="0" w:color="auto"/>
            </w:tcBorders>
            <w:shd w:val="clear" w:color="auto" w:fill="auto"/>
            <w:hideMark/>
          </w:tcPr>
          <w:p w14:paraId="48F590AE" w14:textId="77777777" w:rsidR="009458C1" w:rsidRPr="00806F0E" w:rsidRDefault="009458C1" w:rsidP="00CF2E88">
            <w:pPr>
              <w:jc w:val="center"/>
              <w:rPr>
                <w:rFonts w:cs="Arial"/>
                <w:color w:val="000000"/>
                <w:sz w:val="18"/>
                <w:szCs w:val="18"/>
              </w:rPr>
            </w:pPr>
            <w:r w:rsidRPr="00806F0E">
              <w:rPr>
                <w:rFonts w:cs="Arial"/>
                <w:color w:val="000000"/>
                <w:sz w:val="18"/>
                <w:szCs w:val="18"/>
              </w:rPr>
              <w:t>3,573,465</w:t>
            </w:r>
          </w:p>
        </w:tc>
      </w:tr>
      <w:tr w:rsidR="009458C1" w:rsidRPr="00437B6A" w14:paraId="72D7A338" w14:textId="77777777" w:rsidTr="00806F0E">
        <w:trPr>
          <w:trHeight w:val="60"/>
        </w:trPr>
        <w:tc>
          <w:tcPr>
            <w:tcW w:w="6227" w:type="dxa"/>
            <w:tcBorders>
              <w:top w:val="nil"/>
              <w:left w:val="single" w:sz="8" w:space="0" w:color="auto"/>
              <w:bottom w:val="single" w:sz="8" w:space="0" w:color="auto"/>
              <w:right w:val="single" w:sz="8" w:space="0" w:color="auto"/>
            </w:tcBorders>
            <w:shd w:val="clear" w:color="auto" w:fill="auto"/>
            <w:hideMark/>
          </w:tcPr>
          <w:p w14:paraId="4575F6C3" w14:textId="77777777" w:rsidR="009458C1" w:rsidRPr="00437B6A" w:rsidRDefault="009458C1" w:rsidP="00CF2E88">
            <w:pPr>
              <w:rPr>
                <w:rFonts w:cs="Arial"/>
                <w:color w:val="000000"/>
                <w:sz w:val="18"/>
                <w:szCs w:val="18"/>
              </w:rPr>
            </w:pPr>
            <w:r w:rsidRPr="00437B6A">
              <w:rPr>
                <w:rFonts w:cs="Arial"/>
                <w:color w:val="000000"/>
                <w:sz w:val="18"/>
                <w:szCs w:val="18"/>
              </w:rPr>
              <w:t>Number of visits to museums each month</w:t>
            </w:r>
          </w:p>
        </w:tc>
        <w:tc>
          <w:tcPr>
            <w:tcW w:w="851" w:type="dxa"/>
            <w:tcBorders>
              <w:top w:val="nil"/>
              <w:left w:val="nil"/>
              <w:bottom w:val="single" w:sz="8" w:space="0" w:color="auto"/>
              <w:right w:val="single" w:sz="8" w:space="0" w:color="auto"/>
            </w:tcBorders>
            <w:shd w:val="clear" w:color="auto" w:fill="auto"/>
            <w:hideMark/>
          </w:tcPr>
          <w:p w14:paraId="598877F2"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636E6856" w14:textId="77777777" w:rsidR="009458C1" w:rsidRPr="00437B6A" w:rsidRDefault="009458C1" w:rsidP="00CF2E88">
            <w:pPr>
              <w:jc w:val="center"/>
              <w:rPr>
                <w:rFonts w:cs="Arial"/>
                <w:color w:val="000000"/>
                <w:sz w:val="18"/>
                <w:szCs w:val="18"/>
              </w:rPr>
            </w:pPr>
            <w:r w:rsidRPr="00437B6A">
              <w:rPr>
                <w:rFonts w:cs="Arial"/>
                <w:color w:val="000000"/>
                <w:sz w:val="18"/>
                <w:szCs w:val="18"/>
              </w:rPr>
              <w:t>256,318</w:t>
            </w:r>
          </w:p>
        </w:tc>
        <w:tc>
          <w:tcPr>
            <w:tcW w:w="1868" w:type="dxa"/>
            <w:tcBorders>
              <w:top w:val="nil"/>
              <w:left w:val="nil"/>
              <w:bottom w:val="single" w:sz="8" w:space="0" w:color="auto"/>
              <w:right w:val="single" w:sz="8" w:space="0" w:color="auto"/>
            </w:tcBorders>
            <w:shd w:val="clear" w:color="auto" w:fill="auto"/>
            <w:hideMark/>
          </w:tcPr>
          <w:p w14:paraId="1AF63839" w14:textId="77777777" w:rsidR="009458C1" w:rsidRPr="00806F0E" w:rsidRDefault="009458C1" w:rsidP="00CF2E88">
            <w:pPr>
              <w:jc w:val="center"/>
              <w:rPr>
                <w:rFonts w:cs="Arial"/>
                <w:color w:val="000000"/>
                <w:sz w:val="18"/>
                <w:szCs w:val="18"/>
              </w:rPr>
            </w:pPr>
            <w:r w:rsidRPr="00806F0E">
              <w:rPr>
                <w:rFonts w:cs="Arial"/>
                <w:color w:val="000000"/>
                <w:sz w:val="18"/>
                <w:szCs w:val="18"/>
              </w:rPr>
              <w:t>244,365</w:t>
            </w:r>
          </w:p>
        </w:tc>
      </w:tr>
      <w:tr w:rsidR="009458C1" w:rsidRPr="00437B6A" w14:paraId="30388C6C" w14:textId="77777777" w:rsidTr="00806F0E">
        <w:trPr>
          <w:trHeight w:val="60"/>
        </w:trPr>
        <w:tc>
          <w:tcPr>
            <w:tcW w:w="6227" w:type="dxa"/>
            <w:tcBorders>
              <w:top w:val="nil"/>
              <w:left w:val="single" w:sz="8" w:space="0" w:color="auto"/>
              <w:bottom w:val="single" w:sz="8" w:space="0" w:color="auto"/>
              <w:right w:val="single" w:sz="8" w:space="0" w:color="auto"/>
            </w:tcBorders>
            <w:shd w:val="clear" w:color="auto" w:fill="auto"/>
            <w:hideMark/>
          </w:tcPr>
          <w:p w14:paraId="559D843E" w14:textId="77777777" w:rsidR="009458C1" w:rsidRPr="00437B6A" w:rsidRDefault="009458C1" w:rsidP="00CF2E88">
            <w:pPr>
              <w:rPr>
                <w:rFonts w:cs="Arial"/>
                <w:color w:val="000000"/>
                <w:sz w:val="18"/>
                <w:szCs w:val="18"/>
              </w:rPr>
            </w:pPr>
            <w:r w:rsidRPr="00437B6A">
              <w:rPr>
                <w:rFonts w:cs="Arial"/>
                <w:color w:val="000000"/>
                <w:sz w:val="18"/>
                <w:szCs w:val="18"/>
              </w:rPr>
              <w:t>Number of E-Book downloads each month</w:t>
            </w:r>
          </w:p>
        </w:tc>
        <w:tc>
          <w:tcPr>
            <w:tcW w:w="851" w:type="dxa"/>
            <w:tcBorders>
              <w:top w:val="nil"/>
              <w:left w:val="nil"/>
              <w:bottom w:val="single" w:sz="8" w:space="0" w:color="auto"/>
              <w:right w:val="single" w:sz="8" w:space="0" w:color="auto"/>
            </w:tcBorders>
            <w:shd w:val="clear" w:color="auto" w:fill="auto"/>
            <w:hideMark/>
          </w:tcPr>
          <w:p w14:paraId="16E723C1"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3C5365CD" w14:textId="77777777" w:rsidR="009458C1" w:rsidRPr="00437B6A" w:rsidRDefault="009458C1" w:rsidP="00CF2E88">
            <w:pPr>
              <w:jc w:val="center"/>
              <w:rPr>
                <w:rFonts w:cs="Arial"/>
                <w:color w:val="000000"/>
                <w:sz w:val="18"/>
                <w:szCs w:val="18"/>
              </w:rPr>
            </w:pPr>
            <w:r w:rsidRPr="00437B6A">
              <w:rPr>
                <w:rFonts w:cs="Arial"/>
                <w:color w:val="000000"/>
                <w:sz w:val="18"/>
                <w:szCs w:val="18"/>
              </w:rPr>
              <w:t>162,384</w:t>
            </w:r>
          </w:p>
        </w:tc>
        <w:tc>
          <w:tcPr>
            <w:tcW w:w="1868" w:type="dxa"/>
            <w:tcBorders>
              <w:top w:val="nil"/>
              <w:left w:val="nil"/>
              <w:bottom w:val="single" w:sz="8" w:space="0" w:color="auto"/>
              <w:right w:val="single" w:sz="8" w:space="0" w:color="auto"/>
            </w:tcBorders>
            <w:shd w:val="clear" w:color="auto" w:fill="auto"/>
            <w:hideMark/>
          </w:tcPr>
          <w:p w14:paraId="04D310CF" w14:textId="77777777" w:rsidR="009458C1" w:rsidRPr="00806F0E" w:rsidRDefault="009458C1" w:rsidP="00CF2E88">
            <w:pPr>
              <w:jc w:val="center"/>
              <w:rPr>
                <w:rFonts w:cs="Arial"/>
                <w:color w:val="000000"/>
                <w:sz w:val="18"/>
                <w:szCs w:val="18"/>
              </w:rPr>
            </w:pPr>
            <w:r w:rsidRPr="00806F0E">
              <w:rPr>
                <w:rFonts w:cs="Arial"/>
                <w:color w:val="000000"/>
                <w:sz w:val="18"/>
                <w:szCs w:val="18"/>
              </w:rPr>
              <w:t>212,925</w:t>
            </w:r>
          </w:p>
        </w:tc>
      </w:tr>
      <w:tr w:rsidR="009458C1" w:rsidRPr="00437B6A" w14:paraId="204322F6" w14:textId="77777777" w:rsidTr="00806F0E">
        <w:trPr>
          <w:trHeight w:val="169"/>
        </w:trPr>
        <w:tc>
          <w:tcPr>
            <w:tcW w:w="6227" w:type="dxa"/>
            <w:tcBorders>
              <w:top w:val="nil"/>
              <w:left w:val="single" w:sz="8" w:space="0" w:color="auto"/>
              <w:bottom w:val="single" w:sz="8" w:space="0" w:color="auto"/>
              <w:right w:val="single" w:sz="8" w:space="0" w:color="auto"/>
            </w:tcBorders>
            <w:shd w:val="clear" w:color="auto" w:fill="auto"/>
            <w:hideMark/>
          </w:tcPr>
          <w:p w14:paraId="046FE00F" w14:textId="77777777" w:rsidR="009458C1" w:rsidRPr="00437B6A" w:rsidRDefault="009458C1" w:rsidP="00CF2E88">
            <w:pPr>
              <w:rPr>
                <w:rFonts w:cs="Arial"/>
                <w:color w:val="000000"/>
                <w:sz w:val="18"/>
                <w:szCs w:val="18"/>
              </w:rPr>
            </w:pPr>
            <w:r w:rsidRPr="00437B6A">
              <w:rPr>
                <w:rFonts w:cs="Arial"/>
                <w:color w:val="000000"/>
                <w:sz w:val="18"/>
                <w:szCs w:val="18"/>
              </w:rPr>
              <w:t>Number of library real issues each month</w:t>
            </w:r>
          </w:p>
        </w:tc>
        <w:tc>
          <w:tcPr>
            <w:tcW w:w="851" w:type="dxa"/>
            <w:tcBorders>
              <w:top w:val="nil"/>
              <w:left w:val="nil"/>
              <w:bottom w:val="single" w:sz="8" w:space="0" w:color="auto"/>
              <w:right w:val="single" w:sz="8" w:space="0" w:color="auto"/>
            </w:tcBorders>
            <w:shd w:val="clear" w:color="auto" w:fill="auto"/>
            <w:hideMark/>
          </w:tcPr>
          <w:p w14:paraId="52F3443D"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598DB91E" w14:textId="77777777" w:rsidR="009458C1" w:rsidRPr="00437B6A" w:rsidRDefault="009458C1" w:rsidP="00CF2E88">
            <w:pPr>
              <w:jc w:val="center"/>
              <w:rPr>
                <w:rFonts w:cs="Arial"/>
                <w:color w:val="000000"/>
                <w:sz w:val="18"/>
                <w:szCs w:val="18"/>
              </w:rPr>
            </w:pPr>
            <w:r w:rsidRPr="00437B6A">
              <w:rPr>
                <w:rFonts w:cs="Arial"/>
                <w:color w:val="000000"/>
                <w:sz w:val="18"/>
                <w:szCs w:val="18"/>
              </w:rPr>
              <w:t>4,170,173</w:t>
            </w:r>
          </w:p>
        </w:tc>
        <w:tc>
          <w:tcPr>
            <w:tcW w:w="1868" w:type="dxa"/>
            <w:tcBorders>
              <w:top w:val="nil"/>
              <w:left w:val="nil"/>
              <w:bottom w:val="single" w:sz="8" w:space="0" w:color="auto"/>
              <w:right w:val="single" w:sz="8" w:space="0" w:color="auto"/>
            </w:tcBorders>
            <w:shd w:val="clear" w:color="auto" w:fill="auto"/>
            <w:hideMark/>
          </w:tcPr>
          <w:p w14:paraId="2E3772FD" w14:textId="77777777" w:rsidR="009458C1" w:rsidRPr="00806F0E" w:rsidRDefault="009458C1" w:rsidP="00CF2E88">
            <w:pPr>
              <w:jc w:val="center"/>
              <w:rPr>
                <w:rFonts w:cs="Arial"/>
                <w:color w:val="000000"/>
                <w:sz w:val="18"/>
                <w:szCs w:val="18"/>
              </w:rPr>
            </w:pPr>
            <w:r w:rsidRPr="00806F0E">
              <w:rPr>
                <w:rFonts w:cs="Arial"/>
                <w:color w:val="000000"/>
                <w:sz w:val="18"/>
                <w:szCs w:val="18"/>
              </w:rPr>
              <w:t>3,622,043</w:t>
            </w:r>
          </w:p>
        </w:tc>
      </w:tr>
      <w:tr w:rsidR="008762C0" w:rsidRPr="00437B6A" w14:paraId="1DFEA85F" w14:textId="77777777" w:rsidTr="008762C0">
        <w:trPr>
          <w:trHeight w:val="60"/>
        </w:trPr>
        <w:tc>
          <w:tcPr>
            <w:tcW w:w="10047" w:type="dxa"/>
            <w:gridSpan w:val="4"/>
            <w:tcBorders>
              <w:top w:val="single" w:sz="8" w:space="0" w:color="auto"/>
              <w:left w:val="single" w:sz="8" w:space="0" w:color="auto"/>
              <w:bottom w:val="single" w:sz="8" w:space="0" w:color="auto"/>
              <w:right w:val="single" w:sz="8" w:space="0" w:color="000000"/>
            </w:tcBorders>
            <w:shd w:val="clear" w:color="000000" w:fill="D9D9D9"/>
            <w:hideMark/>
          </w:tcPr>
          <w:p w14:paraId="4AA1030B" w14:textId="0435EC11" w:rsidR="008762C0" w:rsidRPr="00437B6A" w:rsidRDefault="008762C0" w:rsidP="008762C0">
            <w:pPr>
              <w:rPr>
                <w:rFonts w:cs="Arial"/>
                <w:b/>
                <w:bCs/>
                <w:color w:val="000000"/>
                <w:sz w:val="18"/>
                <w:szCs w:val="18"/>
              </w:rPr>
            </w:pPr>
            <w:r w:rsidRPr="00437B6A">
              <w:rPr>
                <w:rFonts w:cs="Arial"/>
                <w:b/>
                <w:bCs/>
                <w:color w:val="000000"/>
                <w:sz w:val="18"/>
                <w:szCs w:val="18"/>
              </w:rPr>
              <w:t>Planning applications</w:t>
            </w:r>
          </w:p>
        </w:tc>
      </w:tr>
      <w:tr w:rsidR="009458C1" w:rsidRPr="00437B6A" w14:paraId="0597F26B" w14:textId="77777777" w:rsidTr="008762C0">
        <w:trPr>
          <w:trHeight w:val="60"/>
        </w:trPr>
        <w:tc>
          <w:tcPr>
            <w:tcW w:w="6227" w:type="dxa"/>
            <w:tcBorders>
              <w:top w:val="nil"/>
              <w:left w:val="single" w:sz="8" w:space="0" w:color="auto"/>
              <w:bottom w:val="nil"/>
              <w:right w:val="single" w:sz="8" w:space="0" w:color="auto"/>
            </w:tcBorders>
            <w:shd w:val="clear" w:color="auto" w:fill="auto"/>
            <w:hideMark/>
          </w:tcPr>
          <w:p w14:paraId="4D8E0327" w14:textId="61FD6CAF" w:rsidR="009458C1" w:rsidRPr="00437B6A" w:rsidRDefault="009458C1" w:rsidP="00CF2E88">
            <w:pPr>
              <w:rPr>
                <w:rFonts w:cs="Arial"/>
                <w:color w:val="000000"/>
                <w:sz w:val="18"/>
                <w:szCs w:val="18"/>
              </w:rPr>
            </w:pPr>
            <w:r w:rsidRPr="00437B6A">
              <w:rPr>
                <w:rFonts w:cs="Arial"/>
                <w:color w:val="000000"/>
                <w:sz w:val="18"/>
                <w:szCs w:val="18"/>
              </w:rPr>
              <w:t>% of minerals and waste planning applications determined within 13 weeks</w:t>
            </w:r>
          </w:p>
        </w:tc>
        <w:tc>
          <w:tcPr>
            <w:tcW w:w="851" w:type="dxa"/>
            <w:tcBorders>
              <w:top w:val="nil"/>
              <w:left w:val="nil"/>
              <w:bottom w:val="nil"/>
              <w:right w:val="single" w:sz="8" w:space="0" w:color="auto"/>
            </w:tcBorders>
            <w:shd w:val="clear" w:color="auto" w:fill="auto"/>
            <w:hideMark/>
          </w:tcPr>
          <w:p w14:paraId="5C1BC350"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3020AD3A" w14:textId="77777777" w:rsidR="009458C1" w:rsidRPr="00437B6A" w:rsidRDefault="009458C1" w:rsidP="00CF2E88">
            <w:pPr>
              <w:jc w:val="center"/>
              <w:rPr>
                <w:rFonts w:cs="Arial"/>
                <w:color w:val="000000"/>
                <w:sz w:val="18"/>
                <w:szCs w:val="18"/>
              </w:rPr>
            </w:pPr>
            <w:r w:rsidRPr="00437B6A">
              <w:rPr>
                <w:rFonts w:cs="Arial"/>
                <w:color w:val="000000"/>
                <w:sz w:val="18"/>
                <w:szCs w:val="18"/>
              </w:rPr>
              <w:t>50% (Q4)</w:t>
            </w:r>
          </w:p>
        </w:tc>
        <w:tc>
          <w:tcPr>
            <w:tcW w:w="1868" w:type="dxa"/>
            <w:tcBorders>
              <w:top w:val="nil"/>
              <w:left w:val="nil"/>
              <w:bottom w:val="single" w:sz="8" w:space="0" w:color="auto"/>
              <w:right w:val="single" w:sz="8" w:space="0" w:color="auto"/>
            </w:tcBorders>
            <w:shd w:val="clear" w:color="000000" w:fill="F8CBAD"/>
            <w:hideMark/>
          </w:tcPr>
          <w:p w14:paraId="39BC3DB4" w14:textId="77777777" w:rsidR="009458C1" w:rsidRPr="00437B6A" w:rsidRDefault="009458C1" w:rsidP="00CF2E88">
            <w:pPr>
              <w:jc w:val="center"/>
              <w:rPr>
                <w:rFonts w:cs="Arial"/>
                <w:color w:val="000000"/>
                <w:sz w:val="18"/>
                <w:szCs w:val="18"/>
              </w:rPr>
            </w:pPr>
            <w:r w:rsidRPr="00437B6A">
              <w:rPr>
                <w:rFonts w:cs="Arial"/>
                <w:color w:val="000000"/>
                <w:sz w:val="18"/>
                <w:szCs w:val="18"/>
              </w:rPr>
              <w:t>67%</w:t>
            </w:r>
          </w:p>
        </w:tc>
      </w:tr>
      <w:tr w:rsidR="009458C1" w:rsidRPr="00437B6A" w14:paraId="7366E334" w14:textId="77777777" w:rsidTr="008762C0">
        <w:trPr>
          <w:trHeight w:val="60"/>
        </w:trPr>
        <w:tc>
          <w:tcPr>
            <w:tcW w:w="6227" w:type="dxa"/>
            <w:tcBorders>
              <w:top w:val="single" w:sz="8" w:space="0" w:color="auto"/>
              <w:left w:val="single" w:sz="8" w:space="0" w:color="auto"/>
              <w:bottom w:val="single" w:sz="8" w:space="0" w:color="auto"/>
              <w:right w:val="single" w:sz="8" w:space="0" w:color="auto"/>
            </w:tcBorders>
            <w:shd w:val="clear" w:color="auto" w:fill="auto"/>
            <w:hideMark/>
          </w:tcPr>
          <w:p w14:paraId="313BA60C" w14:textId="77777777" w:rsidR="009458C1" w:rsidRPr="00437B6A" w:rsidRDefault="009458C1" w:rsidP="00CF2E88">
            <w:pPr>
              <w:rPr>
                <w:rFonts w:cs="Arial"/>
                <w:color w:val="000000"/>
                <w:sz w:val="18"/>
                <w:szCs w:val="18"/>
              </w:rPr>
            </w:pPr>
            <w:r w:rsidRPr="00437B6A">
              <w:rPr>
                <w:rFonts w:cs="Arial"/>
                <w:color w:val="000000"/>
                <w:sz w:val="18"/>
                <w:szCs w:val="18"/>
              </w:rPr>
              <w:t>% of Regulation 3 planning applications determined within 8 weeks</w:t>
            </w:r>
          </w:p>
        </w:tc>
        <w:tc>
          <w:tcPr>
            <w:tcW w:w="851" w:type="dxa"/>
            <w:tcBorders>
              <w:top w:val="single" w:sz="8" w:space="0" w:color="auto"/>
              <w:left w:val="nil"/>
              <w:bottom w:val="single" w:sz="8" w:space="0" w:color="auto"/>
              <w:right w:val="single" w:sz="8" w:space="0" w:color="auto"/>
            </w:tcBorders>
            <w:shd w:val="clear" w:color="auto" w:fill="auto"/>
            <w:hideMark/>
          </w:tcPr>
          <w:p w14:paraId="585DF685" w14:textId="77777777" w:rsidR="009458C1" w:rsidRPr="00437B6A" w:rsidRDefault="009458C1" w:rsidP="00CF2E88">
            <w:pPr>
              <w:jc w:val="center"/>
              <w:rPr>
                <w:rFonts w:cs="Arial"/>
                <w:color w:val="000000"/>
                <w:sz w:val="18"/>
                <w:szCs w:val="18"/>
              </w:rPr>
            </w:pPr>
            <w:r w:rsidRPr="00437B6A">
              <w:rPr>
                <w:rFonts w:cs="Arial"/>
                <w:color w:val="000000"/>
                <w:sz w:val="18"/>
                <w:szCs w:val="18"/>
              </w:rPr>
              <w:t>H</w:t>
            </w:r>
          </w:p>
        </w:tc>
        <w:tc>
          <w:tcPr>
            <w:tcW w:w="1101" w:type="dxa"/>
            <w:tcBorders>
              <w:top w:val="nil"/>
              <w:left w:val="nil"/>
              <w:bottom w:val="single" w:sz="8" w:space="0" w:color="auto"/>
              <w:right w:val="single" w:sz="8" w:space="0" w:color="auto"/>
            </w:tcBorders>
            <w:shd w:val="clear" w:color="auto" w:fill="auto"/>
            <w:hideMark/>
          </w:tcPr>
          <w:p w14:paraId="27C73631" w14:textId="77777777" w:rsidR="009458C1" w:rsidRPr="00437B6A" w:rsidRDefault="009458C1" w:rsidP="00CF2E88">
            <w:pPr>
              <w:jc w:val="center"/>
              <w:rPr>
                <w:rFonts w:cs="Arial"/>
                <w:color w:val="000000"/>
                <w:sz w:val="18"/>
                <w:szCs w:val="18"/>
              </w:rPr>
            </w:pPr>
            <w:r w:rsidRPr="00437B6A">
              <w:rPr>
                <w:rFonts w:cs="Arial"/>
                <w:color w:val="000000"/>
                <w:sz w:val="18"/>
                <w:szCs w:val="18"/>
              </w:rPr>
              <w:t>56% (Q4)</w:t>
            </w:r>
          </w:p>
        </w:tc>
        <w:tc>
          <w:tcPr>
            <w:tcW w:w="1868" w:type="dxa"/>
            <w:tcBorders>
              <w:top w:val="nil"/>
              <w:left w:val="nil"/>
              <w:bottom w:val="single" w:sz="8" w:space="0" w:color="auto"/>
              <w:right w:val="single" w:sz="8" w:space="0" w:color="auto"/>
            </w:tcBorders>
            <w:shd w:val="clear" w:color="000000" w:fill="F8CBAD"/>
            <w:hideMark/>
          </w:tcPr>
          <w:p w14:paraId="0D6B9605" w14:textId="77777777" w:rsidR="009458C1" w:rsidRPr="00437B6A" w:rsidRDefault="009458C1" w:rsidP="00CF2E88">
            <w:pPr>
              <w:jc w:val="center"/>
              <w:rPr>
                <w:rFonts w:cs="Arial"/>
                <w:color w:val="000000"/>
                <w:sz w:val="18"/>
                <w:szCs w:val="18"/>
              </w:rPr>
            </w:pPr>
            <w:r w:rsidRPr="00437B6A">
              <w:rPr>
                <w:rFonts w:cs="Arial"/>
                <w:color w:val="000000"/>
                <w:sz w:val="18"/>
                <w:szCs w:val="18"/>
              </w:rPr>
              <w:t>78%</w:t>
            </w:r>
          </w:p>
        </w:tc>
      </w:tr>
    </w:tbl>
    <w:p w14:paraId="77F189D9" w14:textId="77777777" w:rsidR="009F7546" w:rsidRPr="009F7546" w:rsidRDefault="009F7546" w:rsidP="009F7546">
      <w:pPr>
        <w:rPr>
          <w:rFonts w:cs="Arial"/>
          <w:sz w:val="22"/>
          <w:szCs w:val="22"/>
        </w:rPr>
      </w:pPr>
    </w:p>
    <w:tbl>
      <w:tblPr>
        <w:tblW w:w="0" w:type="auto"/>
        <w:tblLayout w:type="fixed"/>
        <w:tblCellMar>
          <w:left w:w="0" w:type="dxa"/>
          <w:right w:w="0" w:type="dxa"/>
        </w:tblCellMar>
        <w:tblLook w:val="04A0" w:firstRow="1" w:lastRow="0" w:firstColumn="1" w:lastColumn="0" w:noHBand="0" w:noVBand="1"/>
      </w:tblPr>
      <w:tblGrid>
        <w:gridCol w:w="2825"/>
        <w:gridCol w:w="1276"/>
        <w:gridCol w:w="1134"/>
      </w:tblGrid>
      <w:tr w:rsidR="00894577" w:rsidRPr="00E92115" w14:paraId="3CF639B2" w14:textId="77777777" w:rsidTr="00A0374B">
        <w:tc>
          <w:tcPr>
            <w:tcW w:w="282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8423BF4" w14:textId="77777777" w:rsidR="00894577" w:rsidRPr="00E92115" w:rsidRDefault="00894577" w:rsidP="009F7546">
            <w:pPr>
              <w:rPr>
                <w:rFonts w:ascii="Calibri" w:hAnsi="Calibri"/>
                <w:b/>
                <w:bCs/>
                <w:sz w:val="18"/>
                <w:szCs w:val="18"/>
              </w:rPr>
            </w:pPr>
            <w:r w:rsidRPr="00E92115">
              <w:rPr>
                <w:b/>
                <w:bCs/>
                <w:sz w:val="18"/>
                <w:szCs w:val="18"/>
              </w:rPr>
              <w:t>Fault Category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2A554" w14:textId="77777777" w:rsidR="00894577" w:rsidRPr="00E92115" w:rsidRDefault="00894577" w:rsidP="009F7546">
            <w:pPr>
              <w:jc w:val="center"/>
              <w:rPr>
                <w:b/>
                <w:bCs/>
                <w:sz w:val="18"/>
                <w:szCs w:val="18"/>
              </w:rPr>
            </w:pPr>
            <w:r w:rsidRPr="00E92115">
              <w:rPr>
                <w:b/>
                <w:bCs/>
                <w:sz w:val="18"/>
                <w:szCs w:val="18"/>
              </w:rPr>
              <w:t>2016/17</w:t>
            </w:r>
          </w:p>
        </w:tc>
        <w:tc>
          <w:tcPr>
            <w:tcW w:w="1134" w:type="dxa"/>
            <w:tcBorders>
              <w:top w:val="single" w:sz="4" w:space="0" w:color="auto"/>
              <w:left w:val="nil"/>
              <w:bottom w:val="single" w:sz="8" w:space="0" w:color="auto"/>
              <w:right w:val="single" w:sz="4" w:space="0" w:color="auto"/>
            </w:tcBorders>
          </w:tcPr>
          <w:p w14:paraId="308D6F5E" w14:textId="77777777" w:rsidR="00894577" w:rsidRPr="00E92115" w:rsidRDefault="00894577" w:rsidP="009F7546">
            <w:pPr>
              <w:jc w:val="center"/>
              <w:rPr>
                <w:b/>
                <w:bCs/>
                <w:sz w:val="18"/>
                <w:szCs w:val="18"/>
              </w:rPr>
            </w:pPr>
            <w:r w:rsidRPr="00E92115">
              <w:rPr>
                <w:b/>
                <w:bCs/>
                <w:sz w:val="18"/>
                <w:szCs w:val="18"/>
              </w:rPr>
              <w:t>2017/18</w:t>
            </w:r>
          </w:p>
        </w:tc>
      </w:tr>
      <w:tr w:rsidR="00894577" w:rsidRPr="00E92115" w14:paraId="5A8C787E" w14:textId="77777777" w:rsidTr="00A0374B">
        <w:tc>
          <w:tcPr>
            <w:tcW w:w="28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D10459E" w14:textId="77777777" w:rsidR="00894577" w:rsidRPr="00E92115" w:rsidRDefault="00894577" w:rsidP="009F7546">
            <w:pPr>
              <w:rPr>
                <w:sz w:val="18"/>
                <w:szCs w:val="18"/>
              </w:rPr>
            </w:pPr>
            <w:r w:rsidRPr="00E92115">
              <w:rPr>
                <w:sz w:val="18"/>
                <w:szCs w:val="18"/>
              </w:rPr>
              <w:t>All Faults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44BA415" w14:textId="77777777" w:rsidR="00894577" w:rsidRPr="00E92115" w:rsidRDefault="00894577" w:rsidP="00C10BA6">
            <w:pPr>
              <w:jc w:val="center"/>
              <w:rPr>
                <w:sz w:val="18"/>
                <w:szCs w:val="18"/>
              </w:rPr>
            </w:pPr>
            <w:r w:rsidRPr="00E92115">
              <w:rPr>
                <w:sz w:val="18"/>
                <w:szCs w:val="18"/>
              </w:rPr>
              <w:t>4.</w:t>
            </w:r>
            <w:r w:rsidR="00C10BA6">
              <w:rPr>
                <w:sz w:val="18"/>
                <w:szCs w:val="18"/>
              </w:rPr>
              <w:t>6</w:t>
            </w:r>
            <w:r w:rsidRPr="00E92115">
              <w:rPr>
                <w:sz w:val="18"/>
                <w:szCs w:val="18"/>
              </w:rPr>
              <w:t xml:space="preserve"> days</w:t>
            </w:r>
          </w:p>
        </w:tc>
        <w:tc>
          <w:tcPr>
            <w:tcW w:w="1134" w:type="dxa"/>
            <w:tcBorders>
              <w:top w:val="nil"/>
              <w:left w:val="nil"/>
              <w:bottom w:val="single" w:sz="8" w:space="0" w:color="auto"/>
              <w:right w:val="single" w:sz="4" w:space="0" w:color="auto"/>
            </w:tcBorders>
          </w:tcPr>
          <w:p w14:paraId="64E25966" w14:textId="77777777" w:rsidR="00894577" w:rsidRPr="00E92115" w:rsidRDefault="00894577" w:rsidP="00C10BA6">
            <w:pPr>
              <w:jc w:val="center"/>
              <w:rPr>
                <w:sz w:val="18"/>
                <w:szCs w:val="18"/>
              </w:rPr>
            </w:pPr>
            <w:r w:rsidRPr="00E92115">
              <w:rPr>
                <w:sz w:val="18"/>
                <w:szCs w:val="18"/>
              </w:rPr>
              <w:t>7.0 days</w:t>
            </w:r>
          </w:p>
        </w:tc>
      </w:tr>
      <w:tr w:rsidR="00894577" w:rsidRPr="00E92115" w14:paraId="2D660E9C" w14:textId="77777777" w:rsidTr="00A0374B">
        <w:tc>
          <w:tcPr>
            <w:tcW w:w="28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9F75CD4" w14:textId="77777777" w:rsidR="00894577" w:rsidRPr="00E92115" w:rsidRDefault="00894577" w:rsidP="009F7546">
            <w:pPr>
              <w:rPr>
                <w:sz w:val="18"/>
                <w:szCs w:val="18"/>
              </w:rPr>
            </w:pPr>
            <w:r w:rsidRPr="00E92115">
              <w:rPr>
                <w:sz w:val="18"/>
                <w:szCs w:val="18"/>
              </w:rPr>
              <w:t>Traffic Management Faults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B10FCE" w14:textId="77777777" w:rsidR="00894577" w:rsidRPr="00E92115" w:rsidRDefault="00894577" w:rsidP="00C10BA6">
            <w:pPr>
              <w:jc w:val="center"/>
              <w:rPr>
                <w:sz w:val="18"/>
                <w:szCs w:val="18"/>
              </w:rPr>
            </w:pPr>
            <w:r w:rsidRPr="00E92115">
              <w:rPr>
                <w:sz w:val="18"/>
                <w:szCs w:val="18"/>
              </w:rPr>
              <w:t>10.</w:t>
            </w:r>
            <w:r w:rsidR="00C10BA6">
              <w:rPr>
                <w:sz w:val="18"/>
                <w:szCs w:val="18"/>
              </w:rPr>
              <w:t>8</w:t>
            </w:r>
            <w:r w:rsidRPr="00E92115">
              <w:rPr>
                <w:sz w:val="18"/>
                <w:szCs w:val="18"/>
              </w:rPr>
              <w:t xml:space="preserve"> days</w:t>
            </w:r>
          </w:p>
        </w:tc>
        <w:tc>
          <w:tcPr>
            <w:tcW w:w="1134" w:type="dxa"/>
            <w:tcBorders>
              <w:top w:val="nil"/>
              <w:left w:val="nil"/>
              <w:bottom w:val="single" w:sz="8" w:space="0" w:color="auto"/>
              <w:right w:val="single" w:sz="4" w:space="0" w:color="auto"/>
            </w:tcBorders>
          </w:tcPr>
          <w:p w14:paraId="00B7FCB3" w14:textId="77777777" w:rsidR="00894577" w:rsidRPr="00E92115" w:rsidRDefault="00894577" w:rsidP="00C10BA6">
            <w:pPr>
              <w:jc w:val="center"/>
              <w:rPr>
                <w:sz w:val="18"/>
                <w:szCs w:val="18"/>
              </w:rPr>
            </w:pPr>
            <w:r w:rsidRPr="00E92115">
              <w:rPr>
                <w:sz w:val="18"/>
                <w:szCs w:val="18"/>
              </w:rPr>
              <w:t>13.6 days</w:t>
            </w:r>
          </w:p>
        </w:tc>
      </w:tr>
      <w:tr w:rsidR="00894577" w:rsidRPr="00E92115" w14:paraId="6A7AB8ED" w14:textId="77777777" w:rsidTr="00A0374B">
        <w:tc>
          <w:tcPr>
            <w:tcW w:w="28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B4E42" w14:textId="77777777" w:rsidR="00894577" w:rsidRPr="00E92115" w:rsidRDefault="00894577" w:rsidP="009F7546">
            <w:pPr>
              <w:rPr>
                <w:sz w:val="18"/>
                <w:szCs w:val="18"/>
              </w:rPr>
            </w:pPr>
            <w:r w:rsidRPr="00E92115">
              <w:rPr>
                <w:sz w:val="18"/>
                <w:szCs w:val="18"/>
              </w:rPr>
              <w:t>Non-Traffic Management Faults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7060DA2" w14:textId="77777777" w:rsidR="00894577" w:rsidRPr="00E92115" w:rsidRDefault="00894577" w:rsidP="00C10BA6">
            <w:pPr>
              <w:jc w:val="center"/>
              <w:rPr>
                <w:sz w:val="18"/>
                <w:szCs w:val="18"/>
              </w:rPr>
            </w:pPr>
            <w:r w:rsidRPr="00E92115">
              <w:rPr>
                <w:sz w:val="18"/>
                <w:szCs w:val="18"/>
              </w:rPr>
              <w:t>2.</w:t>
            </w:r>
            <w:r w:rsidR="00C10BA6">
              <w:rPr>
                <w:sz w:val="18"/>
                <w:szCs w:val="18"/>
              </w:rPr>
              <w:t>4</w:t>
            </w:r>
            <w:r w:rsidRPr="00E92115">
              <w:rPr>
                <w:sz w:val="18"/>
                <w:szCs w:val="18"/>
              </w:rPr>
              <w:t xml:space="preserve"> days</w:t>
            </w:r>
          </w:p>
        </w:tc>
        <w:tc>
          <w:tcPr>
            <w:tcW w:w="1134" w:type="dxa"/>
            <w:tcBorders>
              <w:top w:val="nil"/>
              <w:left w:val="nil"/>
              <w:bottom w:val="single" w:sz="8" w:space="0" w:color="auto"/>
              <w:right w:val="single" w:sz="4" w:space="0" w:color="auto"/>
            </w:tcBorders>
          </w:tcPr>
          <w:p w14:paraId="4E45E54E" w14:textId="77777777" w:rsidR="00894577" w:rsidRPr="00E92115" w:rsidRDefault="00C10BA6" w:rsidP="009F7546">
            <w:pPr>
              <w:jc w:val="center"/>
              <w:rPr>
                <w:sz w:val="18"/>
                <w:szCs w:val="18"/>
              </w:rPr>
            </w:pPr>
            <w:r>
              <w:rPr>
                <w:sz w:val="18"/>
                <w:szCs w:val="18"/>
              </w:rPr>
              <w:t>6.0</w:t>
            </w:r>
            <w:r w:rsidR="00894577" w:rsidRPr="00E92115">
              <w:rPr>
                <w:sz w:val="18"/>
                <w:szCs w:val="18"/>
              </w:rPr>
              <w:t xml:space="preserve"> days</w:t>
            </w:r>
          </w:p>
        </w:tc>
      </w:tr>
    </w:tbl>
    <w:p w14:paraId="011542E7" w14:textId="77777777" w:rsidR="009F7546" w:rsidRPr="009F7546" w:rsidRDefault="009F7546" w:rsidP="009F7546">
      <w:pPr>
        <w:rPr>
          <w:rFonts w:eastAsiaTheme="minorHAnsi" w:cs="Arial"/>
          <w:sz w:val="22"/>
          <w:szCs w:val="22"/>
          <w:lang w:eastAsia="en-US"/>
        </w:rPr>
      </w:pPr>
    </w:p>
    <w:p w14:paraId="5809C0A0" w14:textId="04265B8F" w:rsidR="00291F18" w:rsidRDefault="00291F18" w:rsidP="00291F18">
      <w:pPr>
        <w:rPr>
          <w:i/>
        </w:rPr>
      </w:pPr>
      <w:r w:rsidRPr="00291F18">
        <w:rPr>
          <w:i/>
        </w:rPr>
        <w:t>Street lighting and highways</w:t>
      </w:r>
    </w:p>
    <w:p w14:paraId="56E9E1CD" w14:textId="77777777" w:rsidR="006A7668" w:rsidRPr="00291F18" w:rsidRDefault="006A7668" w:rsidP="00291F18">
      <w:pPr>
        <w:rPr>
          <w:i/>
        </w:rPr>
      </w:pPr>
    </w:p>
    <w:p w14:paraId="18F8B815" w14:textId="383F91EB" w:rsidR="00291F18" w:rsidRDefault="00291F18" w:rsidP="00FB2A23">
      <w:pPr>
        <w:jc w:val="both"/>
        <w:rPr>
          <w:rFonts w:ascii="Calibri" w:hAnsi="Calibri"/>
          <w:sz w:val="22"/>
        </w:rPr>
      </w:pPr>
      <w:r>
        <w:lastRenderedPageBreak/>
        <w:t>The directorate has a mixed bag of performance returns for this year. The drop in performance around carriageway defects and street lighting is due, in the main, to a mixture of improved reporting processes that are now capturing our position more accurately and, in the case of highway defects, the impact of a long, cold, wet winter.</w:t>
      </w:r>
    </w:p>
    <w:p w14:paraId="18BAC45E" w14:textId="77777777" w:rsidR="00291F18" w:rsidRDefault="00291F18" w:rsidP="00291F18"/>
    <w:p w14:paraId="79CDBCB5" w14:textId="38967D9C" w:rsidR="00291F18" w:rsidRDefault="00291F18" w:rsidP="00291F18">
      <w:pPr>
        <w:rPr>
          <w:i/>
        </w:rPr>
      </w:pPr>
      <w:r w:rsidRPr="00291F18">
        <w:rPr>
          <w:i/>
        </w:rPr>
        <w:t>Waste management</w:t>
      </w:r>
    </w:p>
    <w:p w14:paraId="658857B4" w14:textId="77777777" w:rsidR="006A7668" w:rsidRPr="00291F18" w:rsidRDefault="006A7668" w:rsidP="00291F18">
      <w:pPr>
        <w:rPr>
          <w:i/>
        </w:rPr>
      </w:pPr>
    </w:p>
    <w:p w14:paraId="777E49AB" w14:textId="2BE73671" w:rsidR="00291F18" w:rsidRDefault="00291F18" w:rsidP="00FB2A23">
      <w:pPr>
        <w:jc w:val="both"/>
      </w:pPr>
      <w:r>
        <w:t>The reduction in recycling, re-use and composting is due to increased residual waste at both kerbside and Household Waste Recycling Centres</w:t>
      </w:r>
      <w:r w:rsidR="006A7668">
        <w:t>,</w:t>
      </w:r>
      <w:r>
        <w:t xml:space="preserve"> alongside reductions in the amount of green waste collected at kerbside</w:t>
      </w:r>
      <w:r w:rsidR="006A7668">
        <w:t>,</w:t>
      </w:r>
      <w:r>
        <w:t xml:space="preserve"> following the introduction of charges for its collection by many district councils.  The amount of recycling collected has seen little change.</w:t>
      </w:r>
    </w:p>
    <w:p w14:paraId="42DD26D2" w14:textId="77777777" w:rsidR="00291F18" w:rsidRDefault="00291F18" w:rsidP="00291F18"/>
    <w:p w14:paraId="005D9E58" w14:textId="4C3E5C5B" w:rsidR="00291F18" w:rsidRDefault="00291F18" w:rsidP="00291F18">
      <w:pPr>
        <w:rPr>
          <w:i/>
        </w:rPr>
      </w:pPr>
      <w:r w:rsidRPr="00291F18">
        <w:rPr>
          <w:i/>
        </w:rPr>
        <w:t>Libraries and museums</w:t>
      </w:r>
    </w:p>
    <w:p w14:paraId="60205EDF" w14:textId="77777777" w:rsidR="006A7668" w:rsidRPr="00291F18" w:rsidRDefault="006A7668" w:rsidP="00291F18">
      <w:pPr>
        <w:rPr>
          <w:i/>
        </w:rPr>
      </w:pPr>
    </w:p>
    <w:p w14:paraId="39273050" w14:textId="77777777" w:rsidR="00291F18" w:rsidRDefault="00291F18" w:rsidP="00FB2A23">
      <w:pPr>
        <w:jc w:val="both"/>
      </w:pPr>
      <w:r>
        <w:t>Nationally, the volume of loans from libraries is decreasing.  It is generally recognised that libraries should not be measured on the volume of book loans alone, a point recently reiterated by the Minister with responsibility for Public Libraries in England and Wales. Many citizens use their library for other reasons.  Some library users rarely borrow a book or don't borrow in high numbers but regard their library as enabling them to use a community space, have digital access, feel less isolated, and have access to information and community activity.  Libraries provide cultural venues with activity that brings enjoyment and supports the health and wellbeing of those citizens who visit them.</w:t>
      </w:r>
    </w:p>
    <w:p w14:paraId="2F7547BA" w14:textId="77777777" w:rsidR="00291F18" w:rsidRDefault="00291F18" w:rsidP="00FB2A23">
      <w:pPr>
        <w:jc w:val="both"/>
      </w:pPr>
    </w:p>
    <w:p w14:paraId="414D7C2B" w14:textId="77777777" w:rsidR="00291F18" w:rsidRDefault="00291F18" w:rsidP="00FB2A23">
      <w:pPr>
        <w:jc w:val="both"/>
      </w:pPr>
      <w:r>
        <w:t>The service is developing a range of new indicators to cover the offers which feature in the library strategy.</w:t>
      </w:r>
    </w:p>
    <w:p w14:paraId="54A1500B" w14:textId="77777777" w:rsidR="00291F18" w:rsidRDefault="00291F18" w:rsidP="00291F18"/>
    <w:p w14:paraId="4B888858" w14:textId="77777777" w:rsidR="00291F18" w:rsidRDefault="00291F18" w:rsidP="00291F18">
      <w:pPr>
        <w:rPr>
          <w:i/>
        </w:rPr>
      </w:pPr>
      <w:r w:rsidRPr="00291F18">
        <w:rPr>
          <w:i/>
        </w:rPr>
        <w:t>Planning</w:t>
      </w:r>
    </w:p>
    <w:p w14:paraId="54E47856" w14:textId="77777777" w:rsidR="006A7668" w:rsidRPr="00291F18" w:rsidRDefault="006A7668" w:rsidP="00291F18">
      <w:pPr>
        <w:rPr>
          <w:i/>
        </w:rPr>
      </w:pPr>
    </w:p>
    <w:p w14:paraId="4FE36359" w14:textId="77777777" w:rsidR="00291F18" w:rsidRDefault="00291F18" w:rsidP="00FB2A23">
      <w:pPr>
        <w:jc w:val="both"/>
      </w:pPr>
      <w:r>
        <w:t>9 County Matter minerals and waste (i.e. major) applications were determined within quarter 4, of which 6 (67%) received a decision within the 13 week decision period.  The other 3 applications were determined within an agreed time extension.  </w:t>
      </w:r>
    </w:p>
    <w:p w14:paraId="61671CD4" w14:textId="0D74065C" w:rsidR="00291F18" w:rsidRDefault="00291F18" w:rsidP="00FB2A23">
      <w:pPr>
        <w:jc w:val="both"/>
      </w:pPr>
      <w:r>
        <w:t>3 applications for L</w:t>
      </w:r>
      <w:r w:rsidR="006A7668">
        <w:t xml:space="preserve">ancashire </w:t>
      </w:r>
      <w:r>
        <w:t>C</w:t>
      </w:r>
      <w:r w:rsidR="006A7668">
        <w:t xml:space="preserve">ounty </w:t>
      </w:r>
      <w:r>
        <w:t>C</w:t>
      </w:r>
      <w:r w:rsidR="006A7668">
        <w:t>ouncil</w:t>
      </w:r>
      <w:r>
        <w:t>'s own Regulation 3 development were determined in quarter 4.  2 (67%) of these were determined within 8 weeks (there is no national standard in respect of this indicator, but 8 weeks is the standard set for district council applications of a similar scale).</w:t>
      </w:r>
    </w:p>
    <w:p w14:paraId="1A53DC28" w14:textId="77777777" w:rsidR="00291F18" w:rsidRDefault="00291F18" w:rsidP="003A0BC3">
      <w:pPr>
        <w:rPr>
          <w:rFonts w:cs="Arial"/>
          <w:szCs w:val="24"/>
        </w:rPr>
      </w:pPr>
    </w:p>
    <w:p w14:paraId="6D85CC4F" w14:textId="6E22D45C" w:rsidR="00FB1C18" w:rsidRDefault="00FB1C18">
      <w:pPr>
        <w:rPr>
          <w:b/>
        </w:rPr>
      </w:pPr>
      <w:r>
        <w:rPr>
          <w:b/>
        </w:rPr>
        <w:br w:type="page"/>
      </w:r>
    </w:p>
    <w:p w14:paraId="4939D245" w14:textId="77777777" w:rsidR="00291F18" w:rsidRDefault="00291F18" w:rsidP="00664950">
      <w:pPr>
        <w:spacing w:after="160" w:line="259" w:lineRule="auto"/>
        <w:contextualSpacing/>
        <w:rPr>
          <w:b/>
        </w:rPr>
      </w:pPr>
    </w:p>
    <w:p w14:paraId="19167843" w14:textId="77777777" w:rsidR="00664950" w:rsidRDefault="00664950" w:rsidP="00664950">
      <w:pPr>
        <w:spacing w:after="160" w:line="259" w:lineRule="auto"/>
        <w:contextualSpacing/>
        <w:rPr>
          <w:b/>
        </w:rPr>
      </w:pPr>
      <w:r w:rsidRPr="00D3788B">
        <w:rPr>
          <w:b/>
        </w:rPr>
        <w:t>A</w:t>
      </w:r>
      <w:r w:rsidR="00AD58A2">
        <w:rPr>
          <w:b/>
        </w:rPr>
        <w:t>dult Services and Public Health</w:t>
      </w:r>
      <w:r w:rsidRPr="00D3788B">
        <w:rPr>
          <w:b/>
        </w:rPr>
        <w:t xml:space="preserve"> </w:t>
      </w:r>
    </w:p>
    <w:p w14:paraId="0E105332" w14:textId="77777777" w:rsidR="00664950" w:rsidRDefault="00664950" w:rsidP="00664950">
      <w:pPr>
        <w:spacing w:after="160" w:line="259" w:lineRule="auto"/>
        <w:contextualSpacing/>
        <w:rPr>
          <w:b/>
        </w:rPr>
      </w:pPr>
    </w:p>
    <w:p w14:paraId="23546920" w14:textId="77777777" w:rsidR="0004663E" w:rsidRPr="00FB51CA" w:rsidRDefault="00664950" w:rsidP="00664950">
      <w:pPr>
        <w:spacing w:after="160" w:line="259" w:lineRule="auto"/>
        <w:contextualSpacing/>
        <w:rPr>
          <w:i/>
          <w:sz w:val="18"/>
          <w:szCs w:val="18"/>
        </w:rPr>
      </w:pPr>
      <w:r w:rsidRPr="00FB51CA">
        <w:rPr>
          <w:i/>
          <w:sz w:val="18"/>
          <w:szCs w:val="18"/>
        </w:rPr>
        <w:t>Note: ASCOF refers to the Adult Social Care Outcomes Framework which is a suite of national performance indicators.</w:t>
      </w:r>
    </w:p>
    <w:p w14:paraId="7851C0CC" w14:textId="77777777" w:rsidR="0004663E" w:rsidRDefault="0004663E" w:rsidP="00664950">
      <w:pPr>
        <w:spacing w:after="160" w:line="259" w:lineRule="auto"/>
        <w:contextualSpacing/>
        <w:rPr>
          <w:sz w:val="18"/>
          <w:szCs w:val="18"/>
        </w:rPr>
      </w:pPr>
    </w:p>
    <w:tbl>
      <w:tblPr>
        <w:tblW w:w="9135" w:type="dxa"/>
        <w:tblInd w:w="-10" w:type="dxa"/>
        <w:tblLayout w:type="fixed"/>
        <w:tblLook w:val="04A0" w:firstRow="1" w:lastRow="0" w:firstColumn="1" w:lastColumn="0" w:noHBand="0" w:noVBand="1"/>
      </w:tblPr>
      <w:tblGrid>
        <w:gridCol w:w="5308"/>
        <w:gridCol w:w="851"/>
        <w:gridCol w:w="992"/>
        <w:gridCol w:w="992"/>
        <w:gridCol w:w="992"/>
      </w:tblGrid>
      <w:tr w:rsidR="009458C1" w:rsidRPr="0004663E" w14:paraId="08B10043" w14:textId="77777777" w:rsidTr="009458C1">
        <w:trPr>
          <w:trHeight w:val="221"/>
        </w:trPr>
        <w:tc>
          <w:tcPr>
            <w:tcW w:w="530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35E3995" w14:textId="77777777" w:rsidR="009458C1" w:rsidRPr="0004663E" w:rsidRDefault="009458C1" w:rsidP="003E1633">
            <w:pPr>
              <w:rPr>
                <w:rFonts w:cs="Arial"/>
                <w:b/>
                <w:bCs/>
                <w:color w:val="000000"/>
                <w:sz w:val="18"/>
                <w:szCs w:val="18"/>
              </w:rPr>
            </w:pPr>
            <w:r w:rsidRPr="0004663E">
              <w:rPr>
                <w:rFonts w:cs="Arial"/>
                <w:b/>
                <w:bCs/>
                <w:color w:val="000000"/>
                <w:sz w:val="18"/>
                <w:szCs w:val="18"/>
              </w:rPr>
              <w:t>Performance Indicator</w:t>
            </w:r>
            <w:r w:rsidRPr="0004663E">
              <w:rPr>
                <w:rFonts w:ascii="Calibri" w:hAnsi="Calibri" w:cs="Arial"/>
                <w:color w:val="000000"/>
                <w:sz w:val="18"/>
                <w:szCs w:val="18"/>
              </w:rPr>
              <w:t> </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14:paraId="00D4037E" w14:textId="77777777" w:rsidR="009458C1" w:rsidRPr="0004663E" w:rsidRDefault="009458C1" w:rsidP="0004663E">
            <w:pPr>
              <w:jc w:val="center"/>
              <w:rPr>
                <w:rFonts w:cs="Arial"/>
                <w:b/>
                <w:bCs/>
                <w:color w:val="000000"/>
                <w:sz w:val="18"/>
                <w:szCs w:val="18"/>
              </w:rPr>
            </w:pPr>
            <w:r w:rsidRPr="0004663E">
              <w:rPr>
                <w:rFonts w:cs="Arial"/>
                <w:b/>
                <w:bCs/>
                <w:color w:val="000000"/>
                <w:sz w:val="18"/>
                <w:szCs w:val="18"/>
              </w:rPr>
              <w:t>Good is: H/L</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60969DB6" w14:textId="4E8C547C" w:rsidR="009458C1" w:rsidRPr="0004663E" w:rsidRDefault="009458C1" w:rsidP="0004663E">
            <w:pPr>
              <w:jc w:val="center"/>
              <w:rPr>
                <w:rFonts w:cs="Arial"/>
                <w:b/>
                <w:bCs/>
                <w:color w:val="000000"/>
                <w:sz w:val="18"/>
                <w:szCs w:val="18"/>
              </w:rPr>
            </w:pPr>
            <w:r w:rsidRPr="0004663E">
              <w:rPr>
                <w:rFonts w:cs="Arial"/>
                <w:b/>
                <w:bCs/>
                <w:color w:val="000000"/>
                <w:sz w:val="18"/>
                <w:szCs w:val="18"/>
              </w:rPr>
              <w:t>2016/17</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24D6C2A3" w14:textId="597D1CC5" w:rsidR="009458C1" w:rsidRPr="0004663E" w:rsidRDefault="009458C1" w:rsidP="0004663E">
            <w:pPr>
              <w:jc w:val="center"/>
              <w:rPr>
                <w:rFonts w:cs="Arial"/>
                <w:b/>
                <w:bCs/>
                <w:color w:val="000000"/>
                <w:sz w:val="18"/>
                <w:szCs w:val="18"/>
              </w:rPr>
            </w:pPr>
            <w:r w:rsidRPr="0004663E">
              <w:rPr>
                <w:rFonts w:cs="Arial"/>
                <w:b/>
                <w:bCs/>
                <w:color w:val="000000"/>
                <w:sz w:val="18"/>
                <w:szCs w:val="18"/>
              </w:rPr>
              <w:t>2017/18</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5DF5A76D" w14:textId="77777777" w:rsidR="009458C1" w:rsidRDefault="009458C1" w:rsidP="0004663E">
            <w:pPr>
              <w:jc w:val="center"/>
              <w:rPr>
                <w:rFonts w:cs="Arial"/>
                <w:b/>
                <w:bCs/>
                <w:color w:val="000000"/>
                <w:sz w:val="18"/>
                <w:szCs w:val="18"/>
              </w:rPr>
            </w:pPr>
            <w:r w:rsidRPr="0004663E">
              <w:rPr>
                <w:rFonts w:cs="Arial"/>
                <w:b/>
                <w:bCs/>
                <w:color w:val="000000"/>
                <w:sz w:val="18"/>
                <w:szCs w:val="18"/>
              </w:rPr>
              <w:t xml:space="preserve">England </w:t>
            </w:r>
          </w:p>
          <w:p w14:paraId="3424F3FD" w14:textId="1C886B6B" w:rsidR="009458C1" w:rsidRPr="0004663E" w:rsidRDefault="008762C0" w:rsidP="0004663E">
            <w:pPr>
              <w:jc w:val="center"/>
              <w:rPr>
                <w:rFonts w:cs="Arial"/>
                <w:b/>
                <w:bCs/>
                <w:color w:val="000000"/>
                <w:sz w:val="18"/>
                <w:szCs w:val="18"/>
              </w:rPr>
            </w:pPr>
            <w:r>
              <w:rPr>
                <w:rFonts w:cs="Arial"/>
                <w:b/>
                <w:bCs/>
                <w:color w:val="000000"/>
                <w:sz w:val="18"/>
                <w:szCs w:val="18"/>
              </w:rPr>
              <w:t>Average</w:t>
            </w:r>
          </w:p>
        </w:tc>
      </w:tr>
      <w:tr w:rsidR="008762C0" w:rsidRPr="0004663E" w14:paraId="5483D4EE" w14:textId="77777777" w:rsidTr="008762C0">
        <w:trPr>
          <w:trHeight w:val="94"/>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0963CB88" w14:textId="7F0E1312" w:rsidR="008762C0" w:rsidRPr="0004663E" w:rsidRDefault="008762C0" w:rsidP="003E1633">
            <w:pPr>
              <w:rPr>
                <w:rFonts w:cs="Arial"/>
                <w:b/>
                <w:bCs/>
                <w:color w:val="000000"/>
                <w:sz w:val="18"/>
                <w:szCs w:val="18"/>
              </w:rPr>
            </w:pPr>
            <w:r w:rsidRPr="0004663E">
              <w:rPr>
                <w:rFonts w:cs="Arial"/>
                <w:b/>
                <w:bCs/>
                <w:color w:val="000000"/>
                <w:sz w:val="18"/>
                <w:szCs w:val="18"/>
              </w:rPr>
              <w:t>Adult social care - personalisation</w:t>
            </w:r>
          </w:p>
        </w:tc>
      </w:tr>
      <w:tr w:rsidR="009458C1" w:rsidRPr="0004663E" w14:paraId="2C6046E1" w14:textId="77777777" w:rsidTr="008762C0">
        <w:trPr>
          <w:trHeight w:val="261"/>
        </w:trPr>
        <w:tc>
          <w:tcPr>
            <w:tcW w:w="5308" w:type="dxa"/>
            <w:tcBorders>
              <w:top w:val="nil"/>
              <w:left w:val="single" w:sz="8" w:space="0" w:color="auto"/>
              <w:bottom w:val="single" w:sz="8" w:space="0" w:color="auto"/>
              <w:right w:val="single" w:sz="8" w:space="0" w:color="auto"/>
            </w:tcBorders>
            <w:shd w:val="clear" w:color="auto" w:fill="auto"/>
            <w:vAlign w:val="center"/>
            <w:hideMark/>
          </w:tcPr>
          <w:p w14:paraId="608C94F6" w14:textId="1875969B" w:rsidR="009458C1" w:rsidRPr="0004663E" w:rsidRDefault="009458C1" w:rsidP="001420A7">
            <w:pPr>
              <w:rPr>
                <w:rFonts w:cs="Arial"/>
                <w:color w:val="000000"/>
                <w:sz w:val="18"/>
                <w:szCs w:val="18"/>
              </w:rPr>
            </w:pPr>
            <w:r w:rsidRPr="0004663E">
              <w:rPr>
                <w:rFonts w:cs="Arial"/>
                <w:color w:val="000000"/>
                <w:sz w:val="18"/>
                <w:szCs w:val="18"/>
              </w:rPr>
              <w:t>Adults aged over 18 receiving self-directed support (personal budgets) (ASCOF)</w:t>
            </w:r>
            <w:r w:rsidR="000A3959">
              <w:rPr>
                <w:rFonts w:cs="Arial"/>
                <w:color w:val="000000"/>
                <w:sz w:val="18"/>
                <w:szCs w:val="18"/>
              </w:rPr>
              <w:t xml:space="preserve"> </w:t>
            </w:r>
            <w:r>
              <w:rPr>
                <w:rFonts w:cs="Arial"/>
                <w:color w:val="000000"/>
                <w:sz w:val="18"/>
                <w:szCs w:val="18"/>
              </w:rPr>
              <w:t>snapshot</w:t>
            </w:r>
            <w:r w:rsidR="00236A07">
              <w:rPr>
                <w:rFonts w:cs="Arial"/>
                <w:color w:val="000000"/>
                <w:sz w:val="18"/>
                <w:szCs w:val="18"/>
              </w:rPr>
              <w:t xml:space="preserve"> as at 31 March</w:t>
            </w:r>
          </w:p>
        </w:tc>
        <w:tc>
          <w:tcPr>
            <w:tcW w:w="851" w:type="dxa"/>
            <w:tcBorders>
              <w:top w:val="nil"/>
              <w:left w:val="nil"/>
              <w:bottom w:val="single" w:sz="4" w:space="0" w:color="auto"/>
              <w:right w:val="single" w:sz="8" w:space="0" w:color="auto"/>
            </w:tcBorders>
            <w:shd w:val="clear" w:color="auto" w:fill="auto"/>
            <w:hideMark/>
          </w:tcPr>
          <w:p w14:paraId="0C3B8DCB"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63BB51DA" w14:textId="6DBE4678" w:rsidR="009458C1" w:rsidRPr="0004663E" w:rsidRDefault="009458C1" w:rsidP="008762C0">
            <w:pPr>
              <w:jc w:val="center"/>
              <w:rPr>
                <w:rFonts w:cs="Arial"/>
                <w:color w:val="000000"/>
                <w:sz w:val="18"/>
                <w:szCs w:val="18"/>
              </w:rPr>
            </w:pPr>
            <w:r>
              <w:rPr>
                <w:rFonts w:cs="Arial"/>
                <w:color w:val="000000"/>
                <w:sz w:val="18"/>
                <w:szCs w:val="18"/>
              </w:rPr>
              <w:t>77.8</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F7CAAC"/>
            <w:hideMark/>
          </w:tcPr>
          <w:p w14:paraId="7066DB7A" w14:textId="69341F14" w:rsidR="009458C1" w:rsidRPr="0004663E" w:rsidRDefault="009458C1" w:rsidP="008762C0">
            <w:pPr>
              <w:jc w:val="center"/>
              <w:rPr>
                <w:rFonts w:cs="Arial"/>
                <w:color w:val="000000"/>
                <w:sz w:val="18"/>
                <w:szCs w:val="18"/>
              </w:rPr>
            </w:pPr>
            <w:r>
              <w:rPr>
                <w:rFonts w:cs="Arial"/>
                <w:color w:val="000000"/>
                <w:sz w:val="18"/>
                <w:szCs w:val="18"/>
              </w:rPr>
              <w:t>77.4</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34FEC1DF" w14:textId="057DE86F" w:rsidR="009458C1" w:rsidRPr="0004663E" w:rsidRDefault="009458C1" w:rsidP="008762C0">
            <w:pPr>
              <w:jc w:val="center"/>
              <w:rPr>
                <w:rFonts w:cs="Arial"/>
                <w:color w:val="000000"/>
                <w:sz w:val="18"/>
                <w:szCs w:val="18"/>
              </w:rPr>
            </w:pPr>
            <w:r>
              <w:rPr>
                <w:rFonts w:cs="Arial"/>
                <w:color w:val="000000"/>
                <w:sz w:val="18"/>
                <w:szCs w:val="18"/>
              </w:rPr>
              <w:t>89.4</w:t>
            </w:r>
            <w:r w:rsidRPr="0004663E">
              <w:rPr>
                <w:rFonts w:cs="Arial"/>
                <w:color w:val="000000"/>
                <w:sz w:val="18"/>
                <w:szCs w:val="18"/>
              </w:rPr>
              <w:t>%</w:t>
            </w:r>
          </w:p>
        </w:tc>
      </w:tr>
      <w:tr w:rsidR="009458C1" w:rsidRPr="0004663E" w14:paraId="515F174F" w14:textId="77777777" w:rsidTr="008762C0">
        <w:trPr>
          <w:trHeight w:val="257"/>
        </w:trPr>
        <w:tc>
          <w:tcPr>
            <w:tcW w:w="5308" w:type="dxa"/>
            <w:tcBorders>
              <w:top w:val="nil"/>
              <w:left w:val="single" w:sz="8" w:space="0" w:color="auto"/>
              <w:bottom w:val="single" w:sz="8" w:space="0" w:color="auto"/>
              <w:right w:val="single" w:sz="8" w:space="0" w:color="auto"/>
            </w:tcBorders>
            <w:shd w:val="clear" w:color="auto" w:fill="auto"/>
            <w:vAlign w:val="center"/>
            <w:hideMark/>
          </w:tcPr>
          <w:p w14:paraId="048BE86E" w14:textId="0A41B35B" w:rsidR="009458C1" w:rsidRPr="0004663E" w:rsidRDefault="009458C1" w:rsidP="00FE3145">
            <w:pPr>
              <w:rPr>
                <w:rFonts w:cs="Arial"/>
                <w:color w:val="000000"/>
                <w:sz w:val="18"/>
                <w:szCs w:val="18"/>
              </w:rPr>
            </w:pPr>
            <w:r w:rsidRPr="0004663E">
              <w:rPr>
                <w:rFonts w:cs="Arial"/>
                <w:color w:val="000000"/>
                <w:sz w:val="18"/>
                <w:szCs w:val="18"/>
              </w:rPr>
              <w:t>Adults rec</w:t>
            </w:r>
            <w:r>
              <w:rPr>
                <w:rFonts w:cs="Arial"/>
                <w:color w:val="000000"/>
                <w:sz w:val="18"/>
                <w:szCs w:val="18"/>
              </w:rPr>
              <w:t xml:space="preserve">eiving direct payments  (ASCOF) </w:t>
            </w:r>
            <w:r w:rsidR="00236A07">
              <w:rPr>
                <w:rFonts w:cs="Arial"/>
                <w:color w:val="000000"/>
                <w:sz w:val="18"/>
                <w:szCs w:val="18"/>
              </w:rPr>
              <w:t>snapshot as at 31 March</w:t>
            </w:r>
          </w:p>
        </w:tc>
        <w:tc>
          <w:tcPr>
            <w:tcW w:w="851" w:type="dxa"/>
            <w:tcBorders>
              <w:top w:val="single" w:sz="4" w:space="0" w:color="auto"/>
              <w:left w:val="nil"/>
              <w:bottom w:val="single" w:sz="8" w:space="0" w:color="auto"/>
              <w:right w:val="single" w:sz="8" w:space="0" w:color="auto"/>
            </w:tcBorders>
            <w:shd w:val="clear" w:color="auto" w:fill="auto"/>
            <w:hideMark/>
          </w:tcPr>
          <w:p w14:paraId="06606A67"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3BDEABDD" w14:textId="2B52761F" w:rsidR="009458C1" w:rsidRPr="0004663E" w:rsidRDefault="009458C1" w:rsidP="008762C0">
            <w:pPr>
              <w:jc w:val="center"/>
              <w:rPr>
                <w:rFonts w:cs="Arial"/>
                <w:color w:val="000000"/>
                <w:sz w:val="18"/>
                <w:szCs w:val="18"/>
              </w:rPr>
            </w:pPr>
            <w:r>
              <w:rPr>
                <w:rFonts w:cs="Arial"/>
                <w:color w:val="000000"/>
                <w:sz w:val="18"/>
                <w:szCs w:val="18"/>
              </w:rPr>
              <w:t>23.9</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F8CBAD"/>
            <w:hideMark/>
          </w:tcPr>
          <w:p w14:paraId="49D17EEE" w14:textId="75D8D8FD" w:rsidR="009458C1" w:rsidRPr="0004663E" w:rsidRDefault="009458C1" w:rsidP="008762C0">
            <w:pPr>
              <w:jc w:val="center"/>
              <w:rPr>
                <w:rFonts w:cs="Arial"/>
                <w:color w:val="000000"/>
                <w:sz w:val="18"/>
                <w:szCs w:val="18"/>
              </w:rPr>
            </w:pPr>
            <w:r>
              <w:rPr>
                <w:rFonts w:cs="Arial"/>
                <w:color w:val="000000"/>
                <w:sz w:val="18"/>
                <w:szCs w:val="18"/>
              </w:rPr>
              <w:t>25.1</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04FF4DFA" w14:textId="75982C4D" w:rsidR="009458C1" w:rsidRPr="0004663E" w:rsidRDefault="009458C1" w:rsidP="008762C0">
            <w:pPr>
              <w:jc w:val="center"/>
              <w:rPr>
                <w:rFonts w:cs="Arial"/>
                <w:color w:val="000000"/>
                <w:sz w:val="18"/>
                <w:szCs w:val="18"/>
              </w:rPr>
            </w:pPr>
            <w:r>
              <w:rPr>
                <w:rFonts w:cs="Arial"/>
                <w:color w:val="000000"/>
                <w:sz w:val="18"/>
                <w:szCs w:val="18"/>
              </w:rPr>
              <w:t>28.3</w:t>
            </w:r>
            <w:r w:rsidRPr="0004663E">
              <w:rPr>
                <w:rFonts w:cs="Arial"/>
                <w:color w:val="000000"/>
                <w:sz w:val="18"/>
                <w:szCs w:val="18"/>
              </w:rPr>
              <w:t>%</w:t>
            </w:r>
          </w:p>
        </w:tc>
      </w:tr>
      <w:tr w:rsidR="008762C0" w:rsidRPr="0004663E" w14:paraId="5C48310A" w14:textId="77777777" w:rsidTr="00E734A1">
        <w:trPr>
          <w:trHeight w:val="60"/>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80E00F9" w14:textId="7D4B1757" w:rsidR="008762C0" w:rsidRPr="0004663E" w:rsidRDefault="008762C0" w:rsidP="008762C0">
            <w:pPr>
              <w:rPr>
                <w:rFonts w:cs="Arial"/>
                <w:b/>
                <w:bCs/>
                <w:color w:val="000000"/>
                <w:sz w:val="18"/>
                <w:szCs w:val="18"/>
              </w:rPr>
            </w:pPr>
            <w:r w:rsidRPr="0004663E">
              <w:rPr>
                <w:rFonts w:cs="Arial"/>
                <w:b/>
                <w:bCs/>
                <w:color w:val="000000"/>
                <w:sz w:val="18"/>
                <w:szCs w:val="18"/>
              </w:rPr>
              <w:t>Support for carers</w:t>
            </w:r>
          </w:p>
        </w:tc>
      </w:tr>
      <w:tr w:rsidR="009458C1" w:rsidRPr="0004663E" w14:paraId="54324806" w14:textId="77777777" w:rsidTr="008762C0">
        <w:trPr>
          <w:trHeight w:val="420"/>
        </w:trPr>
        <w:tc>
          <w:tcPr>
            <w:tcW w:w="5308" w:type="dxa"/>
            <w:tcBorders>
              <w:top w:val="nil"/>
              <w:left w:val="single" w:sz="8" w:space="0" w:color="auto"/>
              <w:bottom w:val="single" w:sz="8" w:space="0" w:color="auto"/>
              <w:right w:val="single" w:sz="8" w:space="0" w:color="auto"/>
            </w:tcBorders>
            <w:shd w:val="clear" w:color="auto" w:fill="auto"/>
            <w:vAlign w:val="center"/>
            <w:hideMark/>
          </w:tcPr>
          <w:p w14:paraId="588E2BA4" w14:textId="087EBA1A" w:rsidR="009458C1" w:rsidRPr="00236A07" w:rsidRDefault="009458C1" w:rsidP="0004663E">
            <w:pPr>
              <w:rPr>
                <w:rFonts w:cs="Arial"/>
                <w:sz w:val="18"/>
                <w:szCs w:val="18"/>
              </w:rPr>
            </w:pPr>
            <w:r w:rsidRPr="00236A07">
              <w:rPr>
                <w:rFonts w:cs="Arial"/>
                <w:sz w:val="18"/>
                <w:szCs w:val="18"/>
              </w:rPr>
              <w:t>Carers receiving direct payments for support direct to carer (ASCOF)</w:t>
            </w:r>
            <w:r w:rsidR="00236A07">
              <w:rPr>
                <w:rFonts w:cs="Arial"/>
                <w:sz w:val="18"/>
                <w:szCs w:val="18"/>
              </w:rPr>
              <w:t xml:space="preserve"> during the</w:t>
            </w:r>
            <w:r w:rsidRPr="00236A07">
              <w:rPr>
                <w:rFonts w:cs="Arial"/>
                <w:sz w:val="18"/>
                <w:szCs w:val="18"/>
              </w:rPr>
              <w:t xml:space="preserve"> year</w:t>
            </w:r>
          </w:p>
        </w:tc>
        <w:tc>
          <w:tcPr>
            <w:tcW w:w="851" w:type="dxa"/>
            <w:tcBorders>
              <w:top w:val="nil"/>
              <w:left w:val="nil"/>
              <w:bottom w:val="single" w:sz="8" w:space="0" w:color="auto"/>
              <w:right w:val="single" w:sz="8" w:space="0" w:color="auto"/>
            </w:tcBorders>
            <w:shd w:val="clear" w:color="auto" w:fill="auto"/>
            <w:hideMark/>
          </w:tcPr>
          <w:p w14:paraId="612D18B4" w14:textId="77777777" w:rsidR="009458C1" w:rsidRPr="00236A07" w:rsidRDefault="009458C1" w:rsidP="008762C0">
            <w:pPr>
              <w:jc w:val="center"/>
              <w:rPr>
                <w:rFonts w:cs="Arial"/>
                <w:sz w:val="18"/>
                <w:szCs w:val="18"/>
              </w:rPr>
            </w:pPr>
            <w:r w:rsidRPr="00236A07">
              <w:rPr>
                <w:rFonts w:cs="Arial"/>
                <w:sz w:val="18"/>
                <w:szCs w:val="18"/>
              </w:rPr>
              <w:t>H</w:t>
            </w:r>
          </w:p>
        </w:tc>
        <w:tc>
          <w:tcPr>
            <w:tcW w:w="992" w:type="dxa"/>
            <w:tcBorders>
              <w:top w:val="nil"/>
              <w:left w:val="nil"/>
              <w:bottom w:val="single" w:sz="8" w:space="0" w:color="auto"/>
              <w:right w:val="single" w:sz="8" w:space="0" w:color="auto"/>
            </w:tcBorders>
            <w:shd w:val="clear" w:color="auto" w:fill="auto"/>
            <w:hideMark/>
          </w:tcPr>
          <w:p w14:paraId="1A19A156" w14:textId="2ABEFAAF" w:rsidR="009458C1" w:rsidRPr="00236A07" w:rsidRDefault="009458C1" w:rsidP="008762C0">
            <w:pPr>
              <w:jc w:val="center"/>
              <w:rPr>
                <w:rFonts w:cs="Arial"/>
                <w:sz w:val="18"/>
                <w:szCs w:val="18"/>
              </w:rPr>
            </w:pPr>
            <w:r w:rsidRPr="00236A07">
              <w:rPr>
                <w:rFonts w:cs="Arial"/>
                <w:sz w:val="18"/>
                <w:szCs w:val="18"/>
              </w:rPr>
              <w:t>98.3%</w:t>
            </w:r>
          </w:p>
        </w:tc>
        <w:tc>
          <w:tcPr>
            <w:tcW w:w="992" w:type="dxa"/>
            <w:tcBorders>
              <w:top w:val="nil"/>
              <w:left w:val="nil"/>
              <w:bottom w:val="single" w:sz="8" w:space="0" w:color="auto"/>
              <w:right w:val="single" w:sz="8" w:space="0" w:color="auto"/>
            </w:tcBorders>
            <w:shd w:val="clear" w:color="000000" w:fill="C6E0B4"/>
            <w:hideMark/>
          </w:tcPr>
          <w:p w14:paraId="20047792" w14:textId="500EBAD7" w:rsidR="009458C1" w:rsidRPr="00236A07" w:rsidRDefault="009458C1" w:rsidP="008762C0">
            <w:pPr>
              <w:jc w:val="center"/>
              <w:rPr>
                <w:rFonts w:cs="Arial"/>
                <w:sz w:val="18"/>
                <w:szCs w:val="18"/>
              </w:rPr>
            </w:pPr>
            <w:r w:rsidRPr="00236A07">
              <w:rPr>
                <w:rFonts w:cs="Arial"/>
                <w:sz w:val="18"/>
                <w:szCs w:val="18"/>
              </w:rPr>
              <w:t>98.6%</w:t>
            </w:r>
          </w:p>
        </w:tc>
        <w:tc>
          <w:tcPr>
            <w:tcW w:w="992" w:type="dxa"/>
            <w:tcBorders>
              <w:top w:val="nil"/>
              <w:left w:val="nil"/>
              <w:bottom w:val="single" w:sz="8" w:space="0" w:color="auto"/>
              <w:right w:val="single" w:sz="8" w:space="0" w:color="auto"/>
            </w:tcBorders>
            <w:shd w:val="clear" w:color="auto" w:fill="auto"/>
            <w:hideMark/>
          </w:tcPr>
          <w:p w14:paraId="666BE4B8" w14:textId="15540AAD" w:rsidR="009458C1" w:rsidRPr="00236A07" w:rsidRDefault="009458C1" w:rsidP="008762C0">
            <w:pPr>
              <w:jc w:val="center"/>
              <w:rPr>
                <w:rFonts w:cs="Arial"/>
                <w:sz w:val="18"/>
                <w:szCs w:val="18"/>
              </w:rPr>
            </w:pPr>
            <w:r w:rsidRPr="00236A07">
              <w:rPr>
                <w:rFonts w:cs="Arial"/>
                <w:sz w:val="18"/>
                <w:szCs w:val="18"/>
              </w:rPr>
              <w:t>74.3%</w:t>
            </w:r>
          </w:p>
        </w:tc>
      </w:tr>
      <w:tr w:rsidR="008762C0" w:rsidRPr="0004663E" w14:paraId="1EA13144" w14:textId="77777777" w:rsidTr="00E734A1">
        <w:trPr>
          <w:trHeight w:val="60"/>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345E3EEF" w14:textId="70C77536" w:rsidR="008762C0" w:rsidRPr="0004663E" w:rsidRDefault="008762C0" w:rsidP="008762C0">
            <w:pPr>
              <w:rPr>
                <w:rFonts w:cs="Arial"/>
                <w:b/>
                <w:bCs/>
                <w:color w:val="000000"/>
                <w:sz w:val="18"/>
                <w:szCs w:val="18"/>
              </w:rPr>
            </w:pPr>
            <w:r w:rsidRPr="0004663E">
              <w:rPr>
                <w:rFonts w:cs="Arial"/>
                <w:b/>
                <w:bCs/>
                <w:color w:val="000000"/>
                <w:sz w:val="18"/>
                <w:szCs w:val="18"/>
              </w:rPr>
              <w:t>Support for people with learning disabilities</w:t>
            </w:r>
          </w:p>
        </w:tc>
      </w:tr>
      <w:tr w:rsidR="009458C1" w:rsidRPr="0004663E" w14:paraId="767AFDB8" w14:textId="77777777" w:rsidTr="008762C0">
        <w:trPr>
          <w:trHeight w:val="354"/>
        </w:trPr>
        <w:tc>
          <w:tcPr>
            <w:tcW w:w="5308" w:type="dxa"/>
            <w:tcBorders>
              <w:top w:val="nil"/>
              <w:left w:val="single" w:sz="8" w:space="0" w:color="auto"/>
              <w:bottom w:val="single" w:sz="8" w:space="0" w:color="auto"/>
              <w:right w:val="single" w:sz="8" w:space="0" w:color="auto"/>
            </w:tcBorders>
            <w:shd w:val="clear" w:color="auto" w:fill="auto"/>
            <w:vAlign w:val="center"/>
            <w:hideMark/>
          </w:tcPr>
          <w:p w14:paraId="28EBBA66" w14:textId="77784AD8" w:rsidR="009458C1" w:rsidRPr="0004663E" w:rsidRDefault="009458C1" w:rsidP="0004663E">
            <w:pPr>
              <w:rPr>
                <w:rFonts w:cs="Arial"/>
                <w:color w:val="000000"/>
                <w:sz w:val="18"/>
                <w:szCs w:val="18"/>
              </w:rPr>
            </w:pPr>
            <w:r w:rsidRPr="0004663E">
              <w:rPr>
                <w:rFonts w:cs="Arial"/>
                <w:color w:val="000000"/>
                <w:sz w:val="18"/>
                <w:szCs w:val="18"/>
              </w:rPr>
              <w:t xml:space="preserve">Proportion of adults with learning disabilities who live in their own home or with their family (ASCOF) </w:t>
            </w:r>
            <w:r w:rsidR="00236A07">
              <w:rPr>
                <w:rFonts w:cs="Arial"/>
                <w:color w:val="000000"/>
                <w:sz w:val="18"/>
                <w:szCs w:val="18"/>
              </w:rPr>
              <w:t>during the</w:t>
            </w:r>
            <w:r>
              <w:rPr>
                <w:rFonts w:cs="Arial"/>
                <w:color w:val="000000"/>
                <w:sz w:val="18"/>
                <w:szCs w:val="18"/>
              </w:rPr>
              <w:t xml:space="preserve"> year</w:t>
            </w:r>
          </w:p>
        </w:tc>
        <w:tc>
          <w:tcPr>
            <w:tcW w:w="851" w:type="dxa"/>
            <w:tcBorders>
              <w:top w:val="nil"/>
              <w:left w:val="nil"/>
              <w:bottom w:val="single" w:sz="8" w:space="0" w:color="auto"/>
              <w:right w:val="single" w:sz="8" w:space="0" w:color="auto"/>
            </w:tcBorders>
            <w:shd w:val="clear" w:color="auto" w:fill="auto"/>
            <w:hideMark/>
          </w:tcPr>
          <w:p w14:paraId="765A9379"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0BD8808C" w14:textId="35FEFDD8" w:rsidR="009458C1" w:rsidRPr="0004663E" w:rsidRDefault="009458C1" w:rsidP="008762C0">
            <w:pPr>
              <w:jc w:val="center"/>
              <w:rPr>
                <w:rFonts w:cs="Arial"/>
                <w:color w:val="000000"/>
                <w:sz w:val="18"/>
                <w:szCs w:val="18"/>
              </w:rPr>
            </w:pPr>
            <w:r>
              <w:rPr>
                <w:rFonts w:cs="Arial"/>
                <w:color w:val="000000"/>
                <w:sz w:val="18"/>
                <w:szCs w:val="18"/>
              </w:rPr>
              <w:t>85.5</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C6E0B4"/>
            <w:hideMark/>
          </w:tcPr>
          <w:p w14:paraId="3A12EA15" w14:textId="73440A0B" w:rsidR="009458C1" w:rsidRPr="0004663E" w:rsidRDefault="009458C1" w:rsidP="008762C0">
            <w:pPr>
              <w:jc w:val="center"/>
              <w:rPr>
                <w:rFonts w:cs="Arial"/>
                <w:color w:val="000000"/>
                <w:sz w:val="18"/>
                <w:szCs w:val="18"/>
              </w:rPr>
            </w:pPr>
            <w:r>
              <w:rPr>
                <w:rFonts w:cs="Arial"/>
                <w:color w:val="000000"/>
                <w:sz w:val="18"/>
                <w:szCs w:val="18"/>
              </w:rPr>
              <w:t>85.3</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02AB08BD" w14:textId="18FFF7A1" w:rsidR="009458C1" w:rsidRPr="0004663E" w:rsidRDefault="009458C1" w:rsidP="008762C0">
            <w:pPr>
              <w:jc w:val="center"/>
              <w:rPr>
                <w:rFonts w:cs="Arial"/>
                <w:color w:val="000000"/>
                <w:sz w:val="18"/>
                <w:szCs w:val="18"/>
              </w:rPr>
            </w:pPr>
            <w:r>
              <w:rPr>
                <w:rFonts w:cs="Arial"/>
                <w:color w:val="000000"/>
                <w:sz w:val="18"/>
                <w:szCs w:val="18"/>
              </w:rPr>
              <w:t>76.2</w:t>
            </w:r>
            <w:r w:rsidRPr="0004663E">
              <w:rPr>
                <w:rFonts w:cs="Arial"/>
                <w:color w:val="000000"/>
                <w:sz w:val="18"/>
                <w:szCs w:val="18"/>
              </w:rPr>
              <w:t>%</w:t>
            </w:r>
          </w:p>
        </w:tc>
      </w:tr>
      <w:tr w:rsidR="008762C0" w:rsidRPr="0004663E" w14:paraId="127C7DB1" w14:textId="77777777" w:rsidTr="00E734A1">
        <w:trPr>
          <w:trHeight w:val="60"/>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67646B7D" w14:textId="2E7B5D2D" w:rsidR="008762C0" w:rsidRPr="0004663E" w:rsidRDefault="008762C0" w:rsidP="008762C0">
            <w:pPr>
              <w:rPr>
                <w:rFonts w:cs="Arial"/>
                <w:b/>
                <w:bCs/>
                <w:color w:val="000000"/>
                <w:sz w:val="18"/>
                <w:szCs w:val="18"/>
              </w:rPr>
            </w:pPr>
            <w:r w:rsidRPr="0004663E">
              <w:rPr>
                <w:rFonts w:cs="Arial"/>
                <w:b/>
                <w:bCs/>
                <w:color w:val="000000"/>
                <w:sz w:val="18"/>
                <w:szCs w:val="18"/>
              </w:rPr>
              <w:t>Support for people to remain independent</w:t>
            </w:r>
          </w:p>
        </w:tc>
      </w:tr>
      <w:tr w:rsidR="009458C1" w:rsidRPr="0004663E" w14:paraId="45A0A9F0" w14:textId="77777777" w:rsidTr="008762C0">
        <w:trPr>
          <w:trHeight w:val="60"/>
        </w:trPr>
        <w:tc>
          <w:tcPr>
            <w:tcW w:w="5308" w:type="dxa"/>
            <w:tcBorders>
              <w:top w:val="nil"/>
              <w:left w:val="single" w:sz="8" w:space="0" w:color="auto"/>
              <w:bottom w:val="single" w:sz="4" w:space="0" w:color="auto"/>
              <w:right w:val="single" w:sz="8" w:space="0" w:color="auto"/>
            </w:tcBorders>
            <w:shd w:val="clear" w:color="auto" w:fill="auto"/>
            <w:vAlign w:val="center"/>
            <w:hideMark/>
          </w:tcPr>
          <w:p w14:paraId="4CEEBCA0" w14:textId="77AC441A" w:rsidR="009458C1" w:rsidRPr="0004663E" w:rsidRDefault="009458C1" w:rsidP="0004663E">
            <w:pPr>
              <w:rPr>
                <w:rFonts w:cs="Arial"/>
                <w:color w:val="000000"/>
                <w:sz w:val="18"/>
                <w:szCs w:val="18"/>
              </w:rPr>
            </w:pPr>
            <w:r w:rsidRPr="0004663E">
              <w:rPr>
                <w:rFonts w:cs="Arial"/>
                <w:color w:val="000000"/>
                <w:sz w:val="18"/>
                <w:szCs w:val="18"/>
              </w:rPr>
              <w:t>Permanent admissions to residential and nursing care homes per 100,000 pop aged 18-64 (ASCOF)</w:t>
            </w:r>
            <w:r>
              <w:rPr>
                <w:rFonts w:cs="Arial"/>
                <w:color w:val="000000"/>
                <w:sz w:val="18"/>
                <w:szCs w:val="18"/>
              </w:rPr>
              <w:t xml:space="preserve"> </w:t>
            </w:r>
            <w:r w:rsidR="00236A07">
              <w:rPr>
                <w:rFonts w:cs="Arial"/>
                <w:color w:val="000000"/>
                <w:sz w:val="18"/>
                <w:szCs w:val="18"/>
              </w:rPr>
              <w:t>during the year</w:t>
            </w:r>
          </w:p>
        </w:tc>
        <w:tc>
          <w:tcPr>
            <w:tcW w:w="851" w:type="dxa"/>
            <w:tcBorders>
              <w:top w:val="nil"/>
              <w:left w:val="nil"/>
              <w:bottom w:val="single" w:sz="8" w:space="0" w:color="auto"/>
              <w:right w:val="single" w:sz="8" w:space="0" w:color="auto"/>
            </w:tcBorders>
            <w:shd w:val="clear" w:color="auto" w:fill="auto"/>
            <w:hideMark/>
          </w:tcPr>
          <w:p w14:paraId="7DC73158" w14:textId="77777777" w:rsidR="009458C1" w:rsidRPr="0004663E" w:rsidRDefault="009458C1" w:rsidP="008762C0">
            <w:pPr>
              <w:jc w:val="center"/>
              <w:rPr>
                <w:rFonts w:cs="Arial"/>
                <w:color w:val="000000"/>
                <w:sz w:val="18"/>
                <w:szCs w:val="18"/>
              </w:rPr>
            </w:pPr>
            <w:r w:rsidRPr="0004663E">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hideMark/>
          </w:tcPr>
          <w:p w14:paraId="5DBCFA66" w14:textId="77777777" w:rsidR="009458C1" w:rsidRPr="0004663E" w:rsidRDefault="009458C1" w:rsidP="008762C0">
            <w:pPr>
              <w:jc w:val="center"/>
              <w:rPr>
                <w:rFonts w:cs="Arial"/>
                <w:color w:val="000000"/>
                <w:sz w:val="18"/>
                <w:szCs w:val="18"/>
              </w:rPr>
            </w:pPr>
            <w:r w:rsidRPr="0004663E">
              <w:rPr>
                <w:rFonts w:cs="Arial"/>
                <w:color w:val="000000"/>
                <w:sz w:val="18"/>
                <w:szCs w:val="18"/>
              </w:rPr>
              <w:t>17</w:t>
            </w:r>
          </w:p>
        </w:tc>
        <w:tc>
          <w:tcPr>
            <w:tcW w:w="992" w:type="dxa"/>
            <w:tcBorders>
              <w:top w:val="nil"/>
              <w:left w:val="nil"/>
              <w:bottom w:val="single" w:sz="8" w:space="0" w:color="auto"/>
              <w:right w:val="single" w:sz="8" w:space="0" w:color="auto"/>
            </w:tcBorders>
            <w:shd w:val="clear" w:color="000000" w:fill="E6B8B7"/>
            <w:hideMark/>
          </w:tcPr>
          <w:p w14:paraId="6E71C9BC" w14:textId="77777777" w:rsidR="009458C1" w:rsidRPr="0004663E" w:rsidRDefault="009458C1" w:rsidP="008762C0">
            <w:pPr>
              <w:jc w:val="center"/>
              <w:rPr>
                <w:rFonts w:cs="Arial"/>
                <w:color w:val="000000"/>
                <w:sz w:val="18"/>
                <w:szCs w:val="18"/>
              </w:rPr>
            </w:pPr>
            <w:r w:rsidRPr="0004663E">
              <w:rPr>
                <w:rFonts w:cs="Arial"/>
                <w:color w:val="000000"/>
                <w:sz w:val="18"/>
                <w:szCs w:val="18"/>
              </w:rPr>
              <w:t>19</w:t>
            </w:r>
          </w:p>
        </w:tc>
        <w:tc>
          <w:tcPr>
            <w:tcW w:w="992" w:type="dxa"/>
            <w:tcBorders>
              <w:top w:val="nil"/>
              <w:left w:val="nil"/>
              <w:bottom w:val="single" w:sz="8" w:space="0" w:color="auto"/>
              <w:right w:val="single" w:sz="8" w:space="0" w:color="auto"/>
            </w:tcBorders>
            <w:shd w:val="clear" w:color="auto" w:fill="auto"/>
            <w:hideMark/>
          </w:tcPr>
          <w:p w14:paraId="1E553360" w14:textId="77777777" w:rsidR="009458C1" w:rsidRPr="0004663E" w:rsidRDefault="009458C1" w:rsidP="008762C0">
            <w:pPr>
              <w:jc w:val="center"/>
              <w:rPr>
                <w:rFonts w:cs="Arial"/>
                <w:color w:val="000000"/>
                <w:sz w:val="18"/>
                <w:szCs w:val="18"/>
              </w:rPr>
            </w:pPr>
            <w:r w:rsidRPr="0004663E">
              <w:rPr>
                <w:rFonts w:cs="Arial"/>
                <w:color w:val="000000"/>
                <w:sz w:val="18"/>
                <w:szCs w:val="18"/>
              </w:rPr>
              <w:t>12.8</w:t>
            </w:r>
          </w:p>
        </w:tc>
      </w:tr>
      <w:tr w:rsidR="009458C1" w:rsidRPr="0004663E" w14:paraId="5412780F" w14:textId="77777777" w:rsidTr="008762C0">
        <w:trPr>
          <w:trHeight w:val="122"/>
        </w:trPr>
        <w:tc>
          <w:tcPr>
            <w:tcW w:w="530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A441A4" w14:textId="5420B704" w:rsidR="009458C1" w:rsidRPr="0004663E" w:rsidRDefault="009458C1" w:rsidP="000B3BAB">
            <w:pPr>
              <w:rPr>
                <w:rFonts w:cs="Arial"/>
                <w:color w:val="000000"/>
                <w:sz w:val="18"/>
                <w:szCs w:val="18"/>
              </w:rPr>
            </w:pPr>
            <w:r w:rsidRPr="0004663E">
              <w:rPr>
                <w:rFonts w:cs="Arial"/>
                <w:color w:val="000000"/>
                <w:sz w:val="18"/>
                <w:szCs w:val="18"/>
              </w:rPr>
              <w:t>Permanent admissions to residential and nursing care homes p</w:t>
            </w:r>
            <w:r>
              <w:rPr>
                <w:rFonts w:cs="Arial"/>
                <w:color w:val="000000"/>
                <w:sz w:val="18"/>
                <w:szCs w:val="18"/>
              </w:rPr>
              <w:t xml:space="preserve">er 100,000 pop aged 65+ (ASCOF) </w:t>
            </w:r>
            <w:r w:rsidR="00236A07">
              <w:rPr>
                <w:rFonts w:cs="Arial"/>
                <w:color w:val="000000"/>
                <w:sz w:val="18"/>
                <w:szCs w:val="18"/>
              </w:rPr>
              <w:t>during the year</w:t>
            </w:r>
          </w:p>
        </w:tc>
        <w:tc>
          <w:tcPr>
            <w:tcW w:w="851" w:type="dxa"/>
            <w:tcBorders>
              <w:top w:val="nil"/>
              <w:left w:val="nil"/>
              <w:bottom w:val="single" w:sz="4" w:space="0" w:color="auto"/>
              <w:right w:val="single" w:sz="8" w:space="0" w:color="auto"/>
            </w:tcBorders>
            <w:shd w:val="clear" w:color="auto" w:fill="auto"/>
            <w:hideMark/>
          </w:tcPr>
          <w:p w14:paraId="1B77082C" w14:textId="77777777" w:rsidR="009458C1" w:rsidRPr="0004663E" w:rsidRDefault="009458C1" w:rsidP="008762C0">
            <w:pPr>
              <w:jc w:val="center"/>
              <w:rPr>
                <w:rFonts w:cs="Arial"/>
                <w:color w:val="000000"/>
                <w:sz w:val="18"/>
                <w:szCs w:val="18"/>
              </w:rPr>
            </w:pPr>
            <w:r w:rsidRPr="0004663E">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hideMark/>
          </w:tcPr>
          <w:p w14:paraId="4081406C" w14:textId="77777777" w:rsidR="009458C1" w:rsidRPr="0004663E" w:rsidRDefault="009458C1" w:rsidP="008762C0">
            <w:pPr>
              <w:jc w:val="center"/>
              <w:rPr>
                <w:rFonts w:cs="Arial"/>
                <w:color w:val="000000"/>
                <w:sz w:val="18"/>
                <w:szCs w:val="18"/>
              </w:rPr>
            </w:pPr>
            <w:r w:rsidRPr="0004663E">
              <w:rPr>
                <w:rFonts w:cs="Arial"/>
                <w:color w:val="000000"/>
                <w:sz w:val="18"/>
                <w:szCs w:val="18"/>
              </w:rPr>
              <w:t>742.3</w:t>
            </w:r>
          </w:p>
        </w:tc>
        <w:tc>
          <w:tcPr>
            <w:tcW w:w="992" w:type="dxa"/>
            <w:tcBorders>
              <w:top w:val="nil"/>
              <w:left w:val="nil"/>
              <w:bottom w:val="single" w:sz="8" w:space="0" w:color="auto"/>
              <w:right w:val="single" w:sz="8" w:space="0" w:color="auto"/>
            </w:tcBorders>
            <w:shd w:val="clear" w:color="000000" w:fill="E6B8B7"/>
            <w:hideMark/>
          </w:tcPr>
          <w:p w14:paraId="35BB9FFC" w14:textId="77777777" w:rsidR="009458C1" w:rsidRPr="0004663E" w:rsidRDefault="009458C1" w:rsidP="008762C0">
            <w:pPr>
              <w:jc w:val="center"/>
              <w:rPr>
                <w:rFonts w:cs="Arial"/>
                <w:color w:val="000000"/>
                <w:sz w:val="18"/>
                <w:szCs w:val="18"/>
              </w:rPr>
            </w:pPr>
            <w:r w:rsidRPr="0004663E">
              <w:rPr>
                <w:rFonts w:cs="Arial"/>
                <w:color w:val="000000"/>
                <w:sz w:val="18"/>
                <w:szCs w:val="18"/>
              </w:rPr>
              <w:t>728.3</w:t>
            </w:r>
          </w:p>
        </w:tc>
        <w:tc>
          <w:tcPr>
            <w:tcW w:w="992" w:type="dxa"/>
            <w:tcBorders>
              <w:top w:val="nil"/>
              <w:left w:val="nil"/>
              <w:bottom w:val="single" w:sz="8" w:space="0" w:color="auto"/>
              <w:right w:val="single" w:sz="8" w:space="0" w:color="auto"/>
            </w:tcBorders>
            <w:shd w:val="clear" w:color="auto" w:fill="auto"/>
            <w:hideMark/>
          </w:tcPr>
          <w:p w14:paraId="79F556DE" w14:textId="77777777" w:rsidR="009458C1" w:rsidRPr="0004663E" w:rsidRDefault="009458C1" w:rsidP="008762C0">
            <w:pPr>
              <w:jc w:val="center"/>
              <w:rPr>
                <w:rFonts w:cs="Arial"/>
                <w:color w:val="000000"/>
                <w:sz w:val="18"/>
                <w:szCs w:val="18"/>
              </w:rPr>
            </w:pPr>
            <w:r w:rsidRPr="0004663E">
              <w:rPr>
                <w:rFonts w:cs="Arial"/>
                <w:color w:val="000000"/>
                <w:sz w:val="18"/>
                <w:szCs w:val="18"/>
              </w:rPr>
              <w:t>610.7</w:t>
            </w:r>
          </w:p>
        </w:tc>
      </w:tr>
      <w:tr w:rsidR="009458C1" w:rsidRPr="0004663E" w14:paraId="66AF698F" w14:textId="77777777" w:rsidTr="008762C0">
        <w:trPr>
          <w:trHeight w:val="358"/>
        </w:trPr>
        <w:tc>
          <w:tcPr>
            <w:tcW w:w="5308" w:type="dxa"/>
            <w:tcBorders>
              <w:top w:val="nil"/>
              <w:left w:val="single" w:sz="8" w:space="0" w:color="auto"/>
              <w:bottom w:val="single" w:sz="4" w:space="0" w:color="auto"/>
              <w:right w:val="single" w:sz="8" w:space="0" w:color="auto"/>
            </w:tcBorders>
            <w:shd w:val="clear" w:color="auto" w:fill="auto"/>
            <w:vAlign w:val="center"/>
            <w:hideMark/>
          </w:tcPr>
          <w:p w14:paraId="6394C990" w14:textId="2AFA2EE1" w:rsidR="009458C1" w:rsidRPr="0004663E" w:rsidRDefault="009458C1" w:rsidP="0004663E">
            <w:pPr>
              <w:rPr>
                <w:rFonts w:cs="Arial"/>
                <w:color w:val="000000"/>
                <w:sz w:val="18"/>
                <w:szCs w:val="18"/>
              </w:rPr>
            </w:pPr>
            <w:r w:rsidRPr="0004663E">
              <w:rPr>
                <w:rFonts w:cs="Arial"/>
                <w:color w:val="000000"/>
                <w:sz w:val="18"/>
                <w:szCs w:val="18"/>
              </w:rPr>
              <w:t xml:space="preserve">Number of permanent admissions to residential and nursing care homes pop aged 65+ </w:t>
            </w:r>
            <w:r w:rsidR="00236A07">
              <w:rPr>
                <w:rFonts w:cs="Arial"/>
                <w:color w:val="000000"/>
                <w:sz w:val="18"/>
                <w:szCs w:val="18"/>
              </w:rPr>
              <w:t>during the year</w:t>
            </w:r>
          </w:p>
        </w:tc>
        <w:tc>
          <w:tcPr>
            <w:tcW w:w="851" w:type="dxa"/>
            <w:tcBorders>
              <w:top w:val="single" w:sz="4" w:space="0" w:color="auto"/>
              <w:left w:val="nil"/>
              <w:bottom w:val="single" w:sz="8" w:space="0" w:color="auto"/>
              <w:right w:val="single" w:sz="8" w:space="0" w:color="auto"/>
            </w:tcBorders>
            <w:shd w:val="clear" w:color="auto" w:fill="auto"/>
            <w:hideMark/>
          </w:tcPr>
          <w:p w14:paraId="5E058BA7" w14:textId="77777777" w:rsidR="009458C1" w:rsidRPr="0004663E" w:rsidRDefault="009458C1" w:rsidP="008762C0">
            <w:pPr>
              <w:jc w:val="center"/>
              <w:rPr>
                <w:rFonts w:cs="Arial"/>
                <w:color w:val="000000"/>
                <w:sz w:val="18"/>
                <w:szCs w:val="18"/>
              </w:rPr>
            </w:pPr>
            <w:r w:rsidRPr="0004663E">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hideMark/>
          </w:tcPr>
          <w:p w14:paraId="15CB668E" w14:textId="77777777" w:rsidR="009458C1" w:rsidRPr="0004663E" w:rsidRDefault="009458C1" w:rsidP="008762C0">
            <w:pPr>
              <w:jc w:val="center"/>
              <w:rPr>
                <w:rFonts w:cs="Arial"/>
                <w:color w:val="000000"/>
                <w:sz w:val="18"/>
                <w:szCs w:val="18"/>
              </w:rPr>
            </w:pPr>
            <w:r w:rsidRPr="0004663E">
              <w:rPr>
                <w:rFonts w:cs="Arial"/>
                <w:color w:val="000000"/>
                <w:sz w:val="18"/>
                <w:szCs w:val="18"/>
              </w:rPr>
              <w:t>1,795</w:t>
            </w:r>
          </w:p>
        </w:tc>
        <w:tc>
          <w:tcPr>
            <w:tcW w:w="992" w:type="dxa"/>
            <w:tcBorders>
              <w:top w:val="nil"/>
              <w:left w:val="nil"/>
              <w:bottom w:val="single" w:sz="8" w:space="0" w:color="auto"/>
              <w:right w:val="single" w:sz="8" w:space="0" w:color="auto"/>
            </w:tcBorders>
            <w:shd w:val="clear" w:color="000000" w:fill="E6B8B7"/>
            <w:hideMark/>
          </w:tcPr>
          <w:p w14:paraId="2BEF1C33" w14:textId="77777777" w:rsidR="009458C1" w:rsidRPr="0004663E" w:rsidRDefault="009458C1" w:rsidP="008762C0">
            <w:pPr>
              <w:jc w:val="center"/>
              <w:rPr>
                <w:rFonts w:cs="Arial"/>
                <w:color w:val="000000"/>
                <w:sz w:val="18"/>
                <w:szCs w:val="18"/>
              </w:rPr>
            </w:pPr>
            <w:r w:rsidRPr="0004663E">
              <w:rPr>
                <w:rFonts w:cs="Arial"/>
                <w:color w:val="000000"/>
                <w:sz w:val="18"/>
                <w:szCs w:val="18"/>
              </w:rPr>
              <w:t>1,761</w:t>
            </w:r>
          </w:p>
        </w:tc>
        <w:tc>
          <w:tcPr>
            <w:tcW w:w="992" w:type="dxa"/>
            <w:tcBorders>
              <w:top w:val="nil"/>
              <w:left w:val="nil"/>
              <w:bottom w:val="single" w:sz="8" w:space="0" w:color="auto"/>
              <w:right w:val="single" w:sz="8" w:space="0" w:color="auto"/>
            </w:tcBorders>
            <w:shd w:val="clear" w:color="auto" w:fill="auto"/>
            <w:hideMark/>
          </w:tcPr>
          <w:p w14:paraId="0F19AA85" w14:textId="77777777" w:rsidR="009458C1" w:rsidRPr="0004663E" w:rsidRDefault="009458C1" w:rsidP="008762C0">
            <w:pPr>
              <w:jc w:val="center"/>
              <w:rPr>
                <w:rFonts w:cs="Arial"/>
                <w:color w:val="000000"/>
                <w:sz w:val="18"/>
                <w:szCs w:val="18"/>
              </w:rPr>
            </w:pPr>
            <w:r w:rsidRPr="0004663E">
              <w:rPr>
                <w:rFonts w:cs="Arial"/>
                <w:color w:val="000000"/>
                <w:sz w:val="18"/>
                <w:szCs w:val="18"/>
              </w:rPr>
              <w:t>-</w:t>
            </w:r>
          </w:p>
        </w:tc>
      </w:tr>
      <w:tr w:rsidR="009458C1" w:rsidRPr="0004663E" w14:paraId="1822DD3B" w14:textId="77777777" w:rsidTr="008762C0">
        <w:trPr>
          <w:trHeight w:val="60"/>
        </w:trPr>
        <w:tc>
          <w:tcPr>
            <w:tcW w:w="530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718A75" w14:textId="24B65B74" w:rsidR="009458C1" w:rsidRPr="00236A07" w:rsidRDefault="009458C1" w:rsidP="0004663E">
            <w:pPr>
              <w:rPr>
                <w:rFonts w:cs="Arial"/>
                <w:sz w:val="18"/>
                <w:szCs w:val="18"/>
              </w:rPr>
            </w:pPr>
            <w:r w:rsidRPr="00236A07">
              <w:rPr>
                <w:rFonts w:cs="Arial"/>
                <w:sz w:val="18"/>
                <w:szCs w:val="18"/>
              </w:rPr>
              <w:t xml:space="preserve">Number of reablement referrals </w:t>
            </w:r>
            <w:r w:rsidR="00236A07">
              <w:rPr>
                <w:rFonts w:cs="Arial"/>
                <w:sz w:val="18"/>
                <w:szCs w:val="18"/>
              </w:rPr>
              <w:t xml:space="preserve"> </w:t>
            </w:r>
            <w:r w:rsidR="00236A07">
              <w:rPr>
                <w:rFonts w:cs="Arial"/>
                <w:color w:val="000000"/>
                <w:sz w:val="18"/>
                <w:szCs w:val="18"/>
              </w:rPr>
              <w:t>during the year</w:t>
            </w:r>
          </w:p>
        </w:tc>
        <w:tc>
          <w:tcPr>
            <w:tcW w:w="851" w:type="dxa"/>
            <w:tcBorders>
              <w:top w:val="nil"/>
              <w:left w:val="nil"/>
              <w:bottom w:val="single" w:sz="8" w:space="0" w:color="auto"/>
              <w:right w:val="single" w:sz="8" w:space="0" w:color="auto"/>
            </w:tcBorders>
            <w:shd w:val="clear" w:color="auto" w:fill="auto"/>
            <w:hideMark/>
          </w:tcPr>
          <w:p w14:paraId="08D99FD8" w14:textId="77777777" w:rsidR="009458C1" w:rsidRPr="00236A07" w:rsidRDefault="009458C1" w:rsidP="008762C0">
            <w:pPr>
              <w:jc w:val="center"/>
              <w:rPr>
                <w:rFonts w:cs="Arial"/>
                <w:sz w:val="18"/>
                <w:szCs w:val="18"/>
              </w:rPr>
            </w:pPr>
            <w:r w:rsidRPr="00236A07">
              <w:rPr>
                <w:rFonts w:cs="Arial"/>
                <w:sz w:val="18"/>
                <w:szCs w:val="18"/>
              </w:rPr>
              <w:t>H</w:t>
            </w:r>
          </w:p>
        </w:tc>
        <w:tc>
          <w:tcPr>
            <w:tcW w:w="992" w:type="dxa"/>
            <w:tcBorders>
              <w:top w:val="nil"/>
              <w:left w:val="nil"/>
              <w:bottom w:val="single" w:sz="8" w:space="0" w:color="auto"/>
              <w:right w:val="single" w:sz="8" w:space="0" w:color="auto"/>
            </w:tcBorders>
            <w:shd w:val="clear" w:color="auto" w:fill="auto"/>
            <w:hideMark/>
          </w:tcPr>
          <w:p w14:paraId="1FD5E655" w14:textId="5A3B58E8" w:rsidR="009458C1" w:rsidRPr="00236A07" w:rsidRDefault="00236A07" w:rsidP="008762C0">
            <w:pPr>
              <w:jc w:val="center"/>
              <w:rPr>
                <w:rFonts w:cs="Arial"/>
                <w:sz w:val="18"/>
                <w:szCs w:val="18"/>
              </w:rPr>
            </w:pPr>
            <w:r>
              <w:rPr>
                <w:rFonts w:cs="Arial"/>
                <w:sz w:val="18"/>
                <w:szCs w:val="18"/>
              </w:rPr>
              <w:t>3,642</w:t>
            </w:r>
          </w:p>
        </w:tc>
        <w:tc>
          <w:tcPr>
            <w:tcW w:w="992" w:type="dxa"/>
            <w:tcBorders>
              <w:top w:val="nil"/>
              <w:left w:val="nil"/>
              <w:bottom w:val="single" w:sz="8" w:space="0" w:color="auto"/>
              <w:right w:val="single" w:sz="8" w:space="0" w:color="auto"/>
            </w:tcBorders>
            <w:shd w:val="clear" w:color="000000" w:fill="C6E0B4"/>
            <w:hideMark/>
          </w:tcPr>
          <w:p w14:paraId="5C562371" w14:textId="6D501AE7" w:rsidR="009458C1" w:rsidRPr="00236A07" w:rsidRDefault="00236A07" w:rsidP="008762C0">
            <w:pPr>
              <w:jc w:val="center"/>
              <w:rPr>
                <w:rFonts w:cs="Arial"/>
                <w:sz w:val="18"/>
                <w:szCs w:val="18"/>
              </w:rPr>
            </w:pPr>
            <w:r>
              <w:rPr>
                <w:rFonts w:cs="Arial"/>
                <w:sz w:val="18"/>
                <w:szCs w:val="18"/>
              </w:rPr>
              <w:t>7,392</w:t>
            </w:r>
          </w:p>
        </w:tc>
        <w:tc>
          <w:tcPr>
            <w:tcW w:w="992" w:type="dxa"/>
            <w:tcBorders>
              <w:top w:val="nil"/>
              <w:left w:val="nil"/>
              <w:bottom w:val="single" w:sz="8" w:space="0" w:color="auto"/>
              <w:right w:val="single" w:sz="8" w:space="0" w:color="auto"/>
            </w:tcBorders>
            <w:shd w:val="clear" w:color="auto" w:fill="auto"/>
            <w:hideMark/>
          </w:tcPr>
          <w:p w14:paraId="6F9A93BE" w14:textId="77777777" w:rsidR="009458C1" w:rsidRPr="00236A07" w:rsidRDefault="009458C1" w:rsidP="008762C0">
            <w:pPr>
              <w:jc w:val="center"/>
              <w:rPr>
                <w:rFonts w:cs="Arial"/>
                <w:sz w:val="18"/>
                <w:szCs w:val="18"/>
              </w:rPr>
            </w:pPr>
            <w:r w:rsidRPr="00236A07">
              <w:rPr>
                <w:rFonts w:cs="Arial"/>
                <w:sz w:val="18"/>
                <w:szCs w:val="18"/>
              </w:rPr>
              <w:t>-</w:t>
            </w:r>
          </w:p>
        </w:tc>
      </w:tr>
      <w:tr w:rsidR="009458C1" w:rsidRPr="0004663E" w14:paraId="22F652D0" w14:textId="77777777" w:rsidTr="008762C0">
        <w:trPr>
          <w:trHeight w:val="60"/>
        </w:trPr>
        <w:tc>
          <w:tcPr>
            <w:tcW w:w="530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DE7FE" w14:textId="5E38152C" w:rsidR="009458C1" w:rsidRPr="00236A07" w:rsidRDefault="009458C1" w:rsidP="0004663E">
            <w:pPr>
              <w:rPr>
                <w:rFonts w:cs="Arial"/>
                <w:sz w:val="18"/>
                <w:szCs w:val="18"/>
              </w:rPr>
            </w:pPr>
            <w:r w:rsidRPr="00236A07">
              <w:rPr>
                <w:rFonts w:cs="Arial"/>
                <w:sz w:val="18"/>
                <w:szCs w:val="18"/>
              </w:rPr>
              <w:t>Number of completed reablement support plans</w:t>
            </w:r>
            <w:r w:rsidR="00236A07">
              <w:rPr>
                <w:rFonts w:cs="Arial"/>
                <w:sz w:val="18"/>
                <w:szCs w:val="18"/>
              </w:rPr>
              <w:t xml:space="preserve"> </w:t>
            </w:r>
            <w:r w:rsidR="00236A07">
              <w:rPr>
                <w:rFonts w:cs="Arial"/>
                <w:color w:val="000000"/>
                <w:sz w:val="18"/>
                <w:szCs w:val="18"/>
              </w:rPr>
              <w:t>during the year</w:t>
            </w:r>
          </w:p>
        </w:tc>
        <w:tc>
          <w:tcPr>
            <w:tcW w:w="851" w:type="dxa"/>
            <w:tcBorders>
              <w:top w:val="nil"/>
              <w:left w:val="nil"/>
              <w:bottom w:val="single" w:sz="8" w:space="0" w:color="auto"/>
              <w:right w:val="single" w:sz="8" w:space="0" w:color="auto"/>
            </w:tcBorders>
            <w:shd w:val="clear" w:color="auto" w:fill="auto"/>
            <w:hideMark/>
          </w:tcPr>
          <w:p w14:paraId="3B09C0A8" w14:textId="77777777" w:rsidR="009458C1" w:rsidRPr="00236A07" w:rsidRDefault="009458C1" w:rsidP="008762C0">
            <w:pPr>
              <w:jc w:val="center"/>
              <w:rPr>
                <w:rFonts w:cs="Arial"/>
                <w:sz w:val="18"/>
                <w:szCs w:val="18"/>
              </w:rPr>
            </w:pPr>
            <w:r w:rsidRPr="00236A07">
              <w:rPr>
                <w:rFonts w:cs="Arial"/>
                <w:sz w:val="18"/>
                <w:szCs w:val="18"/>
              </w:rPr>
              <w:t>H</w:t>
            </w:r>
          </w:p>
        </w:tc>
        <w:tc>
          <w:tcPr>
            <w:tcW w:w="992" w:type="dxa"/>
            <w:tcBorders>
              <w:top w:val="nil"/>
              <w:left w:val="nil"/>
              <w:bottom w:val="single" w:sz="8" w:space="0" w:color="auto"/>
              <w:right w:val="single" w:sz="8" w:space="0" w:color="auto"/>
            </w:tcBorders>
            <w:shd w:val="clear" w:color="auto" w:fill="auto"/>
            <w:hideMark/>
          </w:tcPr>
          <w:p w14:paraId="0030CE84" w14:textId="45933390" w:rsidR="009458C1" w:rsidRPr="00236A07" w:rsidRDefault="00236A07" w:rsidP="008762C0">
            <w:pPr>
              <w:jc w:val="center"/>
              <w:rPr>
                <w:rFonts w:cs="Arial"/>
                <w:sz w:val="18"/>
                <w:szCs w:val="18"/>
              </w:rPr>
            </w:pPr>
            <w:r>
              <w:rPr>
                <w:rFonts w:cs="Arial"/>
                <w:sz w:val="18"/>
                <w:szCs w:val="18"/>
              </w:rPr>
              <w:t>3,207</w:t>
            </w:r>
          </w:p>
        </w:tc>
        <w:tc>
          <w:tcPr>
            <w:tcW w:w="992" w:type="dxa"/>
            <w:tcBorders>
              <w:top w:val="nil"/>
              <w:left w:val="nil"/>
              <w:bottom w:val="single" w:sz="8" w:space="0" w:color="auto"/>
              <w:right w:val="single" w:sz="8" w:space="0" w:color="auto"/>
            </w:tcBorders>
            <w:shd w:val="clear" w:color="000000" w:fill="C6E0B4"/>
            <w:hideMark/>
          </w:tcPr>
          <w:p w14:paraId="20B4591A" w14:textId="6F44D244" w:rsidR="009458C1" w:rsidRPr="00236A07" w:rsidRDefault="00236A07" w:rsidP="008762C0">
            <w:pPr>
              <w:jc w:val="center"/>
              <w:rPr>
                <w:rFonts w:cs="Arial"/>
                <w:sz w:val="18"/>
                <w:szCs w:val="18"/>
              </w:rPr>
            </w:pPr>
            <w:r>
              <w:rPr>
                <w:rFonts w:cs="Arial"/>
                <w:sz w:val="18"/>
                <w:szCs w:val="18"/>
              </w:rPr>
              <w:t>6,657</w:t>
            </w:r>
          </w:p>
        </w:tc>
        <w:tc>
          <w:tcPr>
            <w:tcW w:w="992" w:type="dxa"/>
            <w:tcBorders>
              <w:top w:val="nil"/>
              <w:left w:val="nil"/>
              <w:bottom w:val="single" w:sz="8" w:space="0" w:color="auto"/>
              <w:right w:val="single" w:sz="8" w:space="0" w:color="auto"/>
            </w:tcBorders>
            <w:shd w:val="clear" w:color="auto" w:fill="auto"/>
            <w:hideMark/>
          </w:tcPr>
          <w:p w14:paraId="41CAFA6F" w14:textId="77777777" w:rsidR="009458C1" w:rsidRPr="00236A07" w:rsidRDefault="009458C1" w:rsidP="008762C0">
            <w:pPr>
              <w:jc w:val="center"/>
              <w:rPr>
                <w:rFonts w:cs="Arial"/>
                <w:sz w:val="18"/>
                <w:szCs w:val="18"/>
              </w:rPr>
            </w:pPr>
            <w:r w:rsidRPr="00236A07">
              <w:rPr>
                <w:rFonts w:cs="Arial"/>
                <w:sz w:val="18"/>
                <w:szCs w:val="18"/>
              </w:rPr>
              <w:t>-</w:t>
            </w:r>
          </w:p>
        </w:tc>
      </w:tr>
      <w:tr w:rsidR="009458C1" w:rsidRPr="0004663E" w14:paraId="734392FC" w14:textId="77777777" w:rsidTr="008762C0">
        <w:trPr>
          <w:trHeight w:val="60"/>
        </w:trPr>
        <w:tc>
          <w:tcPr>
            <w:tcW w:w="530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D3AAE9" w14:textId="4AE34B09" w:rsidR="009458C1" w:rsidRPr="0004663E" w:rsidRDefault="009458C1" w:rsidP="0004663E">
            <w:pPr>
              <w:rPr>
                <w:rFonts w:cs="Arial"/>
                <w:color w:val="000000"/>
                <w:sz w:val="18"/>
                <w:szCs w:val="18"/>
              </w:rPr>
            </w:pPr>
            <w:r w:rsidRPr="0004663E">
              <w:rPr>
                <w:rFonts w:cs="Arial"/>
                <w:color w:val="000000"/>
                <w:sz w:val="18"/>
                <w:szCs w:val="18"/>
              </w:rPr>
              <w:t>Proportion of older people (65 and over) who were still at home 91 days after discharge from hospital into reablement/</w:t>
            </w:r>
            <w:r w:rsidR="00236A07">
              <w:rPr>
                <w:rFonts w:cs="Arial"/>
                <w:color w:val="000000"/>
                <w:sz w:val="18"/>
                <w:szCs w:val="18"/>
              </w:rPr>
              <w:t xml:space="preserve"> </w:t>
            </w:r>
            <w:r w:rsidRPr="0004663E">
              <w:rPr>
                <w:rFonts w:cs="Arial"/>
                <w:color w:val="000000"/>
                <w:sz w:val="18"/>
                <w:szCs w:val="18"/>
              </w:rPr>
              <w:t>r</w:t>
            </w:r>
            <w:r>
              <w:rPr>
                <w:rFonts w:cs="Arial"/>
                <w:color w:val="000000"/>
                <w:sz w:val="18"/>
                <w:szCs w:val="18"/>
              </w:rPr>
              <w:t>ehabil</w:t>
            </w:r>
            <w:r w:rsidR="00287A6A">
              <w:rPr>
                <w:rFonts w:cs="Arial"/>
                <w:color w:val="000000"/>
                <w:sz w:val="18"/>
                <w:szCs w:val="18"/>
              </w:rPr>
              <w:t>itation services (ASCOF) from 1 October to 31 December each year</w:t>
            </w:r>
          </w:p>
        </w:tc>
        <w:tc>
          <w:tcPr>
            <w:tcW w:w="851" w:type="dxa"/>
            <w:tcBorders>
              <w:top w:val="nil"/>
              <w:left w:val="nil"/>
              <w:bottom w:val="single" w:sz="8" w:space="0" w:color="auto"/>
              <w:right w:val="single" w:sz="8" w:space="0" w:color="auto"/>
            </w:tcBorders>
            <w:shd w:val="clear" w:color="auto" w:fill="auto"/>
            <w:hideMark/>
          </w:tcPr>
          <w:p w14:paraId="79509311"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2326FEFE" w14:textId="4AB3C27C" w:rsidR="009458C1" w:rsidRPr="0004663E" w:rsidRDefault="009458C1" w:rsidP="008762C0">
            <w:pPr>
              <w:jc w:val="center"/>
              <w:rPr>
                <w:rFonts w:cs="Arial"/>
                <w:color w:val="000000"/>
                <w:sz w:val="18"/>
                <w:szCs w:val="18"/>
              </w:rPr>
            </w:pPr>
            <w:r>
              <w:rPr>
                <w:rFonts w:cs="Arial"/>
                <w:color w:val="000000"/>
                <w:sz w:val="18"/>
                <w:szCs w:val="18"/>
              </w:rPr>
              <w:t>83.8</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C6E0B4"/>
            <w:hideMark/>
          </w:tcPr>
          <w:p w14:paraId="74C827B4" w14:textId="2163CFFB" w:rsidR="009458C1" w:rsidRPr="0004663E" w:rsidRDefault="009458C1" w:rsidP="008762C0">
            <w:pPr>
              <w:jc w:val="center"/>
              <w:rPr>
                <w:rFonts w:cs="Arial"/>
                <w:color w:val="000000"/>
                <w:sz w:val="18"/>
                <w:szCs w:val="18"/>
              </w:rPr>
            </w:pPr>
            <w:r>
              <w:rPr>
                <w:rFonts w:cs="Arial"/>
                <w:color w:val="000000"/>
                <w:sz w:val="18"/>
                <w:szCs w:val="18"/>
              </w:rPr>
              <w:t>88.1</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3DA80E91" w14:textId="56D01682" w:rsidR="009458C1" w:rsidRPr="0004663E" w:rsidRDefault="009458C1" w:rsidP="008762C0">
            <w:pPr>
              <w:jc w:val="center"/>
              <w:rPr>
                <w:rFonts w:cs="Arial"/>
                <w:color w:val="000000"/>
                <w:sz w:val="18"/>
                <w:szCs w:val="18"/>
              </w:rPr>
            </w:pPr>
            <w:r>
              <w:rPr>
                <w:rFonts w:cs="Arial"/>
                <w:color w:val="000000"/>
                <w:sz w:val="18"/>
                <w:szCs w:val="18"/>
              </w:rPr>
              <w:t>82.</w:t>
            </w:r>
            <w:r w:rsidRPr="0004663E">
              <w:rPr>
                <w:rFonts w:cs="Arial"/>
                <w:color w:val="000000"/>
                <w:sz w:val="18"/>
                <w:szCs w:val="18"/>
              </w:rPr>
              <w:t>0%</w:t>
            </w:r>
          </w:p>
        </w:tc>
      </w:tr>
      <w:tr w:rsidR="008762C0" w:rsidRPr="0004663E" w14:paraId="54F700D8" w14:textId="77777777" w:rsidTr="00E734A1">
        <w:trPr>
          <w:trHeight w:val="107"/>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026AC43D" w14:textId="4553843B" w:rsidR="008762C0" w:rsidRPr="0004663E" w:rsidRDefault="008762C0" w:rsidP="008762C0">
            <w:pPr>
              <w:rPr>
                <w:rFonts w:cs="Arial"/>
                <w:b/>
                <w:bCs/>
                <w:color w:val="000000"/>
                <w:sz w:val="18"/>
                <w:szCs w:val="18"/>
              </w:rPr>
            </w:pPr>
            <w:r w:rsidRPr="0004663E">
              <w:rPr>
                <w:rFonts w:cs="Arial"/>
                <w:b/>
                <w:bCs/>
                <w:color w:val="000000"/>
                <w:sz w:val="18"/>
                <w:szCs w:val="18"/>
              </w:rPr>
              <w:t>Timeliness of assessment and support</w:t>
            </w:r>
          </w:p>
        </w:tc>
      </w:tr>
      <w:tr w:rsidR="009458C1" w:rsidRPr="0004663E" w14:paraId="6BD0143A" w14:textId="77777777" w:rsidTr="008762C0">
        <w:trPr>
          <w:trHeight w:val="60"/>
        </w:trPr>
        <w:tc>
          <w:tcPr>
            <w:tcW w:w="5308" w:type="dxa"/>
            <w:tcBorders>
              <w:top w:val="nil"/>
              <w:left w:val="single" w:sz="8" w:space="0" w:color="auto"/>
              <w:bottom w:val="single" w:sz="4" w:space="0" w:color="auto"/>
              <w:right w:val="single" w:sz="8" w:space="0" w:color="auto"/>
            </w:tcBorders>
            <w:shd w:val="clear" w:color="auto" w:fill="auto"/>
            <w:vAlign w:val="center"/>
            <w:hideMark/>
          </w:tcPr>
          <w:p w14:paraId="22E85084" w14:textId="1199464D" w:rsidR="009458C1" w:rsidRPr="0004663E" w:rsidRDefault="009458C1" w:rsidP="00016621">
            <w:pPr>
              <w:rPr>
                <w:rFonts w:cs="Arial"/>
                <w:color w:val="000000"/>
                <w:sz w:val="18"/>
                <w:szCs w:val="18"/>
              </w:rPr>
            </w:pPr>
            <w:r w:rsidRPr="0004663E">
              <w:rPr>
                <w:rFonts w:cs="Arial"/>
                <w:color w:val="000000"/>
                <w:sz w:val="18"/>
                <w:szCs w:val="18"/>
              </w:rPr>
              <w:t>Assessments completed within 7 days</w:t>
            </w:r>
            <w:r w:rsidR="00287A6A">
              <w:rPr>
                <w:rFonts w:cs="Arial"/>
                <w:color w:val="000000"/>
                <w:sz w:val="18"/>
                <w:szCs w:val="18"/>
              </w:rPr>
              <w:t xml:space="preserve"> during the year</w:t>
            </w:r>
          </w:p>
        </w:tc>
        <w:tc>
          <w:tcPr>
            <w:tcW w:w="851" w:type="dxa"/>
            <w:tcBorders>
              <w:top w:val="nil"/>
              <w:left w:val="nil"/>
              <w:bottom w:val="single" w:sz="8" w:space="0" w:color="auto"/>
              <w:right w:val="single" w:sz="8" w:space="0" w:color="auto"/>
            </w:tcBorders>
            <w:shd w:val="clear" w:color="auto" w:fill="auto"/>
            <w:hideMark/>
          </w:tcPr>
          <w:p w14:paraId="45658D9A" w14:textId="77777777" w:rsidR="009458C1" w:rsidRPr="00FB51CA" w:rsidRDefault="009458C1" w:rsidP="008762C0">
            <w:pPr>
              <w:jc w:val="center"/>
              <w:rPr>
                <w:rFonts w:cs="Arial"/>
                <w:sz w:val="18"/>
                <w:szCs w:val="18"/>
              </w:rPr>
            </w:pPr>
            <w:r w:rsidRPr="00FB51CA">
              <w:rPr>
                <w:rFonts w:cs="Arial"/>
                <w:sz w:val="18"/>
                <w:szCs w:val="18"/>
              </w:rPr>
              <w:t>H</w:t>
            </w:r>
          </w:p>
        </w:tc>
        <w:tc>
          <w:tcPr>
            <w:tcW w:w="992" w:type="dxa"/>
            <w:tcBorders>
              <w:top w:val="nil"/>
              <w:left w:val="nil"/>
              <w:bottom w:val="single" w:sz="8" w:space="0" w:color="auto"/>
              <w:right w:val="single" w:sz="8" w:space="0" w:color="auto"/>
            </w:tcBorders>
            <w:shd w:val="clear" w:color="auto" w:fill="auto"/>
            <w:hideMark/>
          </w:tcPr>
          <w:p w14:paraId="63F628E1" w14:textId="5FC6A764" w:rsidR="009458C1" w:rsidRPr="00FB51CA" w:rsidRDefault="00FF492B" w:rsidP="008762C0">
            <w:pPr>
              <w:jc w:val="center"/>
              <w:rPr>
                <w:rFonts w:cs="Arial"/>
                <w:sz w:val="18"/>
                <w:szCs w:val="18"/>
              </w:rPr>
            </w:pPr>
            <w:r>
              <w:rPr>
                <w:rFonts w:cs="Arial"/>
                <w:sz w:val="18"/>
                <w:szCs w:val="18"/>
              </w:rPr>
              <w:t>82.6</w:t>
            </w:r>
            <w:r w:rsidR="009458C1" w:rsidRPr="00FB51CA">
              <w:rPr>
                <w:rFonts w:cs="Arial"/>
                <w:sz w:val="18"/>
                <w:szCs w:val="18"/>
              </w:rPr>
              <w:t>%</w:t>
            </w:r>
          </w:p>
        </w:tc>
        <w:tc>
          <w:tcPr>
            <w:tcW w:w="992" w:type="dxa"/>
            <w:tcBorders>
              <w:top w:val="nil"/>
              <w:left w:val="nil"/>
              <w:bottom w:val="single" w:sz="8" w:space="0" w:color="auto"/>
              <w:right w:val="single" w:sz="8" w:space="0" w:color="auto"/>
            </w:tcBorders>
            <w:shd w:val="clear" w:color="000000" w:fill="C6E0B4"/>
            <w:hideMark/>
          </w:tcPr>
          <w:p w14:paraId="584CCB47" w14:textId="1EE1F0F2" w:rsidR="009458C1" w:rsidRPr="00FB51CA" w:rsidRDefault="00FF492B" w:rsidP="008762C0">
            <w:pPr>
              <w:jc w:val="center"/>
              <w:rPr>
                <w:rFonts w:cs="Arial"/>
                <w:sz w:val="18"/>
                <w:szCs w:val="18"/>
              </w:rPr>
            </w:pPr>
            <w:r>
              <w:rPr>
                <w:rFonts w:cs="Arial"/>
                <w:sz w:val="18"/>
                <w:szCs w:val="18"/>
              </w:rPr>
              <w:t>85.1</w:t>
            </w:r>
            <w:r w:rsidR="009458C1" w:rsidRPr="00FB51CA">
              <w:rPr>
                <w:rFonts w:cs="Arial"/>
                <w:sz w:val="18"/>
                <w:szCs w:val="18"/>
              </w:rPr>
              <w:t>%</w:t>
            </w:r>
          </w:p>
        </w:tc>
        <w:tc>
          <w:tcPr>
            <w:tcW w:w="992" w:type="dxa"/>
            <w:tcBorders>
              <w:top w:val="nil"/>
              <w:left w:val="nil"/>
              <w:bottom w:val="single" w:sz="8" w:space="0" w:color="auto"/>
              <w:right w:val="single" w:sz="8" w:space="0" w:color="auto"/>
            </w:tcBorders>
            <w:shd w:val="clear" w:color="auto" w:fill="auto"/>
            <w:hideMark/>
          </w:tcPr>
          <w:p w14:paraId="151F4613" w14:textId="77777777" w:rsidR="009458C1" w:rsidRPr="0004663E" w:rsidRDefault="009458C1" w:rsidP="008762C0">
            <w:pPr>
              <w:jc w:val="center"/>
              <w:rPr>
                <w:rFonts w:cs="Arial"/>
                <w:color w:val="000000"/>
                <w:sz w:val="18"/>
                <w:szCs w:val="18"/>
              </w:rPr>
            </w:pPr>
            <w:r w:rsidRPr="0004663E">
              <w:rPr>
                <w:rFonts w:cs="Arial"/>
                <w:color w:val="000000"/>
                <w:sz w:val="18"/>
                <w:szCs w:val="18"/>
              </w:rPr>
              <w:t>-</w:t>
            </w:r>
          </w:p>
        </w:tc>
      </w:tr>
      <w:tr w:rsidR="009458C1" w:rsidRPr="0004663E" w14:paraId="521883FC" w14:textId="77777777" w:rsidTr="008762C0">
        <w:trPr>
          <w:trHeight w:val="60"/>
        </w:trPr>
        <w:tc>
          <w:tcPr>
            <w:tcW w:w="530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8A4E04B" w14:textId="19849489" w:rsidR="009458C1" w:rsidRPr="00287A6A" w:rsidRDefault="009458C1" w:rsidP="001420A7">
            <w:pPr>
              <w:rPr>
                <w:rFonts w:cs="Arial"/>
                <w:sz w:val="18"/>
                <w:szCs w:val="18"/>
              </w:rPr>
            </w:pPr>
            <w:r w:rsidRPr="00287A6A">
              <w:rPr>
                <w:rFonts w:cs="Arial"/>
                <w:sz w:val="18"/>
                <w:szCs w:val="18"/>
              </w:rPr>
              <w:t xml:space="preserve">Assessments completed within 28 days  </w:t>
            </w:r>
            <w:r w:rsidR="00287A6A" w:rsidRPr="00287A6A">
              <w:rPr>
                <w:rFonts w:cs="Arial"/>
                <w:sz w:val="18"/>
                <w:szCs w:val="18"/>
              </w:rPr>
              <w:t>during the year</w:t>
            </w:r>
          </w:p>
        </w:tc>
        <w:tc>
          <w:tcPr>
            <w:tcW w:w="851" w:type="dxa"/>
            <w:tcBorders>
              <w:top w:val="nil"/>
              <w:left w:val="nil"/>
              <w:bottom w:val="single" w:sz="8" w:space="0" w:color="auto"/>
              <w:right w:val="single" w:sz="8" w:space="0" w:color="auto"/>
            </w:tcBorders>
            <w:shd w:val="clear" w:color="auto" w:fill="auto"/>
            <w:hideMark/>
          </w:tcPr>
          <w:p w14:paraId="583D7463" w14:textId="77777777" w:rsidR="009458C1" w:rsidRPr="00287A6A" w:rsidRDefault="009458C1" w:rsidP="008762C0">
            <w:pPr>
              <w:jc w:val="center"/>
              <w:rPr>
                <w:rFonts w:cs="Arial"/>
                <w:sz w:val="18"/>
                <w:szCs w:val="18"/>
              </w:rPr>
            </w:pPr>
            <w:r w:rsidRPr="00287A6A">
              <w:rPr>
                <w:rFonts w:cs="Arial"/>
                <w:sz w:val="18"/>
                <w:szCs w:val="18"/>
              </w:rPr>
              <w:t>H</w:t>
            </w:r>
          </w:p>
        </w:tc>
        <w:tc>
          <w:tcPr>
            <w:tcW w:w="992" w:type="dxa"/>
            <w:tcBorders>
              <w:top w:val="nil"/>
              <w:left w:val="nil"/>
              <w:bottom w:val="single" w:sz="8" w:space="0" w:color="auto"/>
              <w:right w:val="single" w:sz="8" w:space="0" w:color="auto"/>
            </w:tcBorders>
            <w:shd w:val="clear" w:color="auto" w:fill="auto"/>
            <w:hideMark/>
          </w:tcPr>
          <w:p w14:paraId="48A6DD52" w14:textId="0BA27B83" w:rsidR="009458C1" w:rsidRPr="00287A6A" w:rsidRDefault="00FF492B" w:rsidP="008762C0">
            <w:pPr>
              <w:jc w:val="center"/>
              <w:rPr>
                <w:rFonts w:cs="Arial"/>
                <w:sz w:val="18"/>
                <w:szCs w:val="18"/>
              </w:rPr>
            </w:pPr>
            <w:r>
              <w:rPr>
                <w:rFonts w:cs="Arial"/>
                <w:sz w:val="18"/>
                <w:szCs w:val="18"/>
              </w:rPr>
              <w:t>94.6</w:t>
            </w:r>
            <w:r w:rsidR="009458C1" w:rsidRPr="00287A6A">
              <w:rPr>
                <w:rFonts w:cs="Arial"/>
                <w:sz w:val="18"/>
                <w:szCs w:val="18"/>
              </w:rPr>
              <w:t>%</w:t>
            </w:r>
          </w:p>
        </w:tc>
        <w:tc>
          <w:tcPr>
            <w:tcW w:w="992" w:type="dxa"/>
            <w:tcBorders>
              <w:top w:val="nil"/>
              <w:left w:val="nil"/>
              <w:bottom w:val="single" w:sz="8" w:space="0" w:color="auto"/>
              <w:right w:val="single" w:sz="8" w:space="0" w:color="auto"/>
            </w:tcBorders>
            <w:shd w:val="clear" w:color="000000" w:fill="C6E0B4"/>
            <w:hideMark/>
          </w:tcPr>
          <w:p w14:paraId="748E185F" w14:textId="5F83A938" w:rsidR="009458C1" w:rsidRPr="00287A6A" w:rsidRDefault="00FF492B" w:rsidP="008762C0">
            <w:pPr>
              <w:jc w:val="center"/>
              <w:rPr>
                <w:rFonts w:cs="Arial"/>
                <w:sz w:val="18"/>
                <w:szCs w:val="18"/>
              </w:rPr>
            </w:pPr>
            <w:r>
              <w:rPr>
                <w:rFonts w:cs="Arial"/>
                <w:sz w:val="18"/>
                <w:szCs w:val="18"/>
              </w:rPr>
              <w:t>95.6</w:t>
            </w:r>
            <w:r w:rsidR="009458C1" w:rsidRPr="00287A6A">
              <w:rPr>
                <w:rFonts w:cs="Arial"/>
                <w:sz w:val="18"/>
                <w:szCs w:val="18"/>
              </w:rPr>
              <w:t>%</w:t>
            </w:r>
          </w:p>
        </w:tc>
        <w:tc>
          <w:tcPr>
            <w:tcW w:w="992" w:type="dxa"/>
            <w:tcBorders>
              <w:top w:val="nil"/>
              <w:left w:val="nil"/>
              <w:bottom w:val="single" w:sz="8" w:space="0" w:color="auto"/>
              <w:right w:val="single" w:sz="8" w:space="0" w:color="auto"/>
            </w:tcBorders>
            <w:shd w:val="clear" w:color="auto" w:fill="auto"/>
            <w:hideMark/>
          </w:tcPr>
          <w:p w14:paraId="0A49F3BE" w14:textId="77777777" w:rsidR="009458C1" w:rsidRPr="00287A6A" w:rsidRDefault="009458C1" w:rsidP="008762C0">
            <w:pPr>
              <w:jc w:val="center"/>
              <w:rPr>
                <w:rFonts w:cs="Arial"/>
                <w:sz w:val="18"/>
                <w:szCs w:val="18"/>
              </w:rPr>
            </w:pPr>
            <w:r w:rsidRPr="00287A6A">
              <w:rPr>
                <w:rFonts w:cs="Arial"/>
                <w:sz w:val="18"/>
                <w:szCs w:val="18"/>
              </w:rPr>
              <w:t>-</w:t>
            </w:r>
          </w:p>
        </w:tc>
      </w:tr>
      <w:tr w:rsidR="009458C1" w:rsidRPr="0004663E" w14:paraId="4834E372" w14:textId="77777777" w:rsidTr="008762C0">
        <w:trPr>
          <w:trHeight w:val="145"/>
        </w:trPr>
        <w:tc>
          <w:tcPr>
            <w:tcW w:w="5308" w:type="dxa"/>
            <w:tcBorders>
              <w:top w:val="nil"/>
              <w:left w:val="single" w:sz="8" w:space="0" w:color="auto"/>
              <w:bottom w:val="single" w:sz="8" w:space="0" w:color="auto"/>
              <w:right w:val="single" w:sz="4" w:space="0" w:color="auto"/>
            </w:tcBorders>
            <w:shd w:val="clear" w:color="auto" w:fill="auto"/>
            <w:vAlign w:val="center"/>
            <w:hideMark/>
          </w:tcPr>
          <w:p w14:paraId="118C2AB9" w14:textId="536369DB" w:rsidR="009458C1" w:rsidRPr="00287A6A" w:rsidRDefault="009458C1" w:rsidP="0024155D">
            <w:pPr>
              <w:rPr>
                <w:rFonts w:cs="Arial"/>
                <w:sz w:val="18"/>
                <w:szCs w:val="18"/>
              </w:rPr>
            </w:pPr>
            <w:r w:rsidRPr="00287A6A">
              <w:rPr>
                <w:rFonts w:cs="Arial"/>
                <w:sz w:val="18"/>
                <w:szCs w:val="18"/>
              </w:rPr>
              <w:t xml:space="preserve">Delayed Transfers of care </w:t>
            </w:r>
            <w:r w:rsidR="001053BE">
              <w:rPr>
                <w:rFonts w:cs="Arial"/>
                <w:sz w:val="18"/>
                <w:szCs w:val="18"/>
              </w:rPr>
              <w:t xml:space="preserve">from hospital </w:t>
            </w:r>
            <w:r w:rsidRPr="00287A6A">
              <w:rPr>
                <w:rFonts w:cs="Arial"/>
                <w:sz w:val="18"/>
                <w:szCs w:val="18"/>
              </w:rPr>
              <w:t xml:space="preserve"> – total delayed days</w:t>
            </w:r>
            <w:r w:rsidR="00073F8F">
              <w:rPr>
                <w:rFonts w:cs="Arial"/>
                <w:sz w:val="18"/>
                <w:szCs w:val="18"/>
              </w:rPr>
              <w:t xml:space="preserve"> due to social care</w:t>
            </w:r>
            <w:r w:rsidRPr="00287A6A">
              <w:rPr>
                <w:rFonts w:cs="Arial"/>
                <w:sz w:val="18"/>
                <w:szCs w:val="18"/>
              </w:rPr>
              <w:t xml:space="preserve"> in the month</w:t>
            </w:r>
            <w:r w:rsidR="00287A6A" w:rsidRPr="00287A6A">
              <w:rPr>
                <w:rFonts w:cs="Arial"/>
                <w:sz w:val="18"/>
                <w:szCs w:val="18"/>
              </w:rPr>
              <w:t xml:space="preserve"> of March each year</w:t>
            </w:r>
          </w:p>
        </w:tc>
        <w:tc>
          <w:tcPr>
            <w:tcW w:w="851" w:type="dxa"/>
            <w:tcBorders>
              <w:top w:val="nil"/>
              <w:left w:val="single" w:sz="4" w:space="0" w:color="auto"/>
              <w:bottom w:val="single" w:sz="8" w:space="0" w:color="auto"/>
              <w:right w:val="single" w:sz="8" w:space="0" w:color="auto"/>
            </w:tcBorders>
            <w:shd w:val="clear" w:color="auto" w:fill="auto"/>
            <w:hideMark/>
          </w:tcPr>
          <w:p w14:paraId="494FBC52" w14:textId="77777777" w:rsidR="009458C1" w:rsidRPr="00287A6A" w:rsidRDefault="009458C1" w:rsidP="008762C0">
            <w:pPr>
              <w:jc w:val="center"/>
              <w:rPr>
                <w:rFonts w:cs="Arial"/>
                <w:sz w:val="18"/>
                <w:szCs w:val="18"/>
              </w:rPr>
            </w:pPr>
            <w:r w:rsidRPr="00287A6A">
              <w:rPr>
                <w:rFonts w:cs="Arial"/>
                <w:sz w:val="18"/>
                <w:szCs w:val="18"/>
              </w:rPr>
              <w:t>L</w:t>
            </w:r>
          </w:p>
        </w:tc>
        <w:tc>
          <w:tcPr>
            <w:tcW w:w="992" w:type="dxa"/>
            <w:tcBorders>
              <w:top w:val="nil"/>
              <w:left w:val="nil"/>
              <w:bottom w:val="single" w:sz="8" w:space="0" w:color="auto"/>
              <w:right w:val="single" w:sz="8" w:space="0" w:color="auto"/>
            </w:tcBorders>
            <w:shd w:val="clear" w:color="auto" w:fill="auto"/>
            <w:hideMark/>
          </w:tcPr>
          <w:p w14:paraId="12F869B6" w14:textId="290C8906" w:rsidR="009458C1" w:rsidRPr="00287A6A" w:rsidRDefault="00073F8F" w:rsidP="008762C0">
            <w:pPr>
              <w:jc w:val="center"/>
              <w:rPr>
                <w:rFonts w:cs="Arial"/>
                <w:sz w:val="18"/>
                <w:szCs w:val="18"/>
              </w:rPr>
            </w:pPr>
            <w:r>
              <w:rPr>
                <w:rFonts w:cs="Arial"/>
                <w:sz w:val="18"/>
                <w:szCs w:val="18"/>
              </w:rPr>
              <w:t>2,167</w:t>
            </w:r>
          </w:p>
        </w:tc>
        <w:tc>
          <w:tcPr>
            <w:tcW w:w="992" w:type="dxa"/>
            <w:tcBorders>
              <w:top w:val="nil"/>
              <w:left w:val="nil"/>
              <w:bottom w:val="single" w:sz="8" w:space="0" w:color="auto"/>
              <w:right w:val="single" w:sz="8" w:space="0" w:color="auto"/>
            </w:tcBorders>
            <w:shd w:val="clear" w:color="000000" w:fill="F8CBAD"/>
            <w:hideMark/>
          </w:tcPr>
          <w:p w14:paraId="556371BA" w14:textId="60F1616D" w:rsidR="009458C1" w:rsidRPr="00287A6A" w:rsidRDefault="00073F8F" w:rsidP="008762C0">
            <w:pPr>
              <w:jc w:val="center"/>
              <w:rPr>
                <w:rFonts w:cs="Arial"/>
                <w:sz w:val="18"/>
                <w:szCs w:val="18"/>
              </w:rPr>
            </w:pPr>
            <w:r>
              <w:rPr>
                <w:rFonts w:cs="Arial"/>
                <w:sz w:val="18"/>
                <w:szCs w:val="18"/>
              </w:rPr>
              <w:t>1,232</w:t>
            </w:r>
          </w:p>
        </w:tc>
        <w:tc>
          <w:tcPr>
            <w:tcW w:w="992" w:type="dxa"/>
            <w:tcBorders>
              <w:top w:val="nil"/>
              <w:left w:val="nil"/>
              <w:bottom w:val="single" w:sz="8" w:space="0" w:color="auto"/>
              <w:right w:val="single" w:sz="8" w:space="0" w:color="auto"/>
            </w:tcBorders>
            <w:shd w:val="clear" w:color="auto" w:fill="auto"/>
            <w:hideMark/>
          </w:tcPr>
          <w:p w14:paraId="630EC1FD" w14:textId="77777777" w:rsidR="009458C1" w:rsidRPr="00287A6A" w:rsidRDefault="009458C1" w:rsidP="008762C0">
            <w:pPr>
              <w:jc w:val="center"/>
              <w:rPr>
                <w:rFonts w:cs="Arial"/>
                <w:sz w:val="18"/>
                <w:szCs w:val="18"/>
              </w:rPr>
            </w:pPr>
            <w:r w:rsidRPr="00287A6A">
              <w:rPr>
                <w:rFonts w:cs="Arial"/>
                <w:sz w:val="18"/>
                <w:szCs w:val="18"/>
              </w:rPr>
              <w:t>-</w:t>
            </w:r>
          </w:p>
        </w:tc>
      </w:tr>
      <w:tr w:rsidR="008762C0" w:rsidRPr="0004663E" w14:paraId="026DA7B1" w14:textId="3B73AA34" w:rsidTr="00E734A1">
        <w:trPr>
          <w:trHeight w:val="60"/>
        </w:trPr>
        <w:tc>
          <w:tcPr>
            <w:tcW w:w="913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5521F" w14:textId="68A95E9F" w:rsidR="008762C0" w:rsidRPr="0004663E" w:rsidRDefault="008762C0" w:rsidP="008762C0">
            <w:pPr>
              <w:rPr>
                <w:rFonts w:cs="Arial"/>
                <w:b/>
                <w:bCs/>
                <w:color w:val="000000"/>
                <w:sz w:val="18"/>
                <w:szCs w:val="18"/>
              </w:rPr>
            </w:pPr>
            <w:r w:rsidRPr="0004663E">
              <w:rPr>
                <w:rFonts w:cs="Arial"/>
                <w:b/>
                <w:bCs/>
                <w:color w:val="000000"/>
                <w:sz w:val="18"/>
                <w:szCs w:val="18"/>
              </w:rPr>
              <w:t>Quality of services</w:t>
            </w:r>
          </w:p>
        </w:tc>
      </w:tr>
      <w:tr w:rsidR="009458C1" w:rsidRPr="0004663E" w14:paraId="33847A16" w14:textId="77777777" w:rsidTr="008762C0">
        <w:trPr>
          <w:trHeight w:val="60"/>
        </w:trPr>
        <w:tc>
          <w:tcPr>
            <w:tcW w:w="5308" w:type="dxa"/>
            <w:tcBorders>
              <w:top w:val="nil"/>
              <w:left w:val="single" w:sz="8" w:space="0" w:color="auto"/>
              <w:bottom w:val="single" w:sz="8" w:space="0" w:color="auto"/>
              <w:right w:val="single" w:sz="4" w:space="0" w:color="auto"/>
            </w:tcBorders>
            <w:shd w:val="clear" w:color="auto" w:fill="auto"/>
            <w:vAlign w:val="center"/>
            <w:hideMark/>
          </w:tcPr>
          <w:p w14:paraId="43C6E6A6" w14:textId="3478CF06" w:rsidR="009458C1" w:rsidRPr="0004663E" w:rsidRDefault="009458C1" w:rsidP="0024155D">
            <w:pPr>
              <w:rPr>
                <w:rFonts w:cs="Arial"/>
                <w:color w:val="000000"/>
                <w:sz w:val="18"/>
                <w:szCs w:val="18"/>
              </w:rPr>
            </w:pPr>
            <w:r w:rsidRPr="0004663E">
              <w:rPr>
                <w:rFonts w:cs="Arial"/>
                <w:color w:val="000000"/>
                <w:sz w:val="18"/>
                <w:szCs w:val="18"/>
              </w:rPr>
              <w:t>Care Quality Commission  – Care Home ratings good/outstanding</w:t>
            </w:r>
            <w:r w:rsidR="00287A6A">
              <w:rPr>
                <w:rFonts w:cs="Arial"/>
                <w:color w:val="000000"/>
                <w:sz w:val="18"/>
                <w:szCs w:val="18"/>
              </w:rPr>
              <w:t xml:space="preserve"> snapshot as at 31 March</w:t>
            </w:r>
          </w:p>
        </w:tc>
        <w:tc>
          <w:tcPr>
            <w:tcW w:w="851" w:type="dxa"/>
            <w:tcBorders>
              <w:top w:val="nil"/>
              <w:left w:val="single" w:sz="4" w:space="0" w:color="auto"/>
              <w:bottom w:val="single" w:sz="8" w:space="0" w:color="auto"/>
              <w:right w:val="single" w:sz="8" w:space="0" w:color="auto"/>
            </w:tcBorders>
            <w:shd w:val="clear" w:color="auto" w:fill="auto"/>
            <w:hideMark/>
          </w:tcPr>
          <w:p w14:paraId="408B54BC"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3C3E8664" w14:textId="7C91B9CC" w:rsidR="009458C1" w:rsidRPr="0004663E" w:rsidRDefault="009458C1" w:rsidP="008762C0">
            <w:pPr>
              <w:jc w:val="center"/>
              <w:rPr>
                <w:rFonts w:cs="Arial"/>
                <w:color w:val="000000"/>
                <w:sz w:val="18"/>
                <w:szCs w:val="18"/>
              </w:rPr>
            </w:pPr>
            <w:r>
              <w:rPr>
                <w:rFonts w:cs="Arial"/>
                <w:color w:val="000000"/>
                <w:sz w:val="18"/>
                <w:szCs w:val="18"/>
              </w:rPr>
              <w:t>70.</w:t>
            </w:r>
            <w:r w:rsidRPr="0004663E">
              <w:rPr>
                <w:rFonts w:cs="Arial"/>
                <w:color w:val="000000"/>
                <w:sz w:val="18"/>
                <w:szCs w:val="18"/>
              </w:rPr>
              <w:t>0%</w:t>
            </w:r>
          </w:p>
        </w:tc>
        <w:tc>
          <w:tcPr>
            <w:tcW w:w="992" w:type="dxa"/>
            <w:tcBorders>
              <w:top w:val="nil"/>
              <w:left w:val="nil"/>
              <w:bottom w:val="single" w:sz="8" w:space="0" w:color="auto"/>
              <w:right w:val="single" w:sz="8" w:space="0" w:color="auto"/>
            </w:tcBorders>
            <w:shd w:val="clear" w:color="000000" w:fill="F8CBAD"/>
            <w:hideMark/>
          </w:tcPr>
          <w:p w14:paraId="39429C25" w14:textId="19323ED7" w:rsidR="009458C1" w:rsidRPr="0004663E" w:rsidRDefault="009458C1" w:rsidP="008762C0">
            <w:pPr>
              <w:jc w:val="center"/>
              <w:rPr>
                <w:rFonts w:cs="Arial"/>
                <w:color w:val="000000"/>
                <w:sz w:val="18"/>
                <w:szCs w:val="18"/>
              </w:rPr>
            </w:pPr>
            <w:r>
              <w:rPr>
                <w:rFonts w:cs="Arial"/>
                <w:color w:val="000000"/>
                <w:sz w:val="18"/>
                <w:szCs w:val="18"/>
              </w:rPr>
              <w:t>75.9</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4B6D19D2" w14:textId="382D31C1" w:rsidR="009458C1" w:rsidRPr="0004663E" w:rsidRDefault="009458C1" w:rsidP="008762C0">
            <w:pPr>
              <w:jc w:val="center"/>
              <w:rPr>
                <w:rFonts w:cs="Arial"/>
                <w:color w:val="000000"/>
                <w:sz w:val="18"/>
                <w:szCs w:val="18"/>
              </w:rPr>
            </w:pPr>
            <w:r>
              <w:rPr>
                <w:rFonts w:cs="Arial"/>
                <w:color w:val="000000"/>
                <w:sz w:val="18"/>
                <w:szCs w:val="18"/>
              </w:rPr>
              <w:t>79.2</w:t>
            </w:r>
            <w:r w:rsidRPr="0004663E">
              <w:rPr>
                <w:rFonts w:cs="Arial"/>
                <w:color w:val="000000"/>
                <w:sz w:val="18"/>
                <w:szCs w:val="18"/>
              </w:rPr>
              <w:t>%</w:t>
            </w:r>
          </w:p>
        </w:tc>
      </w:tr>
      <w:tr w:rsidR="009458C1" w:rsidRPr="0004663E" w14:paraId="096818D8" w14:textId="77777777" w:rsidTr="008762C0">
        <w:trPr>
          <w:trHeight w:val="123"/>
        </w:trPr>
        <w:tc>
          <w:tcPr>
            <w:tcW w:w="5308" w:type="dxa"/>
            <w:tcBorders>
              <w:top w:val="nil"/>
              <w:left w:val="single" w:sz="8" w:space="0" w:color="auto"/>
              <w:bottom w:val="single" w:sz="8" w:space="0" w:color="auto"/>
              <w:right w:val="single" w:sz="4" w:space="0" w:color="auto"/>
            </w:tcBorders>
            <w:shd w:val="clear" w:color="auto" w:fill="auto"/>
            <w:vAlign w:val="center"/>
            <w:hideMark/>
          </w:tcPr>
          <w:p w14:paraId="7C4C6DF0" w14:textId="76FE2DE9" w:rsidR="009458C1" w:rsidRPr="0004663E" w:rsidRDefault="009458C1" w:rsidP="0004663E">
            <w:pPr>
              <w:rPr>
                <w:rFonts w:cs="Arial"/>
                <w:color w:val="000000"/>
                <w:sz w:val="18"/>
                <w:szCs w:val="18"/>
              </w:rPr>
            </w:pPr>
            <w:r w:rsidRPr="0004663E">
              <w:rPr>
                <w:rFonts w:cs="Arial"/>
                <w:color w:val="000000"/>
                <w:sz w:val="18"/>
                <w:szCs w:val="18"/>
              </w:rPr>
              <w:t>CQC Community Care Service ratings</w:t>
            </w:r>
            <w:r>
              <w:rPr>
                <w:rFonts w:cs="Arial"/>
                <w:color w:val="000000"/>
                <w:sz w:val="18"/>
                <w:szCs w:val="18"/>
              </w:rPr>
              <w:t xml:space="preserve">  </w:t>
            </w:r>
            <w:r w:rsidR="00287A6A">
              <w:rPr>
                <w:rFonts w:cs="Arial"/>
                <w:color w:val="000000"/>
                <w:sz w:val="18"/>
                <w:szCs w:val="18"/>
              </w:rPr>
              <w:t>snapshot as at 31 March</w:t>
            </w:r>
          </w:p>
        </w:tc>
        <w:tc>
          <w:tcPr>
            <w:tcW w:w="851" w:type="dxa"/>
            <w:tcBorders>
              <w:top w:val="nil"/>
              <w:left w:val="single" w:sz="4" w:space="0" w:color="auto"/>
              <w:bottom w:val="single" w:sz="8" w:space="0" w:color="auto"/>
              <w:right w:val="single" w:sz="8" w:space="0" w:color="auto"/>
            </w:tcBorders>
            <w:shd w:val="clear" w:color="auto" w:fill="auto"/>
            <w:hideMark/>
          </w:tcPr>
          <w:p w14:paraId="1B228920" w14:textId="77777777" w:rsidR="009458C1" w:rsidRPr="0004663E" w:rsidRDefault="009458C1" w:rsidP="008762C0">
            <w:pPr>
              <w:jc w:val="center"/>
              <w:rPr>
                <w:rFonts w:cs="Arial"/>
                <w:color w:val="000000"/>
                <w:sz w:val="18"/>
                <w:szCs w:val="18"/>
              </w:rPr>
            </w:pPr>
            <w:r w:rsidRPr="0004663E">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hideMark/>
          </w:tcPr>
          <w:p w14:paraId="16F34AB2" w14:textId="486F68B7" w:rsidR="009458C1" w:rsidRPr="0004663E" w:rsidRDefault="009458C1" w:rsidP="008762C0">
            <w:pPr>
              <w:jc w:val="center"/>
              <w:rPr>
                <w:rFonts w:cs="Arial"/>
                <w:color w:val="000000"/>
                <w:sz w:val="18"/>
                <w:szCs w:val="18"/>
              </w:rPr>
            </w:pPr>
            <w:r>
              <w:rPr>
                <w:rFonts w:cs="Arial"/>
                <w:color w:val="000000"/>
                <w:sz w:val="18"/>
                <w:szCs w:val="18"/>
              </w:rPr>
              <w:t>80.1</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C6E0B4"/>
            <w:hideMark/>
          </w:tcPr>
          <w:p w14:paraId="51CB71F3" w14:textId="492089C7" w:rsidR="009458C1" w:rsidRPr="0004663E" w:rsidRDefault="009458C1" w:rsidP="008762C0">
            <w:pPr>
              <w:jc w:val="center"/>
              <w:rPr>
                <w:rFonts w:cs="Arial"/>
                <w:color w:val="000000"/>
                <w:sz w:val="18"/>
                <w:szCs w:val="18"/>
              </w:rPr>
            </w:pPr>
            <w:r>
              <w:rPr>
                <w:rFonts w:cs="Arial"/>
                <w:color w:val="000000"/>
                <w:sz w:val="18"/>
                <w:szCs w:val="18"/>
              </w:rPr>
              <w:t>91.0</w:t>
            </w:r>
            <w:r w:rsidRPr="0004663E">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hideMark/>
          </w:tcPr>
          <w:p w14:paraId="04DF6666" w14:textId="3BF5D6A4" w:rsidR="009458C1" w:rsidRPr="0004663E" w:rsidRDefault="009458C1" w:rsidP="008762C0">
            <w:pPr>
              <w:jc w:val="center"/>
              <w:rPr>
                <w:rFonts w:cs="Arial"/>
                <w:color w:val="000000"/>
                <w:sz w:val="18"/>
                <w:szCs w:val="18"/>
              </w:rPr>
            </w:pPr>
            <w:r>
              <w:rPr>
                <w:rFonts w:cs="Arial"/>
                <w:color w:val="000000"/>
                <w:sz w:val="18"/>
                <w:szCs w:val="18"/>
              </w:rPr>
              <w:t>84.8</w:t>
            </w:r>
            <w:r w:rsidRPr="0004663E">
              <w:rPr>
                <w:rFonts w:cs="Arial"/>
                <w:color w:val="000000"/>
                <w:sz w:val="18"/>
                <w:szCs w:val="18"/>
              </w:rPr>
              <w:t>%</w:t>
            </w:r>
          </w:p>
        </w:tc>
      </w:tr>
    </w:tbl>
    <w:p w14:paraId="6BE19AC8" w14:textId="77777777" w:rsidR="00806F0E" w:rsidRPr="00095258" w:rsidRDefault="00806F0E" w:rsidP="00806F0E">
      <w:pPr>
        <w:rPr>
          <w:rFonts w:eastAsiaTheme="minorHAnsi" w:cs="Arial"/>
          <w:i/>
          <w:sz w:val="20"/>
          <w:lang w:eastAsia="en-US"/>
        </w:rPr>
      </w:pPr>
      <w:r w:rsidRPr="00095258">
        <w:rPr>
          <w:rFonts w:eastAsiaTheme="minorHAnsi" w:cs="Arial"/>
          <w:i/>
          <w:sz w:val="20"/>
          <w:lang w:eastAsia="en-US"/>
        </w:rPr>
        <w:t>Note:  The figures</w:t>
      </w:r>
      <w:r>
        <w:rPr>
          <w:rFonts w:eastAsiaTheme="minorHAnsi" w:cs="Arial"/>
          <w:i/>
          <w:sz w:val="20"/>
          <w:lang w:eastAsia="en-US"/>
        </w:rPr>
        <w:t xml:space="preserve"> for 2017/18 are not the final, published figures and should be treated as estimates.</w:t>
      </w:r>
    </w:p>
    <w:p w14:paraId="798DDC60" w14:textId="77777777" w:rsidR="00664950" w:rsidRPr="009A1190" w:rsidRDefault="00664950" w:rsidP="00664950">
      <w:pPr>
        <w:pStyle w:val="NoSpacing"/>
        <w:rPr>
          <w:rFonts w:ascii="Arial" w:hAnsi="Arial" w:cs="Arial"/>
          <w:sz w:val="24"/>
          <w:szCs w:val="24"/>
        </w:rPr>
      </w:pPr>
    </w:p>
    <w:p w14:paraId="524C3AC5" w14:textId="770E1B47" w:rsidR="00664950" w:rsidRPr="00925E3D" w:rsidRDefault="00664950" w:rsidP="00FB2A23">
      <w:pPr>
        <w:jc w:val="both"/>
        <w:rPr>
          <w:rFonts w:cs="Arial"/>
          <w:szCs w:val="24"/>
        </w:rPr>
      </w:pPr>
      <w:r w:rsidRPr="00925E3D">
        <w:rPr>
          <w:rFonts w:cs="Arial"/>
          <w:szCs w:val="24"/>
        </w:rPr>
        <w:t xml:space="preserve">The proportion of people with personal budgets is below the national average, but has improved in recent years and is expected to improve further through targeted reviews. </w:t>
      </w:r>
      <w:r w:rsidR="00117995">
        <w:rPr>
          <w:rFonts w:cs="Arial"/>
          <w:szCs w:val="24"/>
        </w:rPr>
        <w:t xml:space="preserve"> </w:t>
      </w:r>
      <w:r w:rsidRPr="00925E3D">
        <w:rPr>
          <w:rFonts w:cs="Arial"/>
          <w:szCs w:val="24"/>
        </w:rPr>
        <w:t>The proportion of people receiving direct payments is improving steadily.</w:t>
      </w:r>
    </w:p>
    <w:p w14:paraId="517786FC" w14:textId="77777777" w:rsidR="00664950" w:rsidRPr="00925E3D" w:rsidRDefault="00664950" w:rsidP="00FB2A23">
      <w:pPr>
        <w:jc w:val="both"/>
        <w:rPr>
          <w:rFonts w:eastAsiaTheme="majorEastAsia" w:cs="Arial"/>
          <w:b/>
          <w:color w:val="5B9BD5" w:themeColor="accent1"/>
          <w:szCs w:val="24"/>
        </w:rPr>
      </w:pPr>
    </w:p>
    <w:p w14:paraId="71824F34" w14:textId="77777777" w:rsidR="00664950" w:rsidRPr="00925E3D" w:rsidRDefault="00250395" w:rsidP="00FB2A23">
      <w:pPr>
        <w:jc w:val="both"/>
        <w:rPr>
          <w:rFonts w:cs="Arial"/>
          <w:szCs w:val="24"/>
        </w:rPr>
      </w:pPr>
      <w:r w:rsidRPr="00925E3D">
        <w:rPr>
          <w:rFonts w:cs="Arial"/>
          <w:szCs w:val="24"/>
        </w:rPr>
        <w:t xml:space="preserve">The </w:t>
      </w:r>
      <w:r w:rsidR="009631EC" w:rsidRPr="00925E3D">
        <w:rPr>
          <w:rFonts w:cs="Arial"/>
          <w:szCs w:val="24"/>
        </w:rPr>
        <w:t>number of people admitted to</w:t>
      </w:r>
      <w:r w:rsidRPr="00925E3D">
        <w:rPr>
          <w:rFonts w:cs="Arial"/>
          <w:szCs w:val="24"/>
        </w:rPr>
        <w:t xml:space="preserve"> </w:t>
      </w:r>
      <w:r w:rsidR="00664950" w:rsidRPr="00925E3D">
        <w:rPr>
          <w:rFonts w:cs="Arial"/>
          <w:szCs w:val="24"/>
        </w:rPr>
        <w:t xml:space="preserve">residential </w:t>
      </w:r>
      <w:r w:rsidR="009631EC" w:rsidRPr="00925E3D">
        <w:rPr>
          <w:rFonts w:cs="Arial"/>
          <w:szCs w:val="24"/>
        </w:rPr>
        <w:t>care</w:t>
      </w:r>
      <w:r w:rsidR="00664950" w:rsidRPr="00925E3D">
        <w:rPr>
          <w:rFonts w:cs="Arial"/>
          <w:szCs w:val="24"/>
        </w:rPr>
        <w:t xml:space="preserve"> for </w:t>
      </w:r>
      <w:r w:rsidR="009631EC" w:rsidRPr="00925E3D">
        <w:rPr>
          <w:rFonts w:cs="Arial"/>
          <w:szCs w:val="24"/>
        </w:rPr>
        <w:t xml:space="preserve">both adults and </w:t>
      </w:r>
      <w:r w:rsidR="00664950" w:rsidRPr="00925E3D">
        <w:rPr>
          <w:rFonts w:cs="Arial"/>
          <w:szCs w:val="24"/>
        </w:rPr>
        <w:t xml:space="preserve">older people </w:t>
      </w:r>
      <w:r w:rsidRPr="00925E3D">
        <w:rPr>
          <w:rFonts w:cs="Arial"/>
          <w:szCs w:val="24"/>
        </w:rPr>
        <w:t>has</w:t>
      </w:r>
      <w:r w:rsidR="00664950" w:rsidRPr="00925E3D">
        <w:rPr>
          <w:rFonts w:cs="Arial"/>
          <w:szCs w:val="24"/>
        </w:rPr>
        <w:t xml:space="preserve"> </w:t>
      </w:r>
      <w:r w:rsidR="009631EC" w:rsidRPr="00925E3D">
        <w:rPr>
          <w:rFonts w:cs="Arial"/>
          <w:szCs w:val="24"/>
        </w:rPr>
        <w:t>reduced</w:t>
      </w:r>
      <w:r w:rsidRPr="00925E3D">
        <w:rPr>
          <w:rFonts w:cs="Arial"/>
          <w:szCs w:val="24"/>
        </w:rPr>
        <w:t xml:space="preserve"> </w:t>
      </w:r>
      <w:r w:rsidR="00664950" w:rsidRPr="00925E3D">
        <w:rPr>
          <w:rFonts w:cs="Arial"/>
          <w:szCs w:val="24"/>
        </w:rPr>
        <w:t xml:space="preserve">in line with the Passport to Independence work, though </w:t>
      </w:r>
      <w:r w:rsidR="009631EC" w:rsidRPr="00925E3D">
        <w:rPr>
          <w:rFonts w:cs="Arial"/>
          <w:szCs w:val="24"/>
        </w:rPr>
        <w:t>both performance indicators</w:t>
      </w:r>
      <w:r w:rsidR="00664950" w:rsidRPr="00925E3D">
        <w:rPr>
          <w:rFonts w:cs="Arial"/>
          <w:szCs w:val="24"/>
        </w:rPr>
        <w:t xml:space="preserve"> are still significantly higher than the national average. </w:t>
      </w:r>
      <w:r w:rsidR="005E673F" w:rsidRPr="00925E3D">
        <w:rPr>
          <w:rFonts w:cs="Arial"/>
          <w:szCs w:val="24"/>
        </w:rPr>
        <w:t xml:space="preserve"> </w:t>
      </w:r>
      <w:r w:rsidR="00664950" w:rsidRPr="00925E3D">
        <w:rPr>
          <w:rFonts w:cs="Arial"/>
          <w:szCs w:val="24"/>
        </w:rPr>
        <w:t>Admissions to residential care for older people have reduced to 1761 and so have achieved the Q4 Better Care Fund target of 1795.</w:t>
      </w:r>
    </w:p>
    <w:p w14:paraId="2F25800B" w14:textId="77777777" w:rsidR="00664950" w:rsidRPr="00925E3D" w:rsidRDefault="00664950" w:rsidP="00FB2A23">
      <w:pPr>
        <w:pStyle w:val="NoSpacing"/>
        <w:jc w:val="both"/>
        <w:rPr>
          <w:rFonts w:ascii="Arial" w:hAnsi="Arial" w:cs="Arial"/>
          <w:sz w:val="24"/>
          <w:szCs w:val="24"/>
        </w:rPr>
      </w:pPr>
    </w:p>
    <w:p w14:paraId="4CADED1A" w14:textId="28DAD95F" w:rsidR="00664950" w:rsidRPr="00925E3D" w:rsidRDefault="00250395" w:rsidP="00FB2A23">
      <w:pPr>
        <w:pStyle w:val="NoSpacing"/>
        <w:jc w:val="both"/>
        <w:rPr>
          <w:rFonts w:ascii="Arial" w:hAnsi="Arial" w:cs="Arial"/>
          <w:sz w:val="24"/>
          <w:szCs w:val="24"/>
        </w:rPr>
      </w:pPr>
      <w:r w:rsidRPr="00925E3D">
        <w:rPr>
          <w:rFonts w:ascii="Arial" w:hAnsi="Arial" w:cs="Arial"/>
          <w:sz w:val="24"/>
          <w:szCs w:val="24"/>
        </w:rPr>
        <w:t xml:space="preserve">Greater numbers of people are being offered reablement in accordance with the aims of the Passport to Independence programme. </w:t>
      </w:r>
      <w:r w:rsidR="00664950" w:rsidRPr="00925E3D">
        <w:rPr>
          <w:rFonts w:ascii="Arial" w:hAnsi="Arial" w:cs="Arial"/>
          <w:sz w:val="24"/>
          <w:szCs w:val="24"/>
        </w:rPr>
        <w:t>The</w:t>
      </w:r>
      <w:r w:rsidR="00073F8F">
        <w:rPr>
          <w:rFonts w:ascii="Arial" w:hAnsi="Arial" w:cs="Arial"/>
          <w:sz w:val="24"/>
          <w:szCs w:val="24"/>
        </w:rPr>
        <w:t xml:space="preserve"> number of reablement referrals doubled in 2017/18 when compared to 2016/17</w:t>
      </w:r>
      <w:r w:rsidR="00664950" w:rsidRPr="00925E3D">
        <w:rPr>
          <w:rFonts w:ascii="Arial" w:hAnsi="Arial" w:cs="Arial"/>
          <w:sz w:val="24"/>
          <w:szCs w:val="24"/>
        </w:rPr>
        <w:t xml:space="preserve"> with the number of completed </w:t>
      </w:r>
      <w:r w:rsidR="00664950" w:rsidRPr="00925E3D">
        <w:rPr>
          <w:rFonts w:ascii="Arial" w:hAnsi="Arial" w:cs="Arial"/>
          <w:sz w:val="24"/>
          <w:szCs w:val="24"/>
        </w:rPr>
        <w:lastRenderedPageBreak/>
        <w:t xml:space="preserve">reablement support plans </w:t>
      </w:r>
      <w:r w:rsidR="00073F8F">
        <w:rPr>
          <w:rFonts w:ascii="Arial" w:hAnsi="Arial" w:cs="Arial"/>
          <w:sz w:val="24"/>
          <w:szCs w:val="24"/>
        </w:rPr>
        <w:t>also more than doubling, demonstrating that the referrals were appropriate.</w:t>
      </w:r>
      <w:r w:rsidR="00664950" w:rsidRPr="00925E3D">
        <w:rPr>
          <w:rFonts w:ascii="Arial" w:hAnsi="Arial" w:cs="Arial"/>
          <w:sz w:val="24"/>
          <w:szCs w:val="24"/>
        </w:rPr>
        <w:t xml:space="preserve"> </w:t>
      </w:r>
      <w:r w:rsidR="005E673F" w:rsidRPr="00925E3D">
        <w:rPr>
          <w:rFonts w:ascii="Arial" w:hAnsi="Arial" w:cs="Arial"/>
          <w:sz w:val="24"/>
          <w:szCs w:val="24"/>
        </w:rPr>
        <w:t xml:space="preserve"> </w:t>
      </w:r>
    </w:p>
    <w:p w14:paraId="476DE6BF" w14:textId="77777777" w:rsidR="00664950" w:rsidRPr="00925E3D" w:rsidRDefault="00664950" w:rsidP="00FB2A23">
      <w:pPr>
        <w:pStyle w:val="NoSpacing"/>
        <w:jc w:val="both"/>
        <w:rPr>
          <w:rFonts w:ascii="Arial" w:hAnsi="Arial" w:cs="Arial"/>
          <w:sz w:val="24"/>
          <w:szCs w:val="24"/>
        </w:rPr>
      </w:pPr>
    </w:p>
    <w:p w14:paraId="1D6E6DA7" w14:textId="452763EF" w:rsidR="00FF6736" w:rsidRDefault="00FF6736" w:rsidP="00FB2A23">
      <w:pPr>
        <w:pStyle w:val="NoSpacing"/>
        <w:jc w:val="both"/>
        <w:rPr>
          <w:rFonts w:ascii="Arial" w:hAnsi="Arial" w:cs="Arial"/>
          <w:sz w:val="24"/>
          <w:szCs w:val="24"/>
        </w:rPr>
      </w:pPr>
      <w:r>
        <w:rPr>
          <w:rFonts w:ascii="Arial" w:hAnsi="Arial" w:cs="Arial"/>
          <w:sz w:val="24"/>
          <w:szCs w:val="24"/>
        </w:rPr>
        <w:t>Almost 96% of social work assessments were completed within 4 weeks. However, there are around 1700 people currently waiting for a social work assessment and plans are being made to reduce this backlog.</w:t>
      </w:r>
    </w:p>
    <w:p w14:paraId="30716281" w14:textId="77777777" w:rsidR="00FF6736" w:rsidRDefault="00FF6736" w:rsidP="00FB2A23">
      <w:pPr>
        <w:pStyle w:val="NoSpacing"/>
        <w:jc w:val="both"/>
        <w:rPr>
          <w:rFonts w:ascii="Arial" w:hAnsi="Arial" w:cs="Arial"/>
          <w:sz w:val="24"/>
          <w:szCs w:val="24"/>
        </w:rPr>
      </w:pPr>
    </w:p>
    <w:p w14:paraId="5122BF2B" w14:textId="77777777" w:rsidR="00FF6736" w:rsidRDefault="00073F8F" w:rsidP="00FB2A23">
      <w:pPr>
        <w:pStyle w:val="NoSpacing"/>
        <w:jc w:val="both"/>
        <w:rPr>
          <w:rFonts w:ascii="Arial" w:hAnsi="Arial" w:cs="Arial"/>
          <w:sz w:val="24"/>
          <w:szCs w:val="24"/>
        </w:rPr>
      </w:pPr>
      <w:r>
        <w:rPr>
          <w:rFonts w:ascii="Arial" w:hAnsi="Arial" w:cs="Arial"/>
          <w:sz w:val="24"/>
          <w:szCs w:val="24"/>
        </w:rPr>
        <w:t>The</w:t>
      </w:r>
      <w:r w:rsidR="00A27CDB" w:rsidRPr="00925E3D">
        <w:rPr>
          <w:rFonts w:ascii="Arial" w:hAnsi="Arial" w:cs="Arial"/>
          <w:sz w:val="24"/>
          <w:szCs w:val="24"/>
        </w:rPr>
        <w:t xml:space="preserve"> monthly total for delayed transfer of care </w:t>
      </w:r>
      <w:r w:rsidR="00A27CDB">
        <w:rPr>
          <w:rFonts w:ascii="Arial" w:hAnsi="Arial" w:cs="Arial"/>
          <w:sz w:val="24"/>
          <w:szCs w:val="24"/>
        </w:rPr>
        <w:t xml:space="preserve">from hospital </w:t>
      </w:r>
      <w:r w:rsidR="00A27CDB" w:rsidRPr="00925E3D">
        <w:rPr>
          <w:rFonts w:ascii="Arial" w:hAnsi="Arial" w:cs="Arial"/>
          <w:sz w:val="24"/>
          <w:szCs w:val="24"/>
        </w:rPr>
        <w:t xml:space="preserve">(delayed days) continues to improve and </w:t>
      </w:r>
      <w:r>
        <w:rPr>
          <w:rFonts w:ascii="Arial" w:hAnsi="Arial" w:cs="Arial"/>
          <w:sz w:val="24"/>
          <w:szCs w:val="24"/>
        </w:rPr>
        <w:t>when March 2017 is compared to March 2018 there is a 43% decrease.</w:t>
      </w:r>
      <w:r w:rsidR="00A27CDB" w:rsidRPr="00925E3D">
        <w:rPr>
          <w:rFonts w:ascii="Arial" w:hAnsi="Arial" w:cs="Arial"/>
          <w:sz w:val="24"/>
          <w:szCs w:val="24"/>
        </w:rPr>
        <w:t xml:space="preserve">  </w:t>
      </w:r>
    </w:p>
    <w:p w14:paraId="2B5CAD3B" w14:textId="77777777" w:rsidR="00FF6736" w:rsidRDefault="00FF6736" w:rsidP="00FB2A23">
      <w:pPr>
        <w:pStyle w:val="NoSpacing"/>
        <w:jc w:val="both"/>
        <w:rPr>
          <w:rFonts w:ascii="Arial" w:hAnsi="Arial" w:cs="Arial"/>
          <w:sz w:val="24"/>
          <w:szCs w:val="24"/>
        </w:rPr>
      </w:pPr>
    </w:p>
    <w:p w14:paraId="278E0191" w14:textId="673CB39E" w:rsidR="00A27CDB" w:rsidRPr="00925E3D" w:rsidRDefault="00A27CDB" w:rsidP="00FB2A23">
      <w:pPr>
        <w:pStyle w:val="NoSpacing"/>
        <w:jc w:val="both"/>
        <w:rPr>
          <w:rFonts w:ascii="Arial" w:hAnsi="Arial" w:cs="Arial"/>
          <w:sz w:val="24"/>
          <w:szCs w:val="24"/>
        </w:rPr>
      </w:pPr>
      <w:r w:rsidRPr="00925E3D">
        <w:rPr>
          <w:rFonts w:ascii="Arial" w:hAnsi="Arial" w:cs="Arial"/>
          <w:sz w:val="24"/>
          <w:szCs w:val="24"/>
        </w:rPr>
        <w:t>The Lancashire figure of 75.9% of care home ratings being good or outstanding is now within the third quartile of N</w:t>
      </w:r>
      <w:r w:rsidR="0024155D">
        <w:rPr>
          <w:rFonts w:ascii="Arial" w:hAnsi="Arial" w:cs="Arial"/>
          <w:sz w:val="24"/>
          <w:szCs w:val="24"/>
        </w:rPr>
        <w:t xml:space="preserve">orth </w:t>
      </w:r>
      <w:r w:rsidRPr="00925E3D">
        <w:rPr>
          <w:rFonts w:ascii="Arial" w:hAnsi="Arial" w:cs="Arial"/>
          <w:sz w:val="24"/>
          <w:szCs w:val="24"/>
        </w:rPr>
        <w:t>W</w:t>
      </w:r>
      <w:r w:rsidR="0024155D">
        <w:rPr>
          <w:rFonts w:ascii="Arial" w:hAnsi="Arial" w:cs="Arial"/>
          <w:sz w:val="24"/>
          <w:szCs w:val="24"/>
        </w:rPr>
        <w:t>est</w:t>
      </w:r>
      <w:r w:rsidRPr="00925E3D">
        <w:rPr>
          <w:rFonts w:ascii="Arial" w:hAnsi="Arial" w:cs="Arial"/>
          <w:sz w:val="24"/>
          <w:szCs w:val="24"/>
        </w:rPr>
        <w:t xml:space="preserve"> authorities (4th quartile is best) the second quartile of all English authorities when ranked by percentage of overall rating of good or outstanding. Standards are rising nationally and Lancashire has exceeded the above-average threshold for the N</w:t>
      </w:r>
      <w:r w:rsidR="0024155D">
        <w:rPr>
          <w:rFonts w:ascii="Arial" w:hAnsi="Arial" w:cs="Arial"/>
          <w:sz w:val="24"/>
          <w:szCs w:val="24"/>
        </w:rPr>
        <w:t xml:space="preserve">orth </w:t>
      </w:r>
      <w:r w:rsidRPr="00925E3D">
        <w:rPr>
          <w:rFonts w:ascii="Arial" w:hAnsi="Arial" w:cs="Arial"/>
          <w:sz w:val="24"/>
          <w:szCs w:val="24"/>
        </w:rPr>
        <w:t>W</w:t>
      </w:r>
      <w:r w:rsidR="0024155D">
        <w:rPr>
          <w:rFonts w:ascii="Arial" w:hAnsi="Arial" w:cs="Arial"/>
          <w:sz w:val="24"/>
          <w:szCs w:val="24"/>
        </w:rPr>
        <w:t>est</w:t>
      </w:r>
      <w:r w:rsidRPr="00925E3D">
        <w:rPr>
          <w:rFonts w:ascii="Arial" w:hAnsi="Arial" w:cs="Arial"/>
          <w:sz w:val="24"/>
          <w:szCs w:val="24"/>
        </w:rPr>
        <w:t xml:space="preserve"> (73.9%), but remains short of the above-average threshold for England (79.2%).</w:t>
      </w:r>
    </w:p>
    <w:p w14:paraId="0DDED605" w14:textId="77777777" w:rsidR="00A27CDB" w:rsidRPr="00925E3D" w:rsidRDefault="00A27CDB" w:rsidP="00FB2A23">
      <w:pPr>
        <w:pStyle w:val="NoSpacing"/>
        <w:jc w:val="both"/>
        <w:rPr>
          <w:rFonts w:ascii="Arial" w:hAnsi="Arial" w:cs="Arial"/>
          <w:sz w:val="24"/>
          <w:szCs w:val="24"/>
        </w:rPr>
      </w:pPr>
    </w:p>
    <w:p w14:paraId="38C53617" w14:textId="2D5AB536" w:rsidR="00A27CDB" w:rsidRPr="00925E3D" w:rsidRDefault="00A27CDB" w:rsidP="00FB2A23">
      <w:pPr>
        <w:pStyle w:val="NoSpacing"/>
        <w:jc w:val="both"/>
        <w:rPr>
          <w:rFonts w:ascii="Arial" w:hAnsi="Arial" w:cs="Arial"/>
          <w:sz w:val="24"/>
          <w:szCs w:val="24"/>
        </w:rPr>
      </w:pPr>
      <w:r w:rsidRPr="00925E3D">
        <w:rPr>
          <w:rFonts w:ascii="Arial" w:hAnsi="Arial" w:cs="Arial"/>
          <w:sz w:val="24"/>
          <w:szCs w:val="24"/>
        </w:rPr>
        <w:t xml:space="preserve">Of the 419 care homes inspected, 17 are in-house residential services </w:t>
      </w:r>
      <w:r>
        <w:rPr>
          <w:rFonts w:ascii="Arial" w:hAnsi="Arial" w:cs="Arial"/>
          <w:sz w:val="24"/>
          <w:szCs w:val="24"/>
        </w:rPr>
        <w:t xml:space="preserve">for older people </w:t>
      </w:r>
      <w:r w:rsidRPr="00925E3D">
        <w:rPr>
          <w:rFonts w:ascii="Arial" w:hAnsi="Arial" w:cs="Arial"/>
          <w:sz w:val="24"/>
          <w:szCs w:val="24"/>
        </w:rPr>
        <w:t xml:space="preserve">  and 82.4% </w:t>
      </w:r>
      <w:r>
        <w:rPr>
          <w:rFonts w:ascii="Arial" w:hAnsi="Arial" w:cs="Arial"/>
          <w:sz w:val="24"/>
          <w:szCs w:val="24"/>
        </w:rPr>
        <w:t xml:space="preserve">(14) </w:t>
      </w:r>
      <w:r w:rsidRPr="00925E3D">
        <w:rPr>
          <w:rFonts w:ascii="Arial" w:hAnsi="Arial" w:cs="Arial"/>
          <w:sz w:val="24"/>
          <w:szCs w:val="24"/>
        </w:rPr>
        <w:t xml:space="preserve">of these are rated good or outstanding 8 </w:t>
      </w:r>
      <w:r>
        <w:rPr>
          <w:rFonts w:ascii="Arial" w:hAnsi="Arial" w:cs="Arial"/>
          <w:sz w:val="24"/>
          <w:szCs w:val="24"/>
        </w:rPr>
        <w:t xml:space="preserve">are </w:t>
      </w:r>
      <w:r w:rsidRPr="00925E3D">
        <w:rPr>
          <w:rFonts w:ascii="Arial" w:hAnsi="Arial" w:cs="Arial"/>
          <w:sz w:val="24"/>
          <w:szCs w:val="24"/>
        </w:rPr>
        <w:t xml:space="preserve">in-house disability short break services and 87.5% </w:t>
      </w:r>
      <w:r>
        <w:rPr>
          <w:rFonts w:ascii="Arial" w:hAnsi="Arial" w:cs="Arial"/>
          <w:sz w:val="24"/>
          <w:szCs w:val="24"/>
        </w:rPr>
        <w:t xml:space="preserve">(7) </w:t>
      </w:r>
      <w:r w:rsidRPr="00925E3D">
        <w:rPr>
          <w:rFonts w:ascii="Arial" w:hAnsi="Arial" w:cs="Arial"/>
          <w:sz w:val="24"/>
          <w:szCs w:val="24"/>
        </w:rPr>
        <w:t xml:space="preserve">of these are rated good or outstanding. </w:t>
      </w:r>
    </w:p>
    <w:p w14:paraId="00B8D3A5" w14:textId="77777777" w:rsidR="00A27CDB" w:rsidRPr="00925E3D" w:rsidRDefault="00A27CDB" w:rsidP="00FB2A23">
      <w:pPr>
        <w:pStyle w:val="NoSpacing"/>
        <w:jc w:val="both"/>
        <w:rPr>
          <w:rFonts w:ascii="Arial" w:hAnsi="Arial" w:cs="Arial"/>
          <w:sz w:val="24"/>
          <w:szCs w:val="24"/>
        </w:rPr>
      </w:pPr>
    </w:p>
    <w:p w14:paraId="4D9C18C3" w14:textId="345F46AB" w:rsidR="00A27CDB" w:rsidRPr="00925E3D" w:rsidRDefault="00A27CDB" w:rsidP="00FB2A23">
      <w:pPr>
        <w:pStyle w:val="NoSpacing"/>
        <w:jc w:val="both"/>
        <w:rPr>
          <w:rFonts w:ascii="Arial" w:hAnsi="Arial" w:cs="Arial"/>
          <w:sz w:val="24"/>
          <w:szCs w:val="24"/>
        </w:rPr>
      </w:pPr>
      <w:r w:rsidRPr="00925E3D">
        <w:rPr>
          <w:rFonts w:ascii="Arial" w:hAnsi="Arial" w:cs="Arial"/>
          <w:sz w:val="24"/>
          <w:szCs w:val="24"/>
        </w:rPr>
        <w:t xml:space="preserve">The Lancashire figure of 91.0% of community care services rated good or outstanding continues </w:t>
      </w:r>
      <w:r>
        <w:rPr>
          <w:rFonts w:ascii="Arial" w:hAnsi="Arial" w:cs="Arial"/>
          <w:sz w:val="24"/>
          <w:szCs w:val="24"/>
        </w:rPr>
        <w:t xml:space="preserve">to improve </w:t>
      </w:r>
      <w:r w:rsidRPr="00925E3D">
        <w:rPr>
          <w:rFonts w:ascii="Arial" w:hAnsi="Arial" w:cs="Arial"/>
          <w:sz w:val="24"/>
          <w:szCs w:val="24"/>
        </w:rPr>
        <w:t xml:space="preserve">and </w:t>
      </w:r>
      <w:r>
        <w:rPr>
          <w:rFonts w:ascii="Arial" w:hAnsi="Arial" w:cs="Arial"/>
          <w:sz w:val="24"/>
          <w:szCs w:val="24"/>
        </w:rPr>
        <w:t xml:space="preserve">performance is significantly above </w:t>
      </w:r>
      <w:r w:rsidRPr="00925E3D">
        <w:rPr>
          <w:rFonts w:ascii="Arial" w:hAnsi="Arial" w:cs="Arial"/>
          <w:sz w:val="24"/>
          <w:szCs w:val="24"/>
        </w:rPr>
        <w:t>the national average of 84.8%.</w:t>
      </w:r>
    </w:p>
    <w:p w14:paraId="786ED70A" w14:textId="77777777" w:rsidR="00A27CDB" w:rsidRPr="00925E3D" w:rsidRDefault="00A27CDB" w:rsidP="00FB2A23">
      <w:pPr>
        <w:pStyle w:val="NoSpacing"/>
        <w:jc w:val="both"/>
        <w:rPr>
          <w:rFonts w:ascii="Arial" w:hAnsi="Arial" w:cs="Arial"/>
          <w:sz w:val="24"/>
          <w:szCs w:val="24"/>
        </w:rPr>
      </w:pPr>
    </w:p>
    <w:p w14:paraId="7D358F8F" w14:textId="0D609E7F" w:rsidR="003A0BC3" w:rsidRDefault="00A27CDB" w:rsidP="00FB2A23">
      <w:pPr>
        <w:pStyle w:val="NoSpacing"/>
        <w:jc w:val="both"/>
        <w:rPr>
          <w:rFonts w:ascii="Arial" w:hAnsi="Arial" w:cs="Arial"/>
          <w:sz w:val="24"/>
          <w:szCs w:val="24"/>
        </w:rPr>
      </w:pPr>
      <w:r w:rsidRPr="00925E3D">
        <w:rPr>
          <w:rFonts w:ascii="Arial" w:hAnsi="Arial" w:cs="Arial"/>
          <w:sz w:val="24"/>
          <w:szCs w:val="24"/>
        </w:rPr>
        <w:t xml:space="preserve">Of the total 199 community care services inspected, 9 services are in-house disability services (8 domiciliary services and 1 shared lives service) and all of these were rated good or outstanding. </w:t>
      </w:r>
    </w:p>
    <w:p w14:paraId="781E7D79" w14:textId="77777777" w:rsidR="008762C0" w:rsidRDefault="008762C0" w:rsidP="00664950">
      <w:pPr>
        <w:pStyle w:val="NoSpacing"/>
      </w:pPr>
    </w:p>
    <w:tbl>
      <w:tblPr>
        <w:tblW w:w="9843" w:type="dxa"/>
        <w:tblInd w:w="-10" w:type="dxa"/>
        <w:tblLayout w:type="fixed"/>
        <w:tblLook w:val="04A0" w:firstRow="1" w:lastRow="0" w:firstColumn="1" w:lastColumn="0" w:noHBand="0" w:noVBand="1"/>
      </w:tblPr>
      <w:tblGrid>
        <w:gridCol w:w="5024"/>
        <w:gridCol w:w="1465"/>
        <w:gridCol w:w="1134"/>
        <w:gridCol w:w="1228"/>
        <w:gridCol w:w="992"/>
      </w:tblGrid>
      <w:tr w:rsidR="00CF2E88" w:rsidRPr="00865F1A" w14:paraId="634EF9F8" w14:textId="77777777" w:rsidTr="008762C0">
        <w:trPr>
          <w:trHeight w:val="406"/>
        </w:trPr>
        <w:tc>
          <w:tcPr>
            <w:tcW w:w="5024" w:type="dxa"/>
            <w:tcBorders>
              <w:top w:val="single" w:sz="4" w:space="0" w:color="auto"/>
              <w:left w:val="single" w:sz="8" w:space="0" w:color="auto"/>
              <w:bottom w:val="nil"/>
              <w:right w:val="single" w:sz="8" w:space="0" w:color="auto"/>
            </w:tcBorders>
            <w:shd w:val="clear" w:color="000000" w:fill="F2F2F2"/>
            <w:vAlign w:val="center"/>
            <w:hideMark/>
          </w:tcPr>
          <w:p w14:paraId="7DCC1AA5" w14:textId="77777777" w:rsidR="00CF2E88" w:rsidRPr="00865F1A" w:rsidRDefault="00CF2E88" w:rsidP="00E734A1">
            <w:pPr>
              <w:rPr>
                <w:rFonts w:cs="Arial"/>
                <w:b/>
                <w:bCs/>
                <w:color w:val="000000"/>
                <w:sz w:val="18"/>
                <w:szCs w:val="18"/>
              </w:rPr>
            </w:pPr>
            <w:r w:rsidRPr="00865F1A">
              <w:rPr>
                <w:rFonts w:cs="Arial"/>
                <w:b/>
                <w:bCs/>
                <w:color w:val="000000"/>
                <w:sz w:val="18"/>
                <w:szCs w:val="18"/>
              </w:rPr>
              <w:t>Performance Measure</w:t>
            </w:r>
          </w:p>
        </w:tc>
        <w:tc>
          <w:tcPr>
            <w:tcW w:w="1465" w:type="dxa"/>
            <w:tcBorders>
              <w:top w:val="single" w:sz="8" w:space="0" w:color="auto"/>
              <w:left w:val="nil"/>
              <w:bottom w:val="nil"/>
              <w:right w:val="single" w:sz="8" w:space="0" w:color="auto"/>
            </w:tcBorders>
            <w:shd w:val="clear" w:color="000000" w:fill="F2F2F2"/>
            <w:vAlign w:val="center"/>
            <w:hideMark/>
          </w:tcPr>
          <w:p w14:paraId="1A271FDC" w14:textId="77777777" w:rsidR="00CF2E88" w:rsidRPr="00865F1A" w:rsidRDefault="00CF2E88" w:rsidP="00E734A1">
            <w:pPr>
              <w:jc w:val="center"/>
              <w:rPr>
                <w:rFonts w:cs="Arial"/>
                <w:b/>
                <w:bCs/>
                <w:color w:val="000000"/>
                <w:sz w:val="18"/>
                <w:szCs w:val="18"/>
              </w:rPr>
            </w:pPr>
            <w:r w:rsidRPr="00865F1A">
              <w:rPr>
                <w:rFonts w:cs="Arial"/>
                <w:b/>
                <w:bCs/>
                <w:color w:val="000000"/>
                <w:sz w:val="18"/>
                <w:szCs w:val="18"/>
              </w:rPr>
              <w:t>Good is High or Low</w:t>
            </w:r>
          </w:p>
        </w:tc>
        <w:tc>
          <w:tcPr>
            <w:tcW w:w="1134" w:type="dxa"/>
            <w:tcBorders>
              <w:top w:val="single" w:sz="8" w:space="0" w:color="auto"/>
              <w:left w:val="nil"/>
              <w:bottom w:val="nil"/>
              <w:right w:val="single" w:sz="8" w:space="0" w:color="auto"/>
            </w:tcBorders>
            <w:shd w:val="clear" w:color="000000" w:fill="F2F2F2"/>
            <w:vAlign w:val="center"/>
            <w:hideMark/>
          </w:tcPr>
          <w:p w14:paraId="69FDEE65" w14:textId="77777777" w:rsidR="00CF2E88" w:rsidRPr="00865F1A" w:rsidRDefault="00CF2E88" w:rsidP="00E734A1">
            <w:pPr>
              <w:jc w:val="center"/>
              <w:rPr>
                <w:rFonts w:cs="Arial"/>
                <w:b/>
                <w:bCs/>
                <w:color w:val="000000"/>
                <w:sz w:val="18"/>
                <w:szCs w:val="18"/>
              </w:rPr>
            </w:pPr>
            <w:r w:rsidRPr="00865F1A">
              <w:rPr>
                <w:rFonts w:cs="Arial"/>
                <w:b/>
                <w:bCs/>
                <w:color w:val="000000"/>
                <w:sz w:val="18"/>
                <w:szCs w:val="18"/>
              </w:rPr>
              <w:t>2016/17</w:t>
            </w:r>
          </w:p>
        </w:tc>
        <w:tc>
          <w:tcPr>
            <w:tcW w:w="1228" w:type="dxa"/>
            <w:tcBorders>
              <w:top w:val="single" w:sz="8" w:space="0" w:color="auto"/>
              <w:left w:val="nil"/>
              <w:bottom w:val="nil"/>
              <w:right w:val="single" w:sz="8" w:space="0" w:color="auto"/>
            </w:tcBorders>
            <w:shd w:val="clear" w:color="000000" w:fill="F2F2F2"/>
            <w:vAlign w:val="center"/>
            <w:hideMark/>
          </w:tcPr>
          <w:p w14:paraId="4DAF90BA" w14:textId="77777777" w:rsidR="00CF2E88" w:rsidRPr="00865F1A" w:rsidRDefault="00CF2E88" w:rsidP="00E734A1">
            <w:pPr>
              <w:jc w:val="center"/>
              <w:rPr>
                <w:rFonts w:cs="Arial"/>
                <w:b/>
                <w:bCs/>
                <w:color w:val="000000"/>
                <w:sz w:val="18"/>
                <w:szCs w:val="18"/>
              </w:rPr>
            </w:pPr>
            <w:r w:rsidRPr="00865F1A">
              <w:rPr>
                <w:rFonts w:cs="Arial"/>
                <w:b/>
                <w:bCs/>
                <w:color w:val="000000"/>
                <w:sz w:val="18"/>
                <w:szCs w:val="18"/>
              </w:rPr>
              <w:t>2017/18</w:t>
            </w:r>
          </w:p>
        </w:tc>
        <w:tc>
          <w:tcPr>
            <w:tcW w:w="992" w:type="dxa"/>
            <w:tcBorders>
              <w:top w:val="single" w:sz="8" w:space="0" w:color="auto"/>
              <w:left w:val="nil"/>
              <w:bottom w:val="nil"/>
              <w:right w:val="single" w:sz="8" w:space="0" w:color="auto"/>
            </w:tcBorders>
            <w:shd w:val="clear" w:color="000000" w:fill="F2F2F2"/>
            <w:vAlign w:val="center"/>
          </w:tcPr>
          <w:p w14:paraId="10749398" w14:textId="77777777" w:rsidR="00CF2E88" w:rsidRPr="00865F1A" w:rsidRDefault="00CF2E88" w:rsidP="008762C0">
            <w:pPr>
              <w:rPr>
                <w:rFonts w:cs="Arial"/>
                <w:b/>
                <w:bCs/>
                <w:color w:val="000000"/>
                <w:sz w:val="18"/>
                <w:szCs w:val="18"/>
              </w:rPr>
            </w:pPr>
            <w:r>
              <w:rPr>
                <w:rFonts w:cs="Arial"/>
                <w:b/>
                <w:bCs/>
                <w:color w:val="000000"/>
                <w:sz w:val="18"/>
                <w:szCs w:val="18"/>
              </w:rPr>
              <w:t>England Average</w:t>
            </w:r>
          </w:p>
        </w:tc>
      </w:tr>
      <w:tr w:rsidR="00CF2E88" w:rsidRPr="00865F1A" w14:paraId="55A7C48B" w14:textId="77777777" w:rsidTr="008762C0">
        <w:trPr>
          <w:trHeight w:val="60"/>
        </w:trPr>
        <w:tc>
          <w:tcPr>
            <w:tcW w:w="9843"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58A4C8D" w14:textId="1BE00C7E" w:rsidR="00CF2E88" w:rsidRPr="00865F1A" w:rsidRDefault="00CF2E88" w:rsidP="00E734A1">
            <w:pPr>
              <w:rPr>
                <w:rFonts w:cs="Arial"/>
                <w:b/>
                <w:bCs/>
                <w:color w:val="000000"/>
                <w:sz w:val="18"/>
                <w:szCs w:val="18"/>
              </w:rPr>
            </w:pPr>
            <w:r w:rsidRPr="00865F1A">
              <w:rPr>
                <w:rFonts w:cs="Arial"/>
                <w:b/>
                <w:bCs/>
                <w:color w:val="000000"/>
                <w:sz w:val="18"/>
                <w:szCs w:val="18"/>
              </w:rPr>
              <w:t>Public Health</w:t>
            </w:r>
          </w:p>
        </w:tc>
      </w:tr>
      <w:tr w:rsidR="00CF2E88" w:rsidRPr="00865F1A" w14:paraId="563DEC60" w14:textId="77777777" w:rsidTr="008762C0">
        <w:trPr>
          <w:trHeight w:val="225"/>
        </w:trPr>
        <w:tc>
          <w:tcPr>
            <w:tcW w:w="5024" w:type="dxa"/>
            <w:tcBorders>
              <w:top w:val="nil"/>
              <w:left w:val="single" w:sz="8" w:space="0" w:color="auto"/>
              <w:bottom w:val="single" w:sz="8" w:space="0" w:color="auto"/>
              <w:right w:val="single" w:sz="8" w:space="0" w:color="auto"/>
            </w:tcBorders>
            <w:shd w:val="clear" w:color="auto" w:fill="auto"/>
            <w:vAlign w:val="center"/>
            <w:hideMark/>
          </w:tcPr>
          <w:p w14:paraId="202BE423" w14:textId="77777777" w:rsidR="00CF2E88" w:rsidRPr="0095316A" w:rsidRDefault="00CF2E88" w:rsidP="00E734A1">
            <w:pPr>
              <w:rPr>
                <w:rFonts w:cs="Arial"/>
                <w:sz w:val="18"/>
                <w:szCs w:val="18"/>
              </w:rPr>
            </w:pPr>
            <w:r w:rsidRPr="0095316A">
              <w:rPr>
                <w:rFonts w:cs="Arial"/>
                <w:sz w:val="18"/>
                <w:szCs w:val="18"/>
              </w:rPr>
              <w:t xml:space="preserve">The proportion of babies (at 12 months age)  immunised with the </w:t>
            </w:r>
            <w:proofErr w:type="spellStart"/>
            <w:r w:rsidRPr="0095316A">
              <w:rPr>
                <w:rFonts w:cs="Arial"/>
                <w:sz w:val="18"/>
                <w:szCs w:val="18"/>
              </w:rPr>
              <w:t>DTaP</w:t>
            </w:r>
            <w:proofErr w:type="spellEnd"/>
            <w:r w:rsidRPr="0095316A">
              <w:rPr>
                <w:rFonts w:cs="Arial"/>
                <w:sz w:val="18"/>
                <w:szCs w:val="18"/>
              </w:rPr>
              <w:t>/IPV/Hib vaccine – latest rolling year up to 31 December 2017</w:t>
            </w:r>
          </w:p>
        </w:tc>
        <w:tc>
          <w:tcPr>
            <w:tcW w:w="1465" w:type="dxa"/>
            <w:tcBorders>
              <w:top w:val="nil"/>
              <w:left w:val="nil"/>
              <w:bottom w:val="single" w:sz="8" w:space="0" w:color="auto"/>
              <w:right w:val="single" w:sz="8" w:space="0" w:color="auto"/>
            </w:tcBorders>
            <w:shd w:val="clear" w:color="auto" w:fill="auto"/>
            <w:hideMark/>
          </w:tcPr>
          <w:p w14:paraId="4EDBCBCF" w14:textId="0C288A4E" w:rsidR="00CF2E88" w:rsidRPr="0095316A" w:rsidRDefault="00CF2E88" w:rsidP="008762C0">
            <w:pPr>
              <w:jc w:val="center"/>
              <w:rPr>
                <w:rFonts w:cs="Arial"/>
                <w:sz w:val="18"/>
                <w:szCs w:val="18"/>
              </w:rPr>
            </w:pPr>
            <w:r w:rsidRPr="0095316A">
              <w:rPr>
                <w:rFonts w:cs="Arial"/>
                <w:sz w:val="18"/>
                <w:szCs w:val="18"/>
              </w:rPr>
              <w:t>H</w:t>
            </w:r>
          </w:p>
        </w:tc>
        <w:tc>
          <w:tcPr>
            <w:tcW w:w="1134" w:type="dxa"/>
            <w:tcBorders>
              <w:top w:val="nil"/>
              <w:left w:val="nil"/>
              <w:bottom w:val="single" w:sz="8" w:space="0" w:color="auto"/>
              <w:right w:val="single" w:sz="8" w:space="0" w:color="auto"/>
            </w:tcBorders>
            <w:shd w:val="clear" w:color="auto" w:fill="auto"/>
            <w:hideMark/>
          </w:tcPr>
          <w:p w14:paraId="6126ADC5" w14:textId="77777777" w:rsidR="00CF2E88" w:rsidRPr="0095316A" w:rsidRDefault="00CF2E88" w:rsidP="008762C0">
            <w:pPr>
              <w:jc w:val="center"/>
              <w:rPr>
                <w:rFonts w:cs="Arial"/>
                <w:sz w:val="18"/>
                <w:szCs w:val="18"/>
              </w:rPr>
            </w:pPr>
            <w:r w:rsidRPr="0095316A">
              <w:rPr>
                <w:rFonts w:cs="Arial"/>
                <w:sz w:val="18"/>
                <w:szCs w:val="18"/>
              </w:rPr>
              <w:t>89.4%</w:t>
            </w:r>
          </w:p>
        </w:tc>
        <w:tc>
          <w:tcPr>
            <w:tcW w:w="1228" w:type="dxa"/>
            <w:tcBorders>
              <w:top w:val="nil"/>
              <w:left w:val="nil"/>
              <w:bottom w:val="single" w:sz="8" w:space="0" w:color="auto"/>
              <w:right w:val="single" w:sz="8" w:space="0" w:color="auto"/>
            </w:tcBorders>
            <w:shd w:val="clear" w:color="000000" w:fill="F8CBAD"/>
            <w:hideMark/>
          </w:tcPr>
          <w:p w14:paraId="23E55C26" w14:textId="77777777" w:rsidR="00CF2E88" w:rsidRPr="0095316A" w:rsidRDefault="00CF2E88" w:rsidP="008762C0">
            <w:pPr>
              <w:jc w:val="center"/>
              <w:rPr>
                <w:rFonts w:cs="Arial"/>
                <w:sz w:val="18"/>
                <w:szCs w:val="18"/>
              </w:rPr>
            </w:pPr>
            <w:r w:rsidRPr="0095316A">
              <w:rPr>
                <w:rFonts w:cs="Arial"/>
                <w:sz w:val="18"/>
                <w:szCs w:val="18"/>
              </w:rPr>
              <w:t>85.1%</w:t>
            </w:r>
          </w:p>
        </w:tc>
        <w:tc>
          <w:tcPr>
            <w:tcW w:w="992" w:type="dxa"/>
            <w:tcBorders>
              <w:top w:val="nil"/>
              <w:left w:val="nil"/>
              <w:bottom w:val="single" w:sz="8" w:space="0" w:color="auto"/>
              <w:right w:val="single" w:sz="8" w:space="0" w:color="auto"/>
            </w:tcBorders>
            <w:shd w:val="clear" w:color="auto" w:fill="auto"/>
          </w:tcPr>
          <w:p w14:paraId="310CE1C4" w14:textId="77777777" w:rsidR="00CF2E88" w:rsidRPr="0095316A" w:rsidRDefault="00CF2E88" w:rsidP="008762C0">
            <w:pPr>
              <w:jc w:val="center"/>
              <w:rPr>
                <w:rFonts w:cs="Arial"/>
                <w:sz w:val="18"/>
                <w:szCs w:val="18"/>
              </w:rPr>
            </w:pPr>
            <w:r w:rsidRPr="0095316A">
              <w:rPr>
                <w:rFonts w:cs="Arial"/>
                <w:sz w:val="18"/>
                <w:szCs w:val="18"/>
              </w:rPr>
              <w:t>93.1%</w:t>
            </w:r>
          </w:p>
        </w:tc>
      </w:tr>
      <w:tr w:rsidR="00CF2E88" w:rsidRPr="00865F1A" w14:paraId="057DA3B2" w14:textId="77777777" w:rsidTr="008762C0">
        <w:trPr>
          <w:trHeight w:val="60"/>
        </w:trPr>
        <w:tc>
          <w:tcPr>
            <w:tcW w:w="9843"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05B3143" w14:textId="4CDCE217" w:rsidR="00CF2E88" w:rsidRPr="00865F1A" w:rsidRDefault="00CF2E88" w:rsidP="00E734A1">
            <w:pPr>
              <w:rPr>
                <w:rFonts w:cs="Arial"/>
                <w:b/>
                <w:bCs/>
                <w:color w:val="000000"/>
                <w:sz w:val="18"/>
                <w:szCs w:val="18"/>
              </w:rPr>
            </w:pPr>
            <w:r w:rsidRPr="00865F1A">
              <w:rPr>
                <w:rFonts w:cs="Arial"/>
                <w:b/>
                <w:bCs/>
                <w:color w:val="000000"/>
                <w:sz w:val="18"/>
                <w:szCs w:val="18"/>
              </w:rPr>
              <w:t>Health Checks</w:t>
            </w:r>
          </w:p>
        </w:tc>
      </w:tr>
      <w:tr w:rsidR="00CF2E88" w:rsidRPr="00865F1A" w14:paraId="7F5DB0EF" w14:textId="77777777" w:rsidTr="008762C0">
        <w:trPr>
          <w:trHeight w:val="157"/>
        </w:trPr>
        <w:tc>
          <w:tcPr>
            <w:tcW w:w="5024" w:type="dxa"/>
            <w:tcBorders>
              <w:top w:val="nil"/>
              <w:left w:val="single" w:sz="8" w:space="0" w:color="auto"/>
              <w:bottom w:val="single" w:sz="4" w:space="0" w:color="auto"/>
              <w:right w:val="single" w:sz="8" w:space="0" w:color="auto"/>
            </w:tcBorders>
            <w:shd w:val="clear" w:color="auto" w:fill="auto"/>
            <w:vAlign w:val="center"/>
            <w:hideMark/>
          </w:tcPr>
          <w:p w14:paraId="3FFD9AA9" w14:textId="77777777" w:rsidR="00CF2E88" w:rsidRPr="00865F1A" w:rsidRDefault="00CF2E88" w:rsidP="00E734A1">
            <w:pPr>
              <w:rPr>
                <w:rFonts w:cs="Arial"/>
                <w:color w:val="000000"/>
                <w:sz w:val="18"/>
                <w:szCs w:val="18"/>
              </w:rPr>
            </w:pPr>
            <w:r w:rsidRPr="00865F1A">
              <w:rPr>
                <w:rFonts w:cs="Arial"/>
                <w:color w:val="000000"/>
                <w:sz w:val="18"/>
                <w:szCs w:val="18"/>
              </w:rPr>
              <w:t>Number of NHS Health Checks offered to eligible population</w:t>
            </w:r>
          </w:p>
        </w:tc>
        <w:tc>
          <w:tcPr>
            <w:tcW w:w="1465" w:type="dxa"/>
            <w:tcBorders>
              <w:top w:val="nil"/>
              <w:left w:val="nil"/>
              <w:bottom w:val="single" w:sz="8" w:space="0" w:color="auto"/>
              <w:right w:val="single" w:sz="8" w:space="0" w:color="auto"/>
            </w:tcBorders>
            <w:shd w:val="clear" w:color="auto" w:fill="auto"/>
            <w:vAlign w:val="center"/>
            <w:hideMark/>
          </w:tcPr>
          <w:p w14:paraId="7F232BAB" w14:textId="77777777" w:rsidR="00CF2E88" w:rsidRPr="00865F1A" w:rsidRDefault="00CF2E88" w:rsidP="00E734A1">
            <w:pPr>
              <w:jc w:val="center"/>
              <w:rPr>
                <w:rFonts w:cs="Arial"/>
                <w:color w:val="000000"/>
                <w:sz w:val="18"/>
                <w:szCs w:val="18"/>
              </w:rPr>
            </w:pPr>
            <w:r w:rsidRPr="00865F1A">
              <w:rPr>
                <w:rFonts w:cs="Arial"/>
                <w:color w:val="000000"/>
                <w:sz w:val="18"/>
                <w:szCs w:val="18"/>
              </w:rPr>
              <w:t>H</w:t>
            </w:r>
          </w:p>
        </w:tc>
        <w:tc>
          <w:tcPr>
            <w:tcW w:w="1134" w:type="dxa"/>
            <w:tcBorders>
              <w:top w:val="nil"/>
              <w:left w:val="nil"/>
              <w:bottom w:val="single" w:sz="8" w:space="0" w:color="auto"/>
              <w:right w:val="single" w:sz="8" w:space="0" w:color="auto"/>
            </w:tcBorders>
            <w:shd w:val="clear" w:color="auto" w:fill="auto"/>
            <w:vAlign w:val="center"/>
            <w:hideMark/>
          </w:tcPr>
          <w:p w14:paraId="034F3D01" w14:textId="77777777" w:rsidR="00CF2E88" w:rsidRPr="00865F1A" w:rsidRDefault="00CF2E88" w:rsidP="00E734A1">
            <w:pPr>
              <w:jc w:val="center"/>
              <w:rPr>
                <w:rFonts w:cs="Arial"/>
                <w:color w:val="000000"/>
                <w:sz w:val="18"/>
                <w:szCs w:val="18"/>
              </w:rPr>
            </w:pPr>
            <w:r w:rsidRPr="00865F1A">
              <w:rPr>
                <w:rFonts w:cs="Arial"/>
                <w:color w:val="000000"/>
                <w:sz w:val="18"/>
                <w:szCs w:val="18"/>
              </w:rPr>
              <w:t>75,892</w:t>
            </w:r>
          </w:p>
        </w:tc>
        <w:tc>
          <w:tcPr>
            <w:tcW w:w="1228" w:type="dxa"/>
            <w:tcBorders>
              <w:top w:val="nil"/>
              <w:left w:val="nil"/>
              <w:bottom w:val="single" w:sz="8" w:space="0" w:color="auto"/>
              <w:right w:val="single" w:sz="8" w:space="0" w:color="auto"/>
            </w:tcBorders>
            <w:shd w:val="clear" w:color="000000" w:fill="C6E0B4"/>
            <w:vAlign w:val="center"/>
            <w:hideMark/>
          </w:tcPr>
          <w:p w14:paraId="11E408D6" w14:textId="77777777" w:rsidR="00CF2E88" w:rsidRPr="00865F1A" w:rsidRDefault="00CF2E88" w:rsidP="00E734A1">
            <w:pPr>
              <w:jc w:val="center"/>
              <w:rPr>
                <w:rFonts w:cs="Arial"/>
                <w:color w:val="000000"/>
                <w:sz w:val="18"/>
                <w:szCs w:val="18"/>
              </w:rPr>
            </w:pPr>
            <w:r w:rsidRPr="00865F1A">
              <w:rPr>
                <w:rFonts w:cs="Arial"/>
                <w:color w:val="000000"/>
                <w:sz w:val="18"/>
                <w:szCs w:val="18"/>
              </w:rPr>
              <w:t>96,920</w:t>
            </w:r>
          </w:p>
        </w:tc>
        <w:tc>
          <w:tcPr>
            <w:tcW w:w="992" w:type="dxa"/>
            <w:tcBorders>
              <w:top w:val="nil"/>
              <w:left w:val="nil"/>
              <w:bottom w:val="single" w:sz="8" w:space="0" w:color="auto"/>
              <w:right w:val="single" w:sz="8" w:space="0" w:color="auto"/>
            </w:tcBorders>
            <w:shd w:val="clear" w:color="auto" w:fill="auto"/>
            <w:vAlign w:val="center"/>
          </w:tcPr>
          <w:p w14:paraId="7433B96E" w14:textId="77777777" w:rsidR="00CF2E88" w:rsidRPr="00865F1A" w:rsidRDefault="00CF2E88" w:rsidP="00E734A1">
            <w:pPr>
              <w:jc w:val="center"/>
              <w:rPr>
                <w:rFonts w:cs="Arial"/>
                <w:color w:val="000000"/>
                <w:sz w:val="18"/>
                <w:szCs w:val="18"/>
              </w:rPr>
            </w:pPr>
            <w:r w:rsidRPr="0004663E">
              <w:rPr>
                <w:rFonts w:cs="Arial"/>
                <w:color w:val="000000"/>
                <w:sz w:val="18"/>
                <w:szCs w:val="18"/>
              </w:rPr>
              <w:t>-</w:t>
            </w:r>
          </w:p>
        </w:tc>
      </w:tr>
      <w:tr w:rsidR="00CF2E88" w:rsidRPr="00865F1A" w14:paraId="5422EC1F" w14:textId="77777777" w:rsidTr="008762C0">
        <w:trPr>
          <w:trHeight w:val="94"/>
        </w:trPr>
        <w:tc>
          <w:tcPr>
            <w:tcW w:w="502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59CA51" w14:textId="77777777" w:rsidR="00CF2E88" w:rsidRPr="00865F1A" w:rsidRDefault="00CF2E88" w:rsidP="00E734A1">
            <w:pPr>
              <w:rPr>
                <w:rFonts w:cs="Arial"/>
                <w:color w:val="000000"/>
                <w:sz w:val="18"/>
                <w:szCs w:val="18"/>
              </w:rPr>
            </w:pPr>
            <w:r w:rsidRPr="00865F1A">
              <w:rPr>
                <w:rFonts w:cs="Arial"/>
                <w:color w:val="000000"/>
                <w:sz w:val="18"/>
                <w:szCs w:val="18"/>
              </w:rPr>
              <w:t>Number of NHS Health Checks completed</w:t>
            </w:r>
          </w:p>
        </w:tc>
        <w:tc>
          <w:tcPr>
            <w:tcW w:w="1465" w:type="dxa"/>
            <w:tcBorders>
              <w:top w:val="nil"/>
              <w:left w:val="nil"/>
              <w:bottom w:val="single" w:sz="8" w:space="0" w:color="auto"/>
              <w:right w:val="single" w:sz="8" w:space="0" w:color="auto"/>
            </w:tcBorders>
            <w:shd w:val="clear" w:color="auto" w:fill="auto"/>
            <w:vAlign w:val="center"/>
            <w:hideMark/>
          </w:tcPr>
          <w:p w14:paraId="37B36B41" w14:textId="77777777" w:rsidR="00CF2E88" w:rsidRPr="00865F1A" w:rsidRDefault="00CF2E88" w:rsidP="00E734A1">
            <w:pPr>
              <w:jc w:val="center"/>
              <w:rPr>
                <w:rFonts w:cs="Arial"/>
                <w:color w:val="000000"/>
                <w:sz w:val="18"/>
                <w:szCs w:val="18"/>
              </w:rPr>
            </w:pPr>
            <w:r w:rsidRPr="00865F1A">
              <w:rPr>
                <w:rFonts w:cs="Arial"/>
                <w:color w:val="000000"/>
                <w:sz w:val="18"/>
                <w:szCs w:val="18"/>
              </w:rPr>
              <w:t>H</w:t>
            </w:r>
          </w:p>
        </w:tc>
        <w:tc>
          <w:tcPr>
            <w:tcW w:w="1134" w:type="dxa"/>
            <w:tcBorders>
              <w:top w:val="nil"/>
              <w:left w:val="nil"/>
              <w:bottom w:val="single" w:sz="8" w:space="0" w:color="auto"/>
              <w:right w:val="single" w:sz="8" w:space="0" w:color="auto"/>
            </w:tcBorders>
            <w:shd w:val="clear" w:color="auto" w:fill="auto"/>
            <w:vAlign w:val="center"/>
            <w:hideMark/>
          </w:tcPr>
          <w:p w14:paraId="792670AE" w14:textId="77777777" w:rsidR="00CF2E88" w:rsidRPr="00865F1A" w:rsidRDefault="00CF2E88" w:rsidP="00E734A1">
            <w:pPr>
              <w:jc w:val="center"/>
              <w:rPr>
                <w:rFonts w:cs="Arial"/>
                <w:color w:val="000000"/>
                <w:sz w:val="18"/>
                <w:szCs w:val="18"/>
              </w:rPr>
            </w:pPr>
            <w:r w:rsidRPr="00865F1A">
              <w:rPr>
                <w:rFonts w:cs="Arial"/>
                <w:color w:val="000000"/>
                <w:sz w:val="18"/>
                <w:szCs w:val="18"/>
              </w:rPr>
              <w:t>47,107</w:t>
            </w:r>
          </w:p>
        </w:tc>
        <w:tc>
          <w:tcPr>
            <w:tcW w:w="1228" w:type="dxa"/>
            <w:tcBorders>
              <w:top w:val="nil"/>
              <w:left w:val="nil"/>
              <w:bottom w:val="single" w:sz="8" w:space="0" w:color="auto"/>
              <w:right w:val="single" w:sz="8" w:space="0" w:color="auto"/>
            </w:tcBorders>
            <w:shd w:val="clear" w:color="000000" w:fill="C6E0B4"/>
            <w:vAlign w:val="center"/>
            <w:hideMark/>
          </w:tcPr>
          <w:p w14:paraId="52BDBBC5" w14:textId="77777777" w:rsidR="00CF2E88" w:rsidRPr="00865F1A" w:rsidRDefault="00CF2E88" w:rsidP="00E734A1">
            <w:pPr>
              <w:jc w:val="center"/>
              <w:rPr>
                <w:rFonts w:cs="Arial"/>
                <w:color w:val="000000"/>
                <w:sz w:val="18"/>
                <w:szCs w:val="18"/>
              </w:rPr>
            </w:pPr>
            <w:r w:rsidRPr="00865F1A">
              <w:rPr>
                <w:rFonts w:cs="Arial"/>
                <w:color w:val="000000"/>
                <w:sz w:val="18"/>
                <w:szCs w:val="18"/>
              </w:rPr>
              <w:t>51,486</w:t>
            </w:r>
          </w:p>
        </w:tc>
        <w:tc>
          <w:tcPr>
            <w:tcW w:w="992" w:type="dxa"/>
            <w:tcBorders>
              <w:top w:val="nil"/>
              <w:left w:val="nil"/>
              <w:bottom w:val="single" w:sz="8" w:space="0" w:color="auto"/>
              <w:right w:val="single" w:sz="8" w:space="0" w:color="auto"/>
            </w:tcBorders>
            <w:shd w:val="clear" w:color="auto" w:fill="auto"/>
            <w:vAlign w:val="center"/>
          </w:tcPr>
          <w:p w14:paraId="53D95872" w14:textId="77777777" w:rsidR="00CF2E88" w:rsidRPr="00865F1A" w:rsidRDefault="00CF2E88" w:rsidP="00E734A1">
            <w:pPr>
              <w:jc w:val="center"/>
              <w:rPr>
                <w:rFonts w:cs="Arial"/>
                <w:color w:val="000000"/>
                <w:sz w:val="18"/>
                <w:szCs w:val="18"/>
              </w:rPr>
            </w:pPr>
            <w:r w:rsidRPr="0004663E">
              <w:rPr>
                <w:rFonts w:cs="Arial"/>
                <w:color w:val="000000"/>
                <w:sz w:val="18"/>
                <w:szCs w:val="18"/>
              </w:rPr>
              <w:t>-</w:t>
            </w:r>
          </w:p>
        </w:tc>
      </w:tr>
      <w:tr w:rsidR="00CF2E88" w:rsidRPr="00865F1A" w14:paraId="5E70A186" w14:textId="77777777" w:rsidTr="008762C0">
        <w:trPr>
          <w:trHeight w:val="60"/>
        </w:trPr>
        <w:tc>
          <w:tcPr>
            <w:tcW w:w="502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AC951E1" w14:textId="77777777" w:rsidR="00CF2E88" w:rsidRPr="00865F1A" w:rsidRDefault="00CF2E88" w:rsidP="00E734A1">
            <w:pPr>
              <w:rPr>
                <w:rFonts w:cs="Arial"/>
                <w:color w:val="000000"/>
                <w:sz w:val="18"/>
                <w:szCs w:val="18"/>
              </w:rPr>
            </w:pPr>
            <w:r w:rsidRPr="00865F1A">
              <w:rPr>
                <w:rFonts w:cs="Arial"/>
                <w:color w:val="000000"/>
                <w:sz w:val="18"/>
                <w:szCs w:val="18"/>
              </w:rPr>
              <w:t>% completed of NHS Health Checks offered (Cumulative)</w:t>
            </w:r>
          </w:p>
        </w:tc>
        <w:tc>
          <w:tcPr>
            <w:tcW w:w="1465" w:type="dxa"/>
            <w:tcBorders>
              <w:top w:val="nil"/>
              <w:left w:val="nil"/>
              <w:bottom w:val="single" w:sz="8" w:space="0" w:color="auto"/>
              <w:right w:val="single" w:sz="8" w:space="0" w:color="auto"/>
            </w:tcBorders>
            <w:shd w:val="clear" w:color="auto" w:fill="auto"/>
            <w:vAlign w:val="center"/>
            <w:hideMark/>
          </w:tcPr>
          <w:p w14:paraId="7856FECD" w14:textId="77777777" w:rsidR="00CF2E88" w:rsidRPr="00865F1A" w:rsidRDefault="00CF2E88" w:rsidP="00E734A1">
            <w:pPr>
              <w:jc w:val="center"/>
              <w:rPr>
                <w:rFonts w:cs="Arial"/>
                <w:color w:val="000000"/>
                <w:sz w:val="18"/>
                <w:szCs w:val="18"/>
              </w:rPr>
            </w:pPr>
            <w:r w:rsidRPr="00865F1A">
              <w:rPr>
                <w:rFonts w:cs="Arial"/>
                <w:color w:val="000000"/>
                <w:sz w:val="18"/>
                <w:szCs w:val="18"/>
              </w:rPr>
              <w:t>H</w:t>
            </w:r>
          </w:p>
        </w:tc>
        <w:tc>
          <w:tcPr>
            <w:tcW w:w="1134" w:type="dxa"/>
            <w:tcBorders>
              <w:top w:val="nil"/>
              <w:left w:val="nil"/>
              <w:bottom w:val="single" w:sz="8" w:space="0" w:color="auto"/>
              <w:right w:val="single" w:sz="8" w:space="0" w:color="auto"/>
            </w:tcBorders>
            <w:shd w:val="clear" w:color="auto" w:fill="auto"/>
            <w:vAlign w:val="center"/>
            <w:hideMark/>
          </w:tcPr>
          <w:p w14:paraId="3C79E50D" w14:textId="77777777" w:rsidR="00CF2E88" w:rsidRPr="00865F1A" w:rsidRDefault="00CF2E88" w:rsidP="00E734A1">
            <w:pPr>
              <w:jc w:val="center"/>
              <w:rPr>
                <w:rFonts w:cs="Arial"/>
                <w:color w:val="000000"/>
                <w:sz w:val="18"/>
                <w:szCs w:val="18"/>
              </w:rPr>
            </w:pPr>
            <w:r>
              <w:rPr>
                <w:rFonts w:cs="Arial"/>
                <w:color w:val="000000"/>
                <w:sz w:val="18"/>
                <w:szCs w:val="18"/>
              </w:rPr>
              <w:t>62.1</w:t>
            </w:r>
            <w:r w:rsidRPr="00865F1A">
              <w:rPr>
                <w:rFonts w:cs="Arial"/>
                <w:color w:val="000000"/>
                <w:sz w:val="18"/>
                <w:szCs w:val="18"/>
              </w:rPr>
              <w:t>%</w:t>
            </w:r>
          </w:p>
        </w:tc>
        <w:tc>
          <w:tcPr>
            <w:tcW w:w="1228" w:type="dxa"/>
            <w:tcBorders>
              <w:top w:val="nil"/>
              <w:left w:val="nil"/>
              <w:bottom w:val="single" w:sz="8" w:space="0" w:color="auto"/>
              <w:right w:val="single" w:sz="8" w:space="0" w:color="auto"/>
            </w:tcBorders>
            <w:shd w:val="clear" w:color="000000" w:fill="C6E0B4"/>
            <w:vAlign w:val="center"/>
            <w:hideMark/>
          </w:tcPr>
          <w:p w14:paraId="2B54F0D3" w14:textId="77777777" w:rsidR="00CF2E88" w:rsidRPr="00865F1A" w:rsidRDefault="00CF2E88" w:rsidP="00E734A1">
            <w:pPr>
              <w:jc w:val="center"/>
              <w:rPr>
                <w:rFonts w:cs="Arial"/>
                <w:color w:val="000000"/>
                <w:sz w:val="18"/>
                <w:szCs w:val="18"/>
              </w:rPr>
            </w:pPr>
            <w:r>
              <w:rPr>
                <w:rFonts w:cs="Arial"/>
                <w:color w:val="000000"/>
                <w:sz w:val="18"/>
                <w:szCs w:val="18"/>
              </w:rPr>
              <w:t>53.1</w:t>
            </w:r>
            <w:r w:rsidRPr="00865F1A">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tcPr>
          <w:p w14:paraId="74A7A4F8" w14:textId="77777777" w:rsidR="00CF2E88" w:rsidRDefault="00CF2E88" w:rsidP="00E734A1">
            <w:pPr>
              <w:jc w:val="center"/>
              <w:rPr>
                <w:rFonts w:cs="Arial"/>
                <w:color w:val="000000"/>
                <w:sz w:val="18"/>
                <w:szCs w:val="18"/>
              </w:rPr>
            </w:pPr>
            <w:r>
              <w:rPr>
                <w:rFonts w:cs="Arial"/>
                <w:color w:val="000000"/>
                <w:sz w:val="18"/>
                <w:szCs w:val="18"/>
              </w:rPr>
              <w:t>47.9%</w:t>
            </w:r>
          </w:p>
        </w:tc>
      </w:tr>
      <w:tr w:rsidR="00CF2E88" w:rsidRPr="00865F1A" w14:paraId="16356544" w14:textId="77777777" w:rsidTr="008762C0">
        <w:trPr>
          <w:trHeight w:val="60"/>
        </w:trPr>
        <w:tc>
          <w:tcPr>
            <w:tcW w:w="9843"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606CA9" w14:textId="720F9FAE" w:rsidR="00CF2E88" w:rsidRPr="0095316A" w:rsidRDefault="00CF2E88" w:rsidP="00E734A1">
            <w:pPr>
              <w:rPr>
                <w:rFonts w:cs="Arial"/>
                <w:b/>
                <w:bCs/>
                <w:sz w:val="18"/>
                <w:szCs w:val="18"/>
              </w:rPr>
            </w:pPr>
            <w:r w:rsidRPr="0095316A">
              <w:rPr>
                <w:rFonts w:cs="Arial"/>
                <w:b/>
                <w:bCs/>
                <w:sz w:val="18"/>
                <w:szCs w:val="18"/>
              </w:rPr>
              <w:t>Substance Misuse</w:t>
            </w:r>
          </w:p>
        </w:tc>
      </w:tr>
      <w:tr w:rsidR="00CF2E88" w:rsidRPr="00865F1A" w14:paraId="3D6B46EB" w14:textId="77777777" w:rsidTr="008762C0">
        <w:trPr>
          <w:trHeight w:val="60"/>
        </w:trPr>
        <w:tc>
          <w:tcPr>
            <w:tcW w:w="5024" w:type="dxa"/>
            <w:tcBorders>
              <w:top w:val="nil"/>
              <w:left w:val="single" w:sz="8" w:space="0" w:color="auto"/>
              <w:bottom w:val="nil"/>
              <w:right w:val="single" w:sz="8" w:space="0" w:color="auto"/>
            </w:tcBorders>
            <w:shd w:val="clear" w:color="auto" w:fill="auto"/>
            <w:vAlign w:val="center"/>
            <w:hideMark/>
          </w:tcPr>
          <w:p w14:paraId="197A9B53" w14:textId="77777777" w:rsidR="00CF2E88" w:rsidRPr="0095316A" w:rsidRDefault="00CF2E88" w:rsidP="00E734A1">
            <w:pPr>
              <w:rPr>
                <w:rFonts w:cs="Arial"/>
                <w:sz w:val="18"/>
                <w:szCs w:val="18"/>
              </w:rPr>
            </w:pPr>
            <w:r w:rsidRPr="0095316A">
              <w:rPr>
                <w:rFonts w:cs="Arial"/>
                <w:sz w:val="18"/>
                <w:szCs w:val="18"/>
              </w:rPr>
              <w:t>Percentage of women who smoke at time of delivery /prevalence of smoking – latest rolling year up to 31 December 2017</w:t>
            </w:r>
          </w:p>
        </w:tc>
        <w:tc>
          <w:tcPr>
            <w:tcW w:w="1465" w:type="dxa"/>
            <w:tcBorders>
              <w:top w:val="nil"/>
              <w:left w:val="nil"/>
              <w:bottom w:val="single" w:sz="8" w:space="0" w:color="auto"/>
              <w:right w:val="single" w:sz="8" w:space="0" w:color="auto"/>
            </w:tcBorders>
            <w:shd w:val="clear" w:color="auto" w:fill="auto"/>
            <w:hideMark/>
          </w:tcPr>
          <w:p w14:paraId="0FA58CC8" w14:textId="77777777" w:rsidR="00CF2E88" w:rsidRPr="0095316A" w:rsidRDefault="00CF2E88" w:rsidP="008762C0">
            <w:pPr>
              <w:jc w:val="center"/>
              <w:rPr>
                <w:rFonts w:cs="Arial"/>
                <w:sz w:val="18"/>
                <w:szCs w:val="18"/>
              </w:rPr>
            </w:pPr>
            <w:r w:rsidRPr="0095316A">
              <w:rPr>
                <w:rFonts w:cs="Arial"/>
                <w:sz w:val="18"/>
                <w:szCs w:val="18"/>
              </w:rPr>
              <w:t>L</w:t>
            </w:r>
          </w:p>
        </w:tc>
        <w:tc>
          <w:tcPr>
            <w:tcW w:w="1134" w:type="dxa"/>
            <w:tcBorders>
              <w:top w:val="nil"/>
              <w:left w:val="nil"/>
              <w:bottom w:val="single" w:sz="8" w:space="0" w:color="auto"/>
              <w:right w:val="single" w:sz="8" w:space="0" w:color="auto"/>
            </w:tcBorders>
            <w:shd w:val="clear" w:color="auto" w:fill="auto"/>
            <w:hideMark/>
          </w:tcPr>
          <w:p w14:paraId="5D168F06" w14:textId="77777777" w:rsidR="00CF2E88" w:rsidRPr="0095316A" w:rsidRDefault="00CF2E88" w:rsidP="008762C0">
            <w:pPr>
              <w:jc w:val="center"/>
              <w:rPr>
                <w:rFonts w:cs="Arial"/>
                <w:sz w:val="18"/>
                <w:szCs w:val="18"/>
              </w:rPr>
            </w:pPr>
            <w:r w:rsidRPr="0095316A">
              <w:rPr>
                <w:rFonts w:cs="Arial"/>
                <w:sz w:val="18"/>
                <w:szCs w:val="18"/>
              </w:rPr>
              <w:t>14.7%</w:t>
            </w:r>
          </w:p>
        </w:tc>
        <w:tc>
          <w:tcPr>
            <w:tcW w:w="1228" w:type="dxa"/>
            <w:tcBorders>
              <w:top w:val="nil"/>
              <w:left w:val="nil"/>
              <w:bottom w:val="single" w:sz="8" w:space="0" w:color="auto"/>
              <w:right w:val="single" w:sz="8" w:space="0" w:color="auto"/>
            </w:tcBorders>
            <w:shd w:val="clear" w:color="000000" w:fill="C6E0B4"/>
            <w:hideMark/>
          </w:tcPr>
          <w:p w14:paraId="4579C620" w14:textId="77777777" w:rsidR="00CF2E88" w:rsidRPr="0095316A" w:rsidRDefault="00CF2E88" w:rsidP="008762C0">
            <w:pPr>
              <w:jc w:val="center"/>
              <w:rPr>
                <w:rFonts w:cs="Arial"/>
                <w:sz w:val="18"/>
                <w:szCs w:val="18"/>
              </w:rPr>
            </w:pPr>
            <w:r w:rsidRPr="0095316A">
              <w:rPr>
                <w:rFonts w:cs="Arial"/>
                <w:sz w:val="18"/>
                <w:szCs w:val="18"/>
              </w:rPr>
              <w:t>13.8%</w:t>
            </w:r>
          </w:p>
        </w:tc>
        <w:tc>
          <w:tcPr>
            <w:tcW w:w="992" w:type="dxa"/>
            <w:tcBorders>
              <w:top w:val="nil"/>
              <w:left w:val="nil"/>
              <w:bottom w:val="single" w:sz="8" w:space="0" w:color="auto"/>
              <w:right w:val="single" w:sz="8" w:space="0" w:color="auto"/>
            </w:tcBorders>
            <w:shd w:val="clear" w:color="auto" w:fill="auto"/>
          </w:tcPr>
          <w:p w14:paraId="6BB29782" w14:textId="77777777" w:rsidR="00CF2E88" w:rsidRPr="0095316A" w:rsidRDefault="00CF2E88" w:rsidP="008762C0">
            <w:pPr>
              <w:jc w:val="center"/>
              <w:rPr>
                <w:rFonts w:cs="Arial"/>
                <w:sz w:val="18"/>
                <w:szCs w:val="18"/>
              </w:rPr>
            </w:pPr>
            <w:r w:rsidRPr="0095316A">
              <w:rPr>
                <w:rFonts w:cs="Arial"/>
                <w:sz w:val="18"/>
                <w:szCs w:val="18"/>
              </w:rPr>
              <w:t>10.7%</w:t>
            </w:r>
          </w:p>
        </w:tc>
      </w:tr>
      <w:tr w:rsidR="00CF2E88" w:rsidRPr="00865F1A" w14:paraId="6AE67916" w14:textId="77777777" w:rsidTr="008762C0">
        <w:trPr>
          <w:trHeight w:val="60"/>
        </w:trPr>
        <w:tc>
          <w:tcPr>
            <w:tcW w:w="50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8C8667" w14:textId="77777777" w:rsidR="00CF2E88" w:rsidRPr="00865F1A" w:rsidRDefault="00CF2E88" w:rsidP="00E734A1">
            <w:pPr>
              <w:rPr>
                <w:rFonts w:cs="Arial"/>
                <w:color w:val="000000"/>
                <w:sz w:val="18"/>
                <w:szCs w:val="18"/>
              </w:rPr>
            </w:pPr>
            <w:r w:rsidRPr="00865F1A">
              <w:rPr>
                <w:rFonts w:cs="Arial"/>
                <w:color w:val="000000"/>
                <w:sz w:val="18"/>
                <w:szCs w:val="18"/>
              </w:rPr>
              <w:t>People self-reporting to have successfully quit smoking as a percentage of all those setting a quit date.</w:t>
            </w:r>
          </w:p>
        </w:tc>
        <w:tc>
          <w:tcPr>
            <w:tcW w:w="1465" w:type="dxa"/>
            <w:tcBorders>
              <w:top w:val="nil"/>
              <w:left w:val="nil"/>
              <w:bottom w:val="single" w:sz="8" w:space="0" w:color="auto"/>
              <w:right w:val="single" w:sz="8" w:space="0" w:color="auto"/>
            </w:tcBorders>
            <w:shd w:val="clear" w:color="auto" w:fill="auto"/>
            <w:hideMark/>
          </w:tcPr>
          <w:p w14:paraId="450CFFE0" w14:textId="77777777" w:rsidR="00CF2E88" w:rsidRPr="00865F1A" w:rsidRDefault="00CF2E88" w:rsidP="008762C0">
            <w:pPr>
              <w:jc w:val="center"/>
              <w:rPr>
                <w:rFonts w:cs="Arial"/>
                <w:color w:val="000000"/>
                <w:sz w:val="18"/>
                <w:szCs w:val="18"/>
              </w:rPr>
            </w:pPr>
            <w:r w:rsidRPr="00865F1A">
              <w:rPr>
                <w:rFonts w:cs="Arial"/>
                <w:color w:val="000000"/>
                <w:sz w:val="18"/>
                <w:szCs w:val="18"/>
              </w:rPr>
              <w:t>H</w:t>
            </w:r>
          </w:p>
        </w:tc>
        <w:tc>
          <w:tcPr>
            <w:tcW w:w="1134" w:type="dxa"/>
            <w:tcBorders>
              <w:top w:val="nil"/>
              <w:left w:val="nil"/>
              <w:bottom w:val="single" w:sz="8" w:space="0" w:color="auto"/>
              <w:right w:val="single" w:sz="8" w:space="0" w:color="auto"/>
            </w:tcBorders>
            <w:shd w:val="clear" w:color="auto" w:fill="auto"/>
            <w:hideMark/>
          </w:tcPr>
          <w:p w14:paraId="1EC101C7" w14:textId="77777777" w:rsidR="00CF2E88" w:rsidRPr="00865F1A" w:rsidRDefault="00CF2E88" w:rsidP="008762C0">
            <w:pPr>
              <w:jc w:val="center"/>
              <w:rPr>
                <w:rFonts w:cs="Arial"/>
                <w:color w:val="000000"/>
                <w:sz w:val="18"/>
                <w:szCs w:val="18"/>
              </w:rPr>
            </w:pPr>
            <w:r>
              <w:rPr>
                <w:rFonts w:cs="Arial"/>
                <w:color w:val="000000"/>
                <w:sz w:val="18"/>
                <w:szCs w:val="18"/>
              </w:rPr>
              <w:t>47.4</w:t>
            </w:r>
            <w:r w:rsidRPr="00865F1A">
              <w:rPr>
                <w:rFonts w:cs="Arial"/>
                <w:color w:val="000000"/>
                <w:sz w:val="18"/>
                <w:szCs w:val="18"/>
              </w:rPr>
              <w:t>%</w:t>
            </w:r>
          </w:p>
        </w:tc>
        <w:tc>
          <w:tcPr>
            <w:tcW w:w="1228" w:type="dxa"/>
            <w:tcBorders>
              <w:top w:val="nil"/>
              <w:left w:val="nil"/>
              <w:bottom w:val="single" w:sz="8" w:space="0" w:color="auto"/>
              <w:right w:val="single" w:sz="8" w:space="0" w:color="auto"/>
            </w:tcBorders>
            <w:shd w:val="clear" w:color="000000" w:fill="C6E0B4"/>
            <w:hideMark/>
          </w:tcPr>
          <w:p w14:paraId="6D6DFB1E" w14:textId="77777777" w:rsidR="00CF2E88" w:rsidRPr="00865F1A" w:rsidRDefault="00CF2E88" w:rsidP="008762C0">
            <w:pPr>
              <w:jc w:val="center"/>
              <w:rPr>
                <w:rFonts w:cs="Arial"/>
                <w:color w:val="000000"/>
                <w:sz w:val="18"/>
                <w:szCs w:val="18"/>
              </w:rPr>
            </w:pPr>
            <w:r>
              <w:rPr>
                <w:rFonts w:cs="Arial"/>
                <w:color w:val="000000"/>
                <w:sz w:val="18"/>
                <w:szCs w:val="18"/>
              </w:rPr>
              <w:t>51.0</w:t>
            </w:r>
            <w:r w:rsidRPr="00865F1A">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tcPr>
          <w:p w14:paraId="2F47A735" w14:textId="77777777" w:rsidR="00CF2E88" w:rsidRDefault="00CF2E88" w:rsidP="008762C0">
            <w:pPr>
              <w:jc w:val="center"/>
              <w:rPr>
                <w:rFonts w:cs="Arial"/>
                <w:color w:val="000000"/>
                <w:sz w:val="18"/>
                <w:szCs w:val="18"/>
              </w:rPr>
            </w:pPr>
            <w:r>
              <w:rPr>
                <w:rFonts w:cs="Arial"/>
                <w:color w:val="000000"/>
                <w:sz w:val="18"/>
                <w:szCs w:val="18"/>
              </w:rPr>
              <w:t>50.7%</w:t>
            </w:r>
          </w:p>
        </w:tc>
      </w:tr>
      <w:tr w:rsidR="00CF2E88" w:rsidRPr="00865F1A" w14:paraId="1F42A561" w14:textId="77777777" w:rsidTr="008762C0">
        <w:trPr>
          <w:trHeight w:val="60"/>
        </w:trPr>
        <w:tc>
          <w:tcPr>
            <w:tcW w:w="9843" w:type="dxa"/>
            <w:gridSpan w:val="5"/>
            <w:tcBorders>
              <w:top w:val="single" w:sz="8" w:space="0" w:color="auto"/>
              <w:left w:val="single" w:sz="8" w:space="0" w:color="auto"/>
              <w:bottom w:val="single" w:sz="8" w:space="0" w:color="auto"/>
              <w:right w:val="single" w:sz="4" w:space="0" w:color="auto"/>
            </w:tcBorders>
            <w:shd w:val="clear" w:color="000000" w:fill="F2F2F2"/>
            <w:vAlign w:val="center"/>
            <w:hideMark/>
          </w:tcPr>
          <w:p w14:paraId="4653FDF6" w14:textId="5DBF7A16" w:rsidR="00CF2E88" w:rsidRPr="00865F1A" w:rsidRDefault="00CF2E88" w:rsidP="00E734A1">
            <w:pPr>
              <w:rPr>
                <w:rFonts w:cs="Arial"/>
                <w:b/>
                <w:bCs/>
                <w:color w:val="000000"/>
                <w:sz w:val="18"/>
                <w:szCs w:val="18"/>
              </w:rPr>
            </w:pPr>
            <w:r w:rsidRPr="00865F1A">
              <w:rPr>
                <w:rFonts w:cs="Arial"/>
                <w:b/>
                <w:bCs/>
                <w:color w:val="000000"/>
                <w:sz w:val="18"/>
                <w:szCs w:val="18"/>
              </w:rPr>
              <w:t>Troubled Families Unit</w:t>
            </w:r>
          </w:p>
        </w:tc>
      </w:tr>
      <w:tr w:rsidR="00CF2E88" w:rsidRPr="00865F1A" w14:paraId="7FA08813" w14:textId="77777777" w:rsidTr="008762C0">
        <w:trPr>
          <w:trHeight w:val="321"/>
        </w:trPr>
        <w:tc>
          <w:tcPr>
            <w:tcW w:w="5024" w:type="dxa"/>
            <w:tcBorders>
              <w:top w:val="nil"/>
              <w:left w:val="single" w:sz="8" w:space="0" w:color="auto"/>
              <w:bottom w:val="single" w:sz="8" w:space="0" w:color="auto"/>
              <w:right w:val="nil"/>
            </w:tcBorders>
            <w:shd w:val="clear" w:color="000000" w:fill="F2F2F2"/>
            <w:vAlign w:val="center"/>
            <w:hideMark/>
          </w:tcPr>
          <w:p w14:paraId="5ACF3A00" w14:textId="77777777" w:rsidR="00CF2E88" w:rsidRPr="00865F1A" w:rsidRDefault="00CF2E88" w:rsidP="00E734A1">
            <w:pPr>
              <w:rPr>
                <w:rFonts w:cs="Arial"/>
                <w:b/>
                <w:bCs/>
                <w:color w:val="000000"/>
                <w:sz w:val="18"/>
                <w:szCs w:val="18"/>
              </w:rPr>
            </w:pPr>
            <w:r w:rsidRPr="00865F1A">
              <w:rPr>
                <w:rFonts w:cs="Arial"/>
                <w:b/>
                <w:bCs/>
                <w:color w:val="000000"/>
                <w:sz w:val="18"/>
                <w:szCs w:val="18"/>
              </w:rPr>
              <w:t> </w:t>
            </w:r>
          </w:p>
        </w:tc>
        <w:tc>
          <w:tcPr>
            <w:tcW w:w="1465" w:type="dxa"/>
            <w:tcBorders>
              <w:top w:val="nil"/>
              <w:left w:val="single" w:sz="8" w:space="0" w:color="auto"/>
              <w:bottom w:val="single" w:sz="8" w:space="0" w:color="auto"/>
              <w:right w:val="single" w:sz="8" w:space="0" w:color="auto"/>
            </w:tcBorders>
            <w:shd w:val="clear" w:color="000000" w:fill="F2F2F2"/>
            <w:vAlign w:val="center"/>
            <w:hideMark/>
          </w:tcPr>
          <w:p w14:paraId="5AF101F1" w14:textId="77777777" w:rsidR="00CF2E88" w:rsidRPr="00865F1A" w:rsidRDefault="00CF2E88" w:rsidP="008762C0">
            <w:pPr>
              <w:jc w:val="center"/>
              <w:rPr>
                <w:rFonts w:cs="Arial"/>
                <w:b/>
                <w:bCs/>
                <w:color w:val="000000"/>
                <w:sz w:val="18"/>
                <w:szCs w:val="18"/>
              </w:rPr>
            </w:pPr>
            <w:r w:rsidRPr="00865F1A">
              <w:rPr>
                <w:rFonts w:cs="Arial"/>
                <w:b/>
                <w:bCs/>
                <w:color w:val="000000"/>
                <w:sz w:val="18"/>
                <w:szCs w:val="18"/>
              </w:rPr>
              <w:t>Good is High or Low</w:t>
            </w:r>
          </w:p>
        </w:tc>
        <w:tc>
          <w:tcPr>
            <w:tcW w:w="1134" w:type="dxa"/>
            <w:tcBorders>
              <w:top w:val="nil"/>
              <w:left w:val="nil"/>
              <w:bottom w:val="nil"/>
              <w:right w:val="single" w:sz="8" w:space="0" w:color="auto"/>
            </w:tcBorders>
            <w:shd w:val="clear" w:color="000000" w:fill="F2F2F2"/>
            <w:vAlign w:val="center"/>
            <w:hideMark/>
          </w:tcPr>
          <w:p w14:paraId="6AE462A0" w14:textId="77777777" w:rsidR="00CF2E88" w:rsidRPr="00865F1A" w:rsidRDefault="00CF2E88" w:rsidP="008762C0">
            <w:pPr>
              <w:jc w:val="center"/>
              <w:rPr>
                <w:rFonts w:cs="Arial"/>
                <w:b/>
                <w:bCs/>
                <w:color w:val="000000"/>
                <w:sz w:val="18"/>
                <w:szCs w:val="18"/>
              </w:rPr>
            </w:pPr>
            <w:r w:rsidRPr="00865F1A">
              <w:rPr>
                <w:rFonts w:cs="Arial"/>
                <w:b/>
                <w:bCs/>
                <w:color w:val="000000"/>
                <w:sz w:val="18"/>
                <w:szCs w:val="18"/>
              </w:rPr>
              <w:t>2016/17</w:t>
            </w:r>
          </w:p>
        </w:tc>
        <w:tc>
          <w:tcPr>
            <w:tcW w:w="1228" w:type="dxa"/>
            <w:tcBorders>
              <w:top w:val="nil"/>
              <w:left w:val="nil"/>
              <w:bottom w:val="nil"/>
              <w:right w:val="single" w:sz="8" w:space="0" w:color="auto"/>
            </w:tcBorders>
            <w:shd w:val="clear" w:color="000000" w:fill="F2F2F2"/>
            <w:vAlign w:val="center"/>
            <w:hideMark/>
          </w:tcPr>
          <w:p w14:paraId="56A8796D" w14:textId="77777777" w:rsidR="00CF2E88" w:rsidRPr="00865F1A" w:rsidRDefault="00CF2E88" w:rsidP="008762C0">
            <w:pPr>
              <w:jc w:val="center"/>
              <w:rPr>
                <w:rFonts w:cs="Arial"/>
                <w:b/>
                <w:bCs/>
                <w:color w:val="000000"/>
                <w:sz w:val="18"/>
                <w:szCs w:val="18"/>
              </w:rPr>
            </w:pPr>
            <w:r w:rsidRPr="00865F1A">
              <w:rPr>
                <w:rFonts w:cs="Arial"/>
                <w:b/>
                <w:bCs/>
                <w:color w:val="000000"/>
                <w:sz w:val="18"/>
                <w:szCs w:val="18"/>
              </w:rPr>
              <w:t>17/18 year to date</w:t>
            </w:r>
          </w:p>
        </w:tc>
        <w:tc>
          <w:tcPr>
            <w:tcW w:w="992" w:type="dxa"/>
            <w:tcBorders>
              <w:top w:val="nil"/>
              <w:left w:val="nil"/>
              <w:bottom w:val="single" w:sz="4" w:space="0" w:color="auto"/>
              <w:right w:val="single" w:sz="8" w:space="0" w:color="auto"/>
            </w:tcBorders>
            <w:shd w:val="clear" w:color="000000" w:fill="F2F2F2"/>
            <w:vAlign w:val="center"/>
          </w:tcPr>
          <w:p w14:paraId="18473A9E" w14:textId="0CDA6077" w:rsidR="00CF2E88" w:rsidRPr="00865F1A" w:rsidRDefault="00CF2E88" w:rsidP="008762C0">
            <w:pPr>
              <w:jc w:val="center"/>
              <w:rPr>
                <w:rFonts w:cs="Arial"/>
                <w:b/>
                <w:bCs/>
                <w:color w:val="000000"/>
                <w:sz w:val="18"/>
                <w:szCs w:val="18"/>
              </w:rPr>
            </w:pPr>
            <w:r>
              <w:rPr>
                <w:rFonts w:cs="Arial"/>
                <w:b/>
                <w:bCs/>
                <w:color w:val="000000"/>
                <w:sz w:val="18"/>
                <w:szCs w:val="18"/>
              </w:rPr>
              <w:t>England Average</w:t>
            </w:r>
          </w:p>
        </w:tc>
      </w:tr>
      <w:tr w:rsidR="00CF2E88" w:rsidRPr="00865F1A" w14:paraId="44C59A47" w14:textId="77777777" w:rsidTr="008762C0">
        <w:trPr>
          <w:trHeight w:val="171"/>
        </w:trPr>
        <w:tc>
          <w:tcPr>
            <w:tcW w:w="5024" w:type="dxa"/>
            <w:tcBorders>
              <w:top w:val="nil"/>
              <w:left w:val="single" w:sz="8" w:space="0" w:color="auto"/>
              <w:bottom w:val="single" w:sz="4" w:space="0" w:color="auto"/>
              <w:right w:val="nil"/>
            </w:tcBorders>
            <w:shd w:val="clear" w:color="auto" w:fill="auto"/>
            <w:vAlign w:val="center"/>
            <w:hideMark/>
          </w:tcPr>
          <w:p w14:paraId="4C914872" w14:textId="77777777" w:rsidR="00CF2E88" w:rsidRPr="00865F1A" w:rsidRDefault="00CF2E88" w:rsidP="00E734A1">
            <w:pPr>
              <w:rPr>
                <w:rFonts w:cs="Arial"/>
                <w:color w:val="000000"/>
                <w:sz w:val="18"/>
                <w:szCs w:val="18"/>
              </w:rPr>
            </w:pPr>
            <w:r w:rsidRPr="00865F1A">
              <w:rPr>
                <w:rFonts w:cs="Arial"/>
                <w:color w:val="000000"/>
                <w:sz w:val="18"/>
                <w:szCs w:val="18"/>
              </w:rPr>
              <w:t>- Number of families attached to the programme</w:t>
            </w:r>
          </w:p>
        </w:tc>
        <w:tc>
          <w:tcPr>
            <w:tcW w:w="1465" w:type="dxa"/>
            <w:tcBorders>
              <w:top w:val="nil"/>
              <w:left w:val="single" w:sz="8" w:space="0" w:color="auto"/>
              <w:bottom w:val="single" w:sz="8" w:space="0" w:color="auto"/>
              <w:right w:val="single" w:sz="8" w:space="0" w:color="auto"/>
            </w:tcBorders>
            <w:shd w:val="clear" w:color="auto" w:fill="auto"/>
            <w:vAlign w:val="center"/>
            <w:hideMark/>
          </w:tcPr>
          <w:p w14:paraId="7C952DE1" w14:textId="77777777" w:rsidR="00CF2E88" w:rsidRPr="00865F1A" w:rsidRDefault="00CF2E88" w:rsidP="00E734A1">
            <w:pPr>
              <w:jc w:val="center"/>
              <w:rPr>
                <w:rFonts w:cs="Arial"/>
                <w:color w:val="000000"/>
                <w:sz w:val="18"/>
                <w:szCs w:val="18"/>
              </w:rPr>
            </w:pPr>
            <w:r w:rsidRPr="00865F1A">
              <w:rPr>
                <w:rFonts w:cs="Arial"/>
                <w:color w:val="000000"/>
                <w:sz w:val="18"/>
                <w:szCs w:val="18"/>
              </w:rPr>
              <w:t>H</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0E033C" w14:textId="77777777" w:rsidR="00CF2E88" w:rsidRPr="00865F1A" w:rsidRDefault="00CF2E88" w:rsidP="00E734A1">
            <w:pPr>
              <w:jc w:val="center"/>
              <w:rPr>
                <w:rFonts w:cs="Arial"/>
                <w:color w:val="000000"/>
                <w:sz w:val="18"/>
                <w:szCs w:val="18"/>
              </w:rPr>
            </w:pPr>
            <w:r w:rsidRPr="00865F1A">
              <w:rPr>
                <w:rFonts w:cs="Arial"/>
                <w:color w:val="000000"/>
                <w:sz w:val="18"/>
                <w:szCs w:val="18"/>
              </w:rPr>
              <w:t>4,305 (Q4, 2016/17)</w:t>
            </w:r>
          </w:p>
        </w:tc>
        <w:tc>
          <w:tcPr>
            <w:tcW w:w="1228" w:type="dxa"/>
            <w:tcBorders>
              <w:top w:val="single" w:sz="8" w:space="0" w:color="auto"/>
              <w:left w:val="nil"/>
              <w:bottom w:val="single" w:sz="8" w:space="0" w:color="auto"/>
              <w:right w:val="single" w:sz="8" w:space="0" w:color="auto"/>
            </w:tcBorders>
            <w:shd w:val="clear" w:color="000000" w:fill="F8CBAD"/>
            <w:vAlign w:val="center"/>
            <w:hideMark/>
          </w:tcPr>
          <w:p w14:paraId="6E9EB6E3" w14:textId="77777777" w:rsidR="00CF2E88" w:rsidRPr="00865F1A" w:rsidRDefault="00CF2E88" w:rsidP="00E734A1">
            <w:pPr>
              <w:jc w:val="center"/>
              <w:rPr>
                <w:rFonts w:cs="Arial"/>
                <w:sz w:val="18"/>
                <w:szCs w:val="18"/>
              </w:rPr>
            </w:pPr>
            <w:r w:rsidRPr="00865F1A">
              <w:rPr>
                <w:rFonts w:cs="Arial"/>
                <w:sz w:val="18"/>
                <w:szCs w:val="18"/>
              </w:rPr>
              <w:t>8,647</w:t>
            </w:r>
          </w:p>
        </w:tc>
        <w:tc>
          <w:tcPr>
            <w:tcW w:w="992" w:type="dxa"/>
            <w:tcBorders>
              <w:top w:val="single" w:sz="4" w:space="0" w:color="auto"/>
              <w:left w:val="nil"/>
              <w:bottom w:val="single" w:sz="8" w:space="0" w:color="auto"/>
              <w:right w:val="single" w:sz="8" w:space="0" w:color="auto"/>
            </w:tcBorders>
            <w:shd w:val="clear" w:color="auto" w:fill="auto"/>
            <w:vAlign w:val="center"/>
          </w:tcPr>
          <w:p w14:paraId="59DB151B" w14:textId="77777777" w:rsidR="00CF2E88" w:rsidRPr="00865F1A" w:rsidRDefault="00CF2E88" w:rsidP="00E734A1">
            <w:pPr>
              <w:jc w:val="center"/>
              <w:rPr>
                <w:rFonts w:cs="Arial"/>
                <w:sz w:val="18"/>
                <w:szCs w:val="18"/>
              </w:rPr>
            </w:pPr>
            <w:r>
              <w:rPr>
                <w:rFonts w:cs="Arial"/>
                <w:color w:val="000000"/>
                <w:sz w:val="18"/>
                <w:szCs w:val="18"/>
              </w:rPr>
              <w:t>n/a</w:t>
            </w:r>
          </w:p>
        </w:tc>
      </w:tr>
      <w:tr w:rsidR="00CF2E88" w:rsidRPr="00865F1A" w14:paraId="174B0721" w14:textId="77777777" w:rsidTr="008762C0">
        <w:trPr>
          <w:trHeight w:val="175"/>
        </w:trPr>
        <w:tc>
          <w:tcPr>
            <w:tcW w:w="5024" w:type="dxa"/>
            <w:tcBorders>
              <w:top w:val="single" w:sz="4" w:space="0" w:color="auto"/>
              <w:left w:val="single" w:sz="8" w:space="0" w:color="auto"/>
              <w:bottom w:val="single" w:sz="8" w:space="0" w:color="auto"/>
              <w:right w:val="nil"/>
            </w:tcBorders>
            <w:shd w:val="clear" w:color="auto" w:fill="auto"/>
            <w:vAlign w:val="center"/>
            <w:hideMark/>
          </w:tcPr>
          <w:p w14:paraId="6BBC7E17" w14:textId="77777777" w:rsidR="00CF2E88" w:rsidRPr="00865F1A" w:rsidRDefault="00CF2E88" w:rsidP="00E734A1">
            <w:pPr>
              <w:rPr>
                <w:rFonts w:cs="Arial"/>
                <w:color w:val="000000"/>
                <w:sz w:val="18"/>
                <w:szCs w:val="18"/>
              </w:rPr>
            </w:pPr>
            <w:r w:rsidRPr="00865F1A">
              <w:rPr>
                <w:rFonts w:cs="Arial"/>
                <w:color w:val="000000"/>
                <w:sz w:val="18"/>
                <w:szCs w:val="18"/>
              </w:rPr>
              <w:t>- Payment by results claims (submitted to the DCLG)</w:t>
            </w:r>
          </w:p>
        </w:tc>
        <w:tc>
          <w:tcPr>
            <w:tcW w:w="1465" w:type="dxa"/>
            <w:tcBorders>
              <w:top w:val="nil"/>
              <w:left w:val="single" w:sz="8" w:space="0" w:color="auto"/>
              <w:bottom w:val="single" w:sz="8" w:space="0" w:color="auto"/>
              <w:right w:val="single" w:sz="8" w:space="0" w:color="auto"/>
            </w:tcBorders>
            <w:shd w:val="clear" w:color="auto" w:fill="auto"/>
            <w:vAlign w:val="center"/>
            <w:hideMark/>
          </w:tcPr>
          <w:p w14:paraId="393E3290" w14:textId="77777777" w:rsidR="00CF2E88" w:rsidRPr="00865F1A" w:rsidRDefault="00CF2E88" w:rsidP="00E734A1">
            <w:pPr>
              <w:jc w:val="center"/>
              <w:rPr>
                <w:rFonts w:cs="Arial"/>
                <w:color w:val="000000"/>
                <w:sz w:val="18"/>
                <w:szCs w:val="18"/>
              </w:rPr>
            </w:pPr>
            <w:r w:rsidRPr="00865F1A">
              <w:rPr>
                <w:rFonts w:cs="Arial"/>
                <w:color w:val="000000"/>
                <w:sz w:val="18"/>
                <w:szCs w:val="18"/>
              </w:rPr>
              <w:t>H</w:t>
            </w:r>
          </w:p>
        </w:tc>
        <w:tc>
          <w:tcPr>
            <w:tcW w:w="1134" w:type="dxa"/>
            <w:tcBorders>
              <w:top w:val="nil"/>
              <w:left w:val="nil"/>
              <w:bottom w:val="single" w:sz="8" w:space="0" w:color="auto"/>
              <w:right w:val="single" w:sz="8" w:space="0" w:color="auto"/>
            </w:tcBorders>
            <w:shd w:val="clear" w:color="auto" w:fill="auto"/>
            <w:vAlign w:val="center"/>
            <w:hideMark/>
          </w:tcPr>
          <w:p w14:paraId="2226A20B" w14:textId="77777777" w:rsidR="00CF2E88" w:rsidRPr="00865F1A" w:rsidRDefault="00CF2E88" w:rsidP="00E734A1">
            <w:pPr>
              <w:jc w:val="center"/>
              <w:rPr>
                <w:rFonts w:cs="Arial"/>
                <w:sz w:val="18"/>
                <w:szCs w:val="18"/>
              </w:rPr>
            </w:pPr>
            <w:r w:rsidRPr="00865F1A">
              <w:rPr>
                <w:rFonts w:cs="Arial"/>
                <w:sz w:val="18"/>
                <w:szCs w:val="18"/>
              </w:rPr>
              <w:t>841 (2017)</w:t>
            </w:r>
          </w:p>
        </w:tc>
        <w:tc>
          <w:tcPr>
            <w:tcW w:w="1228" w:type="dxa"/>
            <w:tcBorders>
              <w:top w:val="nil"/>
              <w:left w:val="nil"/>
              <w:bottom w:val="single" w:sz="8" w:space="0" w:color="auto"/>
              <w:right w:val="single" w:sz="8" w:space="0" w:color="auto"/>
            </w:tcBorders>
            <w:shd w:val="clear" w:color="000000" w:fill="C6E0B4"/>
            <w:vAlign w:val="center"/>
            <w:hideMark/>
          </w:tcPr>
          <w:p w14:paraId="3F2350C5" w14:textId="77777777" w:rsidR="00CF2E88" w:rsidRPr="00865F1A" w:rsidRDefault="00CF2E88" w:rsidP="00E734A1">
            <w:pPr>
              <w:jc w:val="center"/>
              <w:rPr>
                <w:rFonts w:cs="Arial"/>
                <w:sz w:val="18"/>
                <w:szCs w:val="18"/>
              </w:rPr>
            </w:pPr>
            <w:r w:rsidRPr="00865F1A">
              <w:rPr>
                <w:rFonts w:cs="Arial"/>
                <w:sz w:val="18"/>
                <w:szCs w:val="18"/>
              </w:rPr>
              <w:t xml:space="preserve">2,097 </w:t>
            </w:r>
            <w:r>
              <w:rPr>
                <w:rFonts w:cs="Arial"/>
                <w:sz w:val="18"/>
                <w:szCs w:val="18"/>
              </w:rPr>
              <w:t>(rolling figure)</w:t>
            </w:r>
          </w:p>
        </w:tc>
        <w:tc>
          <w:tcPr>
            <w:tcW w:w="992" w:type="dxa"/>
            <w:tcBorders>
              <w:top w:val="nil"/>
              <w:left w:val="nil"/>
              <w:bottom w:val="single" w:sz="8" w:space="0" w:color="auto"/>
              <w:right w:val="single" w:sz="8" w:space="0" w:color="auto"/>
            </w:tcBorders>
            <w:shd w:val="clear" w:color="auto" w:fill="auto"/>
            <w:vAlign w:val="center"/>
          </w:tcPr>
          <w:p w14:paraId="48DE6810" w14:textId="77777777" w:rsidR="00CF2E88" w:rsidRPr="00865F1A" w:rsidRDefault="00CF2E88" w:rsidP="00E734A1">
            <w:pPr>
              <w:jc w:val="center"/>
              <w:rPr>
                <w:rFonts w:cs="Arial"/>
                <w:sz w:val="18"/>
                <w:szCs w:val="18"/>
              </w:rPr>
            </w:pPr>
            <w:r>
              <w:rPr>
                <w:rFonts w:cs="Arial"/>
                <w:color w:val="000000"/>
                <w:sz w:val="18"/>
                <w:szCs w:val="18"/>
              </w:rPr>
              <w:t>n/a</w:t>
            </w:r>
          </w:p>
        </w:tc>
      </w:tr>
    </w:tbl>
    <w:p w14:paraId="08418702" w14:textId="77777777" w:rsidR="009631EC" w:rsidRDefault="009631EC" w:rsidP="003A0BC3">
      <w:pPr>
        <w:contextualSpacing/>
        <w:rPr>
          <w:rFonts w:eastAsiaTheme="minorHAnsi" w:cs="Arial"/>
          <w:szCs w:val="24"/>
          <w:lang w:eastAsia="en-US"/>
        </w:rPr>
      </w:pPr>
    </w:p>
    <w:p w14:paraId="73E13ABD" w14:textId="77777777" w:rsidR="008762C0" w:rsidRPr="00925E3D" w:rsidRDefault="008762C0" w:rsidP="003A0BC3">
      <w:pPr>
        <w:contextualSpacing/>
        <w:rPr>
          <w:rFonts w:eastAsiaTheme="minorHAnsi" w:cs="Arial"/>
          <w:szCs w:val="24"/>
          <w:lang w:eastAsia="en-US"/>
        </w:rPr>
      </w:pPr>
    </w:p>
    <w:p w14:paraId="54E50CC6" w14:textId="77777777" w:rsidR="00AD58A2" w:rsidRDefault="00AD58A2" w:rsidP="003A0BC3">
      <w:pPr>
        <w:contextualSpacing/>
        <w:rPr>
          <w:rFonts w:eastAsiaTheme="minorHAnsi" w:cs="Arial"/>
          <w:i/>
          <w:szCs w:val="24"/>
          <w:lang w:eastAsia="en-US"/>
        </w:rPr>
      </w:pPr>
      <w:r w:rsidRPr="00B36279">
        <w:rPr>
          <w:rFonts w:eastAsiaTheme="minorHAnsi" w:cs="Arial"/>
          <w:i/>
          <w:szCs w:val="24"/>
          <w:lang w:eastAsia="en-US"/>
        </w:rPr>
        <w:lastRenderedPageBreak/>
        <w:t>Health Checks</w:t>
      </w:r>
    </w:p>
    <w:p w14:paraId="1EC39EE0" w14:textId="77777777" w:rsidR="0024155D" w:rsidRPr="00B36279" w:rsidRDefault="0024155D" w:rsidP="003A0BC3">
      <w:pPr>
        <w:contextualSpacing/>
        <w:rPr>
          <w:rFonts w:eastAsiaTheme="minorEastAsia" w:cs="Arial"/>
          <w:i/>
          <w:szCs w:val="24"/>
        </w:rPr>
      </w:pPr>
    </w:p>
    <w:p w14:paraId="7227F8D8" w14:textId="617A81C4" w:rsidR="00AD58A2" w:rsidRPr="00B36279" w:rsidRDefault="00174A91" w:rsidP="00FB2A23">
      <w:pPr>
        <w:jc w:val="both"/>
        <w:rPr>
          <w:rFonts w:eastAsiaTheme="minorHAnsi" w:cs="Arial"/>
          <w:szCs w:val="24"/>
          <w:lang w:eastAsia="en-US"/>
        </w:rPr>
      </w:pPr>
      <w:r w:rsidRPr="00B36279">
        <w:rPr>
          <w:rFonts w:eastAsiaTheme="minorHAnsi" w:cs="Arial"/>
          <w:szCs w:val="24"/>
          <w:lang w:eastAsia="en-US"/>
        </w:rPr>
        <w:t xml:space="preserve">This is a </w:t>
      </w:r>
      <w:r w:rsidR="00AD58A2" w:rsidRPr="00B36279">
        <w:rPr>
          <w:rFonts w:eastAsiaTheme="minorHAnsi" w:cs="Arial"/>
          <w:szCs w:val="24"/>
          <w:lang w:eastAsia="en-US"/>
        </w:rPr>
        <w:t>5 year</w:t>
      </w:r>
      <w:r w:rsidRPr="00B36279">
        <w:rPr>
          <w:rFonts w:eastAsiaTheme="minorHAnsi" w:cs="Arial"/>
          <w:szCs w:val="24"/>
          <w:lang w:eastAsia="en-US"/>
        </w:rPr>
        <w:t xml:space="preserve"> programme (2013/14 – 2017/18).  A</w:t>
      </w:r>
      <w:r w:rsidR="00AD58A2" w:rsidRPr="00B36279">
        <w:rPr>
          <w:rFonts w:eastAsiaTheme="minorHAnsi" w:cs="Arial"/>
          <w:szCs w:val="24"/>
          <w:lang w:eastAsia="en-US"/>
        </w:rPr>
        <w:t xml:space="preserve">s of </w:t>
      </w:r>
      <w:r w:rsidR="00B36279" w:rsidRPr="00B36279">
        <w:rPr>
          <w:rFonts w:eastAsiaTheme="minorHAnsi" w:cs="Arial"/>
          <w:szCs w:val="24"/>
          <w:lang w:eastAsia="en-US"/>
        </w:rPr>
        <w:t>March 2018</w:t>
      </w:r>
      <w:r w:rsidRPr="00B36279">
        <w:rPr>
          <w:rFonts w:eastAsiaTheme="minorHAnsi" w:cs="Arial"/>
          <w:szCs w:val="24"/>
          <w:lang w:eastAsia="en-US"/>
        </w:rPr>
        <w:t>,</w:t>
      </w:r>
      <w:r w:rsidR="00B36279" w:rsidRPr="00B36279">
        <w:rPr>
          <w:rFonts w:eastAsiaTheme="minorHAnsi" w:cs="Arial"/>
          <w:szCs w:val="24"/>
          <w:lang w:eastAsia="en-US"/>
        </w:rPr>
        <w:t xml:space="preserve"> 97.6</w:t>
      </w:r>
      <w:r w:rsidR="00AD58A2" w:rsidRPr="00B36279">
        <w:rPr>
          <w:rFonts w:eastAsiaTheme="minorHAnsi" w:cs="Arial"/>
          <w:szCs w:val="24"/>
          <w:lang w:eastAsia="en-US"/>
        </w:rPr>
        <w:t xml:space="preserve">% of the eligible population (aged 40 – 74) have been offered a Health Check (the target is for all eligible people to be offered one check over the 5 year programme).  Steady improvements have been made to the number of NHS health checks completed since the beginning of the programme (current uptake across the programme is 57.7%).  </w:t>
      </w:r>
    </w:p>
    <w:p w14:paraId="02826C69" w14:textId="77777777" w:rsidR="00AD58A2" w:rsidRPr="00925E3D" w:rsidRDefault="00AD58A2" w:rsidP="003A0BC3">
      <w:pPr>
        <w:rPr>
          <w:rFonts w:eastAsiaTheme="minorHAnsi" w:cs="Arial"/>
          <w:color w:val="FF0000"/>
          <w:szCs w:val="24"/>
        </w:rPr>
      </w:pPr>
    </w:p>
    <w:p w14:paraId="6085A806" w14:textId="77777777" w:rsidR="00865F1A" w:rsidRDefault="00865F1A" w:rsidP="003A0BC3">
      <w:pPr>
        <w:rPr>
          <w:i/>
          <w:iCs/>
        </w:rPr>
      </w:pPr>
      <w:r>
        <w:rPr>
          <w:i/>
          <w:iCs/>
        </w:rPr>
        <w:t>Troubled Families Unit</w:t>
      </w:r>
    </w:p>
    <w:p w14:paraId="51B2AF1F" w14:textId="77777777" w:rsidR="0024155D" w:rsidRDefault="0024155D" w:rsidP="003A0BC3">
      <w:pPr>
        <w:rPr>
          <w:rFonts w:ascii="Calibri" w:hAnsi="Calibri"/>
          <w:i/>
          <w:iCs/>
          <w:sz w:val="22"/>
        </w:rPr>
      </w:pPr>
    </w:p>
    <w:p w14:paraId="76FE8C02" w14:textId="2A7EBE04" w:rsidR="007314C2" w:rsidRDefault="00A0374B" w:rsidP="00FB2A23">
      <w:pPr>
        <w:jc w:val="both"/>
      </w:pPr>
      <w:r>
        <w:t>There have been strong efforts to recover performance which was lagging behind target at December 2017 for 'payment by results' claims.  These claims are made when there is evidence of significant and sustained improvement in a family's circumstances and so it is pleasing to report that at the end of 17/18, the target was exceeded with 2,097</w:t>
      </w:r>
      <w:r w:rsidR="008F0FC1">
        <w:t xml:space="preserve"> payment by results</w:t>
      </w:r>
      <w:r>
        <w:t xml:space="preserve"> claims achieved. </w:t>
      </w:r>
    </w:p>
    <w:p w14:paraId="4626E8DC" w14:textId="77777777" w:rsidR="00A27CDB" w:rsidRDefault="00A27CDB" w:rsidP="00FB2A23">
      <w:pPr>
        <w:jc w:val="both"/>
      </w:pPr>
    </w:p>
    <w:p w14:paraId="740E3C45" w14:textId="59E0FB68" w:rsidR="00865F1A" w:rsidRDefault="00A0374B" w:rsidP="00FB2A23">
      <w:pPr>
        <w:jc w:val="both"/>
      </w:pPr>
      <w:r>
        <w:t>P</w:t>
      </w:r>
      <w:r w:rsidR="008F0FC1">
        <w:t>ayment by results</w:t>
      </w:r>
      <w:r>
        <w:t xml:space="preserve"> quarterly targets to 31 </w:t>
      </w:r>
      <w:r w:rsidR="00865F1A">
        <w:t>March 2019 have been established allowing an action plan to be devised which will focus efforts throughout the year and ensure that the positive momentum is maintained.  The aim is to achieve</w:t>
      </w:r>
      <w:r w:rsidR="008F0FC1">
        <w:t xml:space="preserve"> as close as possible to 2,500 payment by results </w:t>
      </w:r>
      <w:r w:rsidR="00865F1A">
        <w:t>claims by 30</w:t>
      </w:r>
      <w:r w:rsidR="00865F1A">
        <w:rPr>
          <w:vertAlign w:val="superscript"/>
        </w:rPr>
        <w:t xml:space="preserve"> </w:t>
      </w:r>
      <w:r w:rsidR="00865F1A">
        <w:t>June 2018.</w:t>
      </w:r>
    </w:p>
    <w:p w14:paraId="612B163B" w14:textId="77777777" w:rsidR="00AD58A2" w:rsidRDefault="00AD58A2" w:rsidP="003210C0">
      <w:pPr>
        <w:pStyle w:val="NoSpacing"/>
        <w:rPr>
          <w:rFonts w:ascii="Arial" w:hAnsi="Arial" w:cs="Arial"/>
          <w:b/>
          <w:color w:val="FF0000"/>
          <w:sz w:val="24"/>
          <w:szCs w:val="24"/>
        </w:rPr>
      </w:pPr>
    </w:p>
    <w:p w14:paraId="4D00B651" w14:textId="77777777" w:rsidR="00A90B6F" w:rsidRPr="00925E3D" w:rsidRDefault="003E6A45" w:rsidP="00935491">
      <w:pPr>
        <w:pStyle w:val="Heading1"/>
        <w:jc w:val="both"/>
        <w:rPr>
          <w:szCs w:val="24"/>
        </w:rPr>
      </w:pPr>
      <w:r w:rsidRPr="00925E3D">
        <w:rPr>
          <w:szCs w:val="24"/>
        </w:rPr>
        <w:t>Consultations</w:t>
      </w:r>
    </w:p>
    <w:p w14:paraId="2F5F15F2" w14:textId="77777777" w:rsidR="0003555B" w:rsidRPr="00925E3D" w:rsidRDefault="0003555B" w:rsidP="00935491">
      <w:pPr>
        <w:jc w:val="both"/>
        <w:rPr>
          <w:szCs w:val="24"/>
        </w:rPr>
      </w:pPr>
    </w:p>
    <w:p w14:paraId="6DD9BA8E" w14:textId="77777777" w:rsidR="00586AB8" w:rsidRPr="00925E3D" w:rsidRDefault="001342BE" w:rsidP="003A0BC3">
      <w:pPr>
        <w:rPr>
          <w:szCs w:val="24"/>
        </w:rPr>
      </w:pPr>
      <w:r w:rsidRPr="00925E3D">
        <w:rPr>
          <w:szCs w:val="24"/>
        </w:rPr>
        <w:t>Members</w:t>
      </w:r>
      <w:r w:rsidR="005D4BD0" w:rsidRPr="00925E3D">
        <w:rPr>
          <w:szCs w:val="24"/>
        </w:rPr>
        <w:t xml:space="preserve"> </w:t>
      </w:r>
      <w:r w:rsidR="00BA25DD" w:rsidRPr="00925E3D">
        <w:rPr>
          <w:szCs w:val="24"/>
        </w:rPr>
        <w:t>of Management Team</w:t>
      </w:r>
      <w:r w:rsidR="005D4BD0" w:rsidRPr="00925E3D">
        <w:rPr>
          <w:szCs w:val="24"/>
        </w:rPr>
        <w:t>(s)</w:t>
      </w:r>
      <w:r w:rsidR="001818BC" w:rsidRPr="00925E3D">
        <w:rPr>
          <w:szCs w:val="24"/>
        </w:rPr>
        <w:t xml:space="preserve"> have</w:t>
      </w:r>
      <w:r w:rsidR="008E5C1C" w:rsidRPr="00925E3D">
        <w:rPr>
          <w:szCs w:val="24"/>
        </w:rPr>
        <w:t xml:space="preserve"> previously</w:t>
      </w:r>
      <w:r w:rsidR="00A50DE1" w:rsidRPr="00925E3D">
        <w:rPr>
          <w:szCs w:val="24"/>
        </w:rPr>
        <w:t xml:space="preserve"> received the information in</w:t>
      </w:r>
      <w:r w:rsidR="001818BC" w:rsidRPr="00925E3D">
        <w:rPr>
          <w:szCs w:val="24"/>
        </w:rPr>
        <w:t xml:space="preserve"> </w:t>
      </w:r>
      <w:r w:rsidR="005E0F58" w:rsidRPr="00925E3D">
        <w:rPr>
          <w:szCs w:val="24"/>
        </w:rPr>
        <w:t>this report</w:t>
      </w:r>
      <w:r w:rsidR="00E16D84" w:rsidRPr="00925E3D">
        <w:rPr>
          <w:szCs w:val="24"/>
        </w:rPr>
        <w:t>.</w:t>
      </w:r>
    </w:p>
    <w:p w14:paraId="54D6CB07" w14:textId="77777777" w:rsidR="00294B23" w:rsidRPr="00925E3D" w:rsidRDefault="00294B23" w:rsidP="00935491">
      <w:pPr>
        <w:jc w:val="both"/>
        <w:rPr>
          <w:szCs w:val="24"/>
        </w:rPr>
      </w:pPr>
    </w:p>
    <w:p w14:paraId="4F37A5AE" w14:textId="77777777" w:rsidR="0003555B" w:rsidRDefault="003E6A45" w:rsidP="00935491">
      <w:pPr>
        <w:jc w:val="both"/>
        <w:rPr>
          <w:szCs w:val="24"/>
        </w:rPr>
      </w:pPr>
      <w:r w:rsidRPr="00925E3D">
        <w:rPr>
          <w:b/>
          <w:szCs w:val="24"/>
        </w:rPr>
        <w:t>Implications</w:t>
      </w:r>
      <w:r w:rsidRPr="00925E3D">
        <w:rPr>
          <w:szCs w:val="24"/>
        </w:rPr>
        <w:t>:</w:t>
      </w:r>
    </w:p>
    <w:p w14:paraId="2719BB05" w14:textId="77777777" w:rsidR="008F0FC1" w:rsidRPr="00925E3D" w:rsidRDefault="008F0FC1" w:rsidP="00935491">
      <w:pPr>
        <w:jc w:val="both"/>
        <w:rPr>
          <w:szCs w:val="24"/>
        </w:rPr>
      </w:pPr>
    </w:p>
    <w:p w14:paraId="24DBF1C2" w14:textId="77777777" w:rsidR="00772BBA" w:rsidRPr="00925E3D" w:rsidRDefault="00772BBA" w:rsidP="003A0BC3">
      <w:pPr>
        <w:rPr>
          <w:szCs w:val="24"/>
        </w:rPr>
      </w:pPr>
      <w:r w:rsidRPr="00925E3D">
        <w:rPr>
          <w:szCs w:val="24"/>
        </w:rPr>
        <w:t>This item has the following implications, as indicated:</w:t>
      </w:r>
    </w:p>
    <w:p w14:paraId="24D66862" w14:textId="77777777" w:rsidR="00BB6EA6" w:rsidRPr="00925E3D" w:rsidRDefault="00BB6EA6" w:rsidP="00935491">
      <w:pPr>
        <w:jc w:val="both"/>
        <w:rPr>
          <w:b/>
          <w:szCs w:val="24"/>
        </w:rPr>
      </w:pPr>
    </w:p>
    <w:p w14:paraId="506F4753" w14:textId="77777777" w:rsidR="0003555B" w:rsidRDefault="00772BBA" w:rsidP="00935491">
      <w:pPr>
        <w:jc w:val="both"/>
        <w:rPr>
          <w:b/>
          <w:szCs w:val="24"/>
        </w:rPr>
      </w:pPr>
      <w:r w:rsidRPr="00925E3D">
        <w:rPr>
          <w:b/>
          <w:szCs w:val="24"/>
        </w:rPr>
        <w:t>Risk management</w:t>
      </w:r>
    </w:p>
    <w:p w14:paraId="21287A6C" w14:textId="77777777" w:rsidR="008F0FC1" w:rsidRPr="00925E3D" w:rsidRDefault="008F0FC1" w:rsidP="00935491">
      <w:pPr>
        <w:jc w:val="both"/>
        <w:rPr>
          <w:b/>
          <w:szCs w:val="24"/>
        </w:rPr>
      </w:pPr>
    </w:p>
    <w:p w14:paraId="58101F2E" w14:textId="77777777" w:rsidR="00CF6C60" w:rsidRPr="00925E3D" w:rsidRDefault="00F863F2" w:rsidP="003A0BC3">
      <w:pPr>
        <w:rPr>
          <w:szCs w:val="24"/>
        </w:rPr>
      </w:pPr>
      <w:r w:rsidRPr="00925E3D">
        <w:rPr>
          <w:szCs w:val="24"/>
        </w:rPr>
        <w:t>No significant risks have been identified in relation to the proposals contained within this report.</w:t>
      </w:r>
    </w:p>
    <w:p w14:paraId="7D89145B" w14:textId="77777777" w:rsidR="00CF6C60" w:rsidRPr="00925E3D" w:rsidRDefault="00CF6C60" w:rsidP="00F55192">
      <w:pPr>
        <w:jc w:val="both"/>
        <w:rPr>
          <w:szCs w:val="24"/>
        </w:rPr>
      </w:pPr>
    </w:p>
    <w:p w14:paraId="0EDECF70" w14:textId="77777777" w:rsidR="009A1917" w:rsidRPr="00925E3D" w:rsidRDefault="009A1917" w:rsidP="009A1917">
      <w:pPr>
        <w:jc w:val="both"/>
        <w:rPr>
          <w:b/>
          <w:szCs w:val="24"/>
        </w:rPr>
      </w:pPr>
      <w:r w:rsidRPr="00925E3D">
        <w:rPr>
          <w:b/>
          <w:szCs w:val="24"/>
        </w:rPr>
        <w:t>Local Government (Access to Information) Act 1985</w:t>
      </w:r>
    </w:p>
    <w:p w14:paraId="14C8B037" w14:textId="77777777" w:rsidR="00CF6C60" w:rsidRPr="00925E3D" w:rsidRDefault="00CF6C60" w:rsidP="009A1917">
      <w:pPr>
        <w:jc w:val="both"/>
        <w:rPr>
          <w:b/>
          <w:szCs w:val="24"/>
        </w:rPr>
      </w:pPr>
    </w:p>
    <w:p w14:paraId="721CEE1E" w14:textId="77777777" w:rsidR="00CF67FC" w:rsidRPr="00925E3D" w:rsidRDefault="003E6A45" w:rsidP="00051CB8">
      <w:pPr>
        <w:pStyle w:val="Heading5"/>
        <w:rPr>
          <w:rFonts w:ascii="Arial" w:hAnsi="Arial"/>
          <w:szCs w:val="24"/>
          <w:u w:val="none"/>
        </w:rPr>
      </w:pPr>
      <w:r w:rsidRPr="00925E3D">
        <w:rPr>
          <w:rFonts w:ascii="Arial" w:hAnsi="Arial"/>
          <w:szCs w:val="24"/>
          <w:u w:val="none"/>
        </w:rPr>
        <w:t>List of Background Papers</w:t>
      </w:r>
    </w:p>
    <w:p w14:paraId="5AE7E152" w14:textId="77777777" w:rsidR="0003555B" w:rsidRPr="00925E3D" w:rsidRDefault="0003555B" w:rsidP="006D01A3">
      <w:pPr>
        <w:pStyle w:val="NoSpacing"/>
        <w:rPr>
          <w:sz w:val="24"/>
          <w:szCs w:val="24"/>
        </w:rPr>
      </w:pPr>
    </w:p>
    <w:p w14:paraId="0CBBDA56" w14:textId="77777777" w:rsidR="003210C0" w:rsidRPr="00925E3D" w:rsidRDefault="0003555B" w:rsidP="003A0BC3">
      <w:pPr>
        <w:spacing w:after="200"/>
        <w:jc w:val="both"/>
        <w:rPr>
          <w:rFonts w:cs="Arial"/>
          <w:szCs w:val="24"/>
        </w:rPr>
      </w:pPr>
      <w:r w:rsidRPr="00925E3D">
        <w:rPr>
          <w:rFonts w:cs="Arial"/>
          <w:szCs w:val="24"/>
        </w:rPr>
        <w:t>None</w:t>
      </w:r>
    </w:p>
    <w:p w14:paraId="01F69D65" w14:textId="373ADBA7" w:rsidR="008F0FC1" w:rsidRPr="008F0FC1" w:rsidRDefault="008F0FC1">
      <w:pPr>
        <w:rPr>
          <w:rFonts w:cs="Arial"/>
          <w:szCs w:val="24"/>
        </w:rPr>
      </w:pPr>
      <w:r w:rsidRPr="008F0FC1">
        <w:rPr>
          <w:rFonts w:cs="Arial"/>
          <w:szCs w:val="24"/>
        </w:rPr>
        <w:t>Reason for inclusion in Part II, if appropriate</w:t>
      </w:r>
    </w:p>
    <w:p w14:paraId="68096C95" w14:textId="77777777" w:rsidR="008F0FC1" w:rsidRPr="008F0FC1" w:rsidRDefault="008F0FC1">
      <w:pPr>
        <w:rPr>
          <w:rFonts w:cs="Arial"/>
          <w:szCs w:val="24"/>
        </w:rPr>
      </w:pPr>
    </w:p>
    <w:p w14:paraId="478BF0D4" w14:textId="77777777" w:rsidR="00BF5481" w:rsidRDefault="008F0FC1">
      <w:pPr>
        <w:rPr>
          <w:rFonts w:cs="Arial"/>
          <w:szCs w:val="24"/>
        </w:rPr>
      </w:pPr>
      <w:r w:rsidRPr="008F0FC1">
        <w:rPr>
          <w:rFonts w:cs="Arial"/>
          <w:szCs w:val="24"/>
        </w:rPr>
        <w:t>N/A</w:t>
      </w:r>
    </w:p>
    <w:p w14:paraId="26AA1BF3" w14:textId="77777777" w:rsidR="00BF5481" w:rsidRDefault="00BF5481">
      <w:pPr>
        <w:rPr>
          <w:rFonts w:cs="Arial"/>
          <w:szCs w:val="24"/>
        </w:rPr>
      </w:pPr>
    </w:p>
    <w:sectPr w:rsidR="00BF5481" w:rsidSect="0032404D">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599B5" w14:textId="77777777" w:rsidR="006A7668" w:rsidRDefault="006A7668">
      <w:r>
        <w:separator/>
      </w:r>
    </w:p>
  </w:endnote>
  <w:endnote w:type="continuationSeparator" w:id="0">
    <w:p w14:paraId="66E0DBE5" w14:textId="77777777" w:rsidR="006A7668" w:rsidRDefault="006A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7668" w14:paraId="0A096D97" w14:textId="77777777">
      <w:tc>
        <w:tcPr>
          <w:tcW w:w="9243" w:type="dxa"/>
          <w:tcBorders>
            <w:top w:val="nil"/>
            <w:left w:val="nil"/>
            <w:bottom w:val="nil"/>
            <w:right w:val="nil"/>
          </w:tcBorders>
        </w:tcPr>
        <w:p w14:paraId="1613A0B8" w14:textId="77777777" w:rsidR="006A7668" w:rsidRDefault="006A7668">
          <w:pPr>
            <w:pStyle w:val="Footer"/>
            <w:tabs>
              <w:tab w:val="clear" w:pos="4153"/>
            </w:tabs>
            <w:ind w:right="-45"/>
            <w:jc w:val="right"/>
          </w:pPr>
        </w:p>
      </w:tc>
    </w:tr>
  </w:tbl>
  <w:p w14:paraId="26BDFCEB" w14:textId="77777777" w:rsidR="006A7668" w:rsidRDefault="006A766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7668" w14:paraId="405D7070" w14:textId="77777777">
      <w:tc>
        <w:tcPr>
          <w:tcW w:w="9243" w:type="dxa"/>
          <w:tcBorders>
            <w:top w:val="nil"/>
            <w:left w:val="nil"/>
            <w:bottom w:val="nil"/>
            <w:right w:val="nil"/>
          </w:tcBorders>
        </w:tcPr>
        <w:p w14:paraId="4DCCAEDF" w14:textId="77777777" w:rsidR="006A7668" w:rsidRDefault="006A7668">
          <w:pPr>
            <w:pStyle w:val="Footer"/>
            <w:tabs>
              <w:tab w:val="clear" w:pos="4153"/>
            </w:tabs>
            <w:ind w:right="-45"/>
            <w:jc w:val="right"/>
          </w:pPr>
          <w:r w:rsidRPr="00AD2F25">
            <w:rPr>
              <w:noProof/>
            </w:rPr>
            <w:drawing>
              <wp:inline distT="0" distB="0" distL="0" distR="0" wp14:anchorId="67FE6075" wp14:editId="24C754B4">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5BAF40D8" w14:textId="77777777" w:rsidR="006A7668" w:rsidRDefault="006A766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F09" w14:textId="77777777" w:rsidR="006A7668" w:rsidRDefault="006A7668">
      <w:r>
        <w:separator/>
      </w:r>
    </w:p>
  </w:footnote>
  <w:footnote w:type="continuationSeparator" w:id="0">
    <w:p w14:paraId="4367C689" w14:textId="77777777" w:rsidR="006A7668" w:rsidRDefault="006A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D503" w14:textId="31076216" w:rsidR="006A7668" w:rsidRDefault="006A76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3344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424A9BB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E2BCD77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90CAB"/>
    <w:multiLevelType w:val="hybridMultilevel"/>
    <w:tmpl w:val="372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C546A"/>
    <w:multiLevelType w:val="hybridMultilevel"/>
    <w:tmpl w:val="3FE0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954745"/>
    <w:multiLevelType w:val="hybridMultilevel"/>
    <w:tmpl w:val="E8F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66DA6"/>
    <w:multiLevelType w:val="hybridMultilevel"/>
    <w:tmpl w:val="6AD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552DF"/>
    <w:multiLevelType w:val="hybridMultilevel"/>
    <w:tmpl w:val="CF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32F7A"/>
    <w:multiLevelType w:val="hybridMultilevel"/>
    <w:tmpl w:val="BC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26E1F"/>
    <w:multiLevelType w:val="hybridMultilevel"/>
    <w:tmpl w:val="E494AAEE"/>
    <w:lvl w:ilvl="0" w:tplc="9EA0E674">
      <w:start w:val="1"/>
      <w:numFmt w:val="decimal"/>
      <w:lvlText w:val="%1."/>
      <w:lvlJc w:val="left"/>
      <w:pPr>
        <w:ind w:left="1440" w:hanging="360"/>
      </w:pPr>
    </w:lvl>
    <w:lvl w:ilvl="1" w:tplc="A31CFA04">
      <w:start w:val="1"/>
      <w:numFmt w:val="lowerLetter"/>
      <w:lvlText w:val="%2."/>
      <w:lvlJc w:val="left"/>
      <w:pPr>
        <w:ind w:left="2160" w:hanging="360"/>
      </w:pPr>
    </w:lvl>
    <w:lvl w:ilvl="2" w:tplc="26F01C06">
      <w:start w:val="1"/>
      <w:numFmt w:val="lowerRoman"/>
      <w:lvlText w:val="%3."/>
      <w:lvlJc w:val="right"/>
      <w:pPr>
        <w:ind w:left="2880" w:hanging="180"/>
      </w:pPr>
    </w:lvl>
    <w:lvl w:ilvl="3" w:tplc="883615F2">
      <w:start w:val="1"/>
      <w:numFmt w:val="decimal"/>
      <w:lvlText w:val="%4."/>
      <w:lvlJc w:val="left"/>
      <w:pPr>
        <w:ind w:left="3600" w:hanging="360"/>
      </w:pPr>
    </w:lvl>
    <w:lvl w:ilvl="4" w:tplc="2E76DB7C">
      <w:start w:val="1"/>
      <w:numFmt w:val="lowerLetter"/>
      <w:lvlText w:val="%5."/>
      <w:lvlJc w:val="left"/>
      <w:pPr>
        <w:ind w:left="4320" w:hanging="360"/>
      </w:pPr>
    </w:lvl>
    <w:lvl w:ilvl="5" w:tplc="CFD6D698">
      <w:start w:val="1"/>
      <w:numFmt w:val="lowerRoman"/>
      <w:lvlText w:val="%6."/>
      <w:lvlJc w:val="right"/>
      <w:pPr>
        <w:ind w:left="5040" w:hanging="180"/>
      </w:pPr>
    </w:lvl>
    <w:lvl w:ilvl="6" w:tplc="1D989E56">
      <w:start w:val="1"/>
      <w:numFmt w:val="decimal"/>
      <w:lvlText w:val="%7."/>
      <w:lvlJc w:val="left"/>
      <w:pPr>
        <w:ind w:left="5760" w:hanging="360"/>
      </w:pPr>
    </w:lvl>
    <w:lvl w:ilvl="7" w:tplc="EAFAFA40">
      <w:start w:val="1"/>
      <w:numFmt w:val="lowerLetter"/>
      <w:lvlText w:val="%8."/>
      <w:lvlJc w:val="left"/>
      <w:pPr>
        <w:ind w:left="6480" w:hanging="360"/>
      </w:pPr>
    </w:lvl>
    <w:lvl w:ilvl="8" w:tplc="EC82C038">
      <w:start w:val="1"/>
      <w:numFmt w:val="lowerRoman"/>
      <w:lvlText w:val="%9."/>
      <w:lvlJc w:val="right"/>
      <w:pPr>
        <w:ind w:left="7200" w:hanging="180"/>
      </w:pPr>
    </w:lvl>
  </w:abstractNum>
  <w:abstractNum w:abstractNumId="17" w15:restartNumberingAfterBreak="0">
    <w:nsid w:val="381E2356"/>
    <w:multiLevelType w:val="hybridMultilevel"/>
    <w:tmpl w:val="8FF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76CD7"/>
    <w:multiLevelType w:val="hybridMultilevel"/>
    <w:tmpl w:val="9D8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0C7C"/>
    <w:multiLevelType w:val="hybridMultilevel"/>
    <w:tmpl w:val="81A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7979C2"/>
    <w:multiLevelType w:val="hybridMultilevel"/>
    <w:tmpl w:val="AF62B87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21" w15:restartNumberingAfterBreak="0">
    <w:nsid w:val="467C404B"/>
    <w:multiLevelType w:val="hybridMultilevel"/>
    <w:tmpl w:val="F26A7D40"/>
    <w:lvl w:ilvl="0" w:tplc="698EF238">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F5365"/>
    <w:multiLevelType w:val="hybridMultilevel"/>
    <w:tmpl w:val="0A0016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15:restartNumberingAfterBreak="0">
    <w:nsid w:val="4F6926F8"/>
    <w:multiLevelType w:val="hybridMultilevel"/>
    <w:tmpl w:val="86BE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7417"/>
    <w:multiLevelType w:val="hybridMultilevel"/>
    <w:tmpl w:val="320AFE7A"/>
    <w:lvl w:ilvl="0" w:tplc="4FBAE0A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4047CA"/>
    <w:multiLevelType w:val="hybridMultilevel"/>
    <w:tmpl w:val="E2183B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EC7F0F"/>
    <w:multiLevelType w:val="hybridMultilevel"/>
    <w:tmpl w:val="7B4C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03C25"/>
    <w:multiLevelType w:val="hybridMultilevel"/>
    <w:tmpl w:val="765416E8"/>
    <w:lvl w:ilvl="0" w:tplc="7FF0932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07676"/>
    <w:multiLevelType w:val="hybridMultilevel"/>
    <w:tmpl w:val="A7C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E40"/>
    <w:multiLevelType w:val="hybridMultilevel"/>
    <w:tmpl w:val="348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A2107"/>
    <w:multiLevelType w:val="hybridMultilevel"/>
    <w:tmpl w:val="ED12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36D25"/>
    <w:multiLevelType w:val="hybridMultilevel"/>
    <w:tmpl w:val="AC3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7460A"/>
    <w:multiLevelType w:val="hybridMultilevel"/>
    <w:tmpl w:val="44FCCC52"/>
    <w:lvl w:ilvl="0" w:tplc="E84682D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2A2F9D"/>
    <w:multiLevelType w:val="hybridMultilevel"/>
    <w:tmpl w:val="9DA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87E6B"/>
    <w:multiLevelType w:val="hybridMultilevel"/>
    <w:tmpl w:val="B15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D7633"/>
    <w:multiLevelType w:val="hybridMultilevel"/>
    <w:tmpl w:val="823245AE"/>
    <w:lvl w:ilvl="0" w:tplc="C3201770">
      <w:start w:val="29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35CE0"/>
    <w:multiLevelType w:val="hybridMultilevel"/>
    <w:tmpl w:val="AE4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81F20"/>
    <w:multiLevelType w:val="hybridMultilevel"/>
    <w:tmpl w:val="30BAD528"/>
    <w:lvl w:ilvl="0" w:tplc="07824B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8"/>
  </w:num>
  <w:num w:numId="4">
    <w:abstractNumId w:val="34"/>
  </w:num>
  <w:num w:numId="5">
    <w:abstractNumId w:val="1"/>
  </w:num>
  <w:num w:numId="6">
    <w:abstractNumId w:val="32"/>
  </w:num>
  <w:num w:numId="7">
    <w:abstractNumId w:val="7"/>
  </w:num>
  <w:num w:numId="8">
    <w:abstractNumId w:val="37"/>
  </w:num>
  <w:num w:numId="9">
    <w:abstractNumId w:val="14"/>
  </w:num>
  <w:num w:numId="10">
    <w:abstractNumId w:val="41"/>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6"/>
  </w:num>
  <w:num w:numId="17">
    <w:abstractNumId w:val="21"/>
  </w:num>
  <w:num w:numId="18">
    <w:abstractNumId w:val="35"/>
  </w:num>
  <w:num w:numId="19">
    <w:abstractNumId w:val="28"/>
  </w:num>
  <w:num w:numId="20">
    <w:abstractNumId w:val="19"/>
  </w:num>
  <w:num w:numId="21">
    <w:abstractNumId w:val="3"/>
  </w:num>
  <w:num w:numId="22">
    <w:abstractNumId w:val="4"/>
  </w:num>
  <w:num w:numId="23">
    <w:abstractNumId w:val="13"/>
  </w:num>
  <w:num w:numId="24">
    <w:abstractNumId w:val="31"/>
  </w:num>
  <w:num w:numId="25">
    <w:abstractNumId w:val="22"/>
  </w:num>
  <w:num w:numId="26">
    <w:abstractNumId w:val="20"/>
  </w:num>
  <w:num w:numId="27">
    <w:abstractNumId w:val="29"/>
  </w:num>
  <w:num w:numId="28">
    <w:abstractNumId w:val="24"/>
  </w:num>
  <w:num w:numId="29">
    <w:abstractNumId w:val="27"/>
  </w:num>
  <w:num w:numId="30">
    <w:abstractNumId w:val="15"/>
  </w:num>
  <w:num w:numId="31">
    <w:abstractNumId w:val="10"/>
  </w:num>
  <w:num w:numId="32">
    <w:abstractNumId w:val="39"/>
  </w:num>
  <w:num w:numId="33">
    <w:abstractNumId w:val="36"/>
  </w:num>
  <w:num w:numId="34">
    <w:abstractNumId w:val="2"/>
  </w:num>
  <w:num w:numId="35">
    <w:abstractNumId w:val="30"/>
  </w:num>
  <w:num w:numId="36">
    <w:abstractNumId w:val="40"/>
  </w:num>
  <w:num w:numId="37">
    <w:abstractNumId w:val="38"/>
  </w:num>
  <w:num w:numId="38">
    <w:abstractNumId w:val="23"/>
  </w:num>
  <w:num w:numId="39">
    <w:abstractNumId w:val="11"/>
  </w:num>
  <w:num w:numId="40">
    <w:abstractNumId w:val="8"/>
  </w:num>
  <w:num w:numId="41">
    <w:abstractNumId w:val="12"/>
  </w:num>
  <w:num w:numId="4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068E9"/>
    <w:rsid w:val="00010973"/>
    <w:rsid w:val="000133E3"/>
    <w:rsid w:val="000137E0"/>
    <w:rsid w:val="00015E12"/>
    <w:rsid w:val="000161B1"/>
    <w:rsid w:val="00016621"/>
    <w:rsid w:val="00024391"/>
    <w:rsid w:val="0002572D"/>
    <w:rsid w:val="000257A1"/>
    <w:rsid w:val="00026433"/>
    <w:rsid w:val="0003181C"/>
    <w:rsid w:val="00031D63"/>
    <w:rsid w:val="0003555B"/>
    <w:rsid w:val="00043385"/>
    <w:rsid w:val="00044628"/>
    <w:rsid w:val="0004663E"/>
    <w:rsid w:val="00047741"/>
    <w:rsid w:val="00051CB8"/>
    <w:rsid w:val="000552FB"/>
    <w:rsid w:val="00057244"/>
    <w:rsid w:val="0006038B"/>
    <w:rsid w:val="000615A2"/>
    <w:rsid w:val="00061DF2"/>
    <w:rsid w:val="00063E1A"/>
    <w:rsid w:val="00065A8C"/>
    <w:rsid w:val="00065B22"/>
    <w:rsid w:val="00070646"/>
    <w:rsid w:val="000708AF"/>
    <w:rsid w:val="00073904"/>
    <w:rsid w:val="00073F8F"/>
    <w:rsid w:val="00074E6C"/>
    <w:rsid w:val="000752E2"/>
    <w:rsid w:val="00085EB3"/>
    <w:rsid w:val="0009151A"/>
    <w:rsid w:val="00093B39"/>
    <w:rsid w:val="0009516D"/>
    <w:rsid w:val="00095258"/>
    <w:rsid w:val="000957D1"/>
    <w:rsid w:val="00096496"/>
    <w:rsid w:val="000A3959"/>
    <w:rsid w:val="000A5C52"/>
    <w:rsid w:val="000A7976"/>
    <w:rsid w:val="000B238D"/>
    <w:rsid w:val="000B3BAB"/>
    <w:rsid w:val="000C3699"/>
    <w:rsid w:val="000C3BF8"/>
    <w:rsid w:val="000D0D79"/>
    <w:rsid w:val="000D1026"/>
    <w:rsid w:val="000D3D67"/>
    <w:rsid w:val="000D404B"/>
    <w:rsid w:val="000D4DB7"/>
    <w:rsid w:val="000D5B63"/>
    <w:rsid w:val="000D7301"/>
    <w:rsid w:val="000E733F"/>
    <w:rsid w:val="000E7A40"/>
    <w:rsid w:val="000F2A26"/>
    <w:rsid w:val="000F3314"/>
    <w:rsid w:val="000F59ED"/>
    <w:rsid w:val="000F5C76"/>
    <w:rsid w:val="00104F03"/>
    <w:rsid w:val="001053BE"/>
    <w:rsid w:val="00112A90"/>
    <w:rsid w:val="001143D2"/>
    <w:rsid w:val="001154EC"/>
    <w:rsid w:val="00115FB5"/>
    <w:rsid w:val="0011638A"/>
    <w:rsid w:val="001172CF"/>
    <w:rsid w:val="00117995"/>
    <w:rsid w:val="00120D01"/>
    <w:rsid w:val="00124452"/>
    <w:rsid w:val="001254EB"/>
    <w:rsid w:val="00125661"/>
    <w:rsid w:val="001270A7"/>
    <w:rsid w:val="0013419D"/>
    <w:rsid w:val="001342BE"/>
    <w:rsid w:val="00136CE2"/>
    <w:rsid w:val="00137BD5"/>
    <w:rsid w:val="00140E41"/>
    <w:rsid w:val="001420A7"/>
    <w:rsid w:val="001433C0"/>
    <w:rsid w:val="00146EC7"/>
    <w:rsid w:val="00151242"/>
    <w:rsid w:val="00152093"/>
    <w:rsid w:val="00153088"/>
    <w:rsid w:val="00156759"/>
    <w:rsid w:val="00160A61"/>
    <w:rsid w:val="0016299B"/>
    <w:rsid w:val="00170CBD"/>
    <w:rsid w:val="00170FD5"/>
    <w:rsid w:val="00172EF4"/>
    <w:rsid w:val="00173388"/>
    <w:rsid w:val="00174A91"/>
    <w:rsid w:val="00180D70"/>
    <w:rsid w:val="001814D4"/>
    <w:rsid w:val="001818BC"/>
    <w:rsid w:val="00183EEF"/>
    <w:rsid w:val="001859C6"/>
    <w:rsid w:val="00191E6C"/>
    <w:rsid w:val="001952A7"/>
    <w:rsid w:val="001956B4"/>
    <w:rsid w:val="0019606D"/>
    <w:rsid w:val="001972BB"/>
    <w:rsid w:val="001A1CEF"/>
    <w:rsid w:val="001A52F3"/>
    <w:rsid w:val="001A6DEC"/>
    <w:rsid w:val="001B26F6"/>
    <w:rsid w:val="001C03E1"/>
    <w:rsid w:val="001C0824"/>
    <w:rsid w:val="001C18AE"/>
    <w:rsid w:val="001C2623"/>
    <w:rsid w:val="001C2A9F"/>
    <w:rsid w:val="001C2BF4"/>
    <w:rsid w:val="001C3948"/>
    <w:rsid w:val="001C5424"/>
    <w:rsid w:val="001D0E11"/>
    <w:rsid w:val="001D2394"/>
    <w:rsid w:val="001D3089"/>
    <w:rsid w:val="001D59A7"/>
    <w:rsid w:val="001D5E13"/>
    <w:rsid w:val="001D5F44"/>
    <w:rsid w:val="001D6C9A"/>
    <w:rsid w:val="001E7AA3"/>
    <w:rsid w:val="001F0D49"/>
    <w:rsid w:val="001F2402"/>
    <w:rsid w:val="001F3962"/>
    <w:rsid w:val="001F49DB"/>
    <w:rsid w:val="001F7C9E"/>
    <w:rsid w:val="002020D8"/>
    <w:rsid w:val="002071E3"/>
    <w:rsid w:val="00211D9F"/>
    <w:rsid w:val="00216625"/>
    <w:rsid w:val="00220C88"/>
    <w:rsid w:val="00222DF4"/>
    <w:rsid w:val="00224214"/>
    <w:rsid w:val="00231DC7"/>
    <w:rsid w:val="002340F4"/>
    <w:rsid w:val="0023435D"/>
    <w:rsid w:val="00236A07"/>
    <w:rsid w:val="00236D06"/>
    <w:rsid w:val="002378D8"/>
    <w:rsid w:val="00240A4D"/>
    <w:rsid w:val="0024155D"/>
    <w:rsid w:val="00241DD7"/>
    <w:rsid w:val="0024328C"/>
    <w:rsid w:val="00243C10"/>
    <w:rsid w:val="00244D4F"/>
    <w:rsid w:val="00244DF3"/>
    <w:rsid w:val="00244F35"/>
    <w:rsid w:val="00245AD9"/>
    <w:rsid w:val="00250395"/>
    <w:rsid w:val="00250B13"/>
    <w:rsid w:val="00250D63"/>
    <w:rsid w:val="00250FF5"/>
    <w:rsid w:val="0025334F"/>
    <w:rsid w:val="00254522"/>
    <w:rsid w:val="00261731"/>
    <w:rsid w:val="00261838"/>
    <w:rsid w:val="00262957"/>
    <w:rsid w:val="00263341"/>
    <w:rsid w:val="002664EC"/>
    <w:rsid w:val="00271171"/>
    <w:rsid w:val="002719DC"/>
    <w:rsid w:val="002725FF"/>
    <w:rsid w:val="00274EE4"/>
    <w:rsid w:val="002775D4"/>
    <w:rsid w:val="00281377"/>
    <w:rsid w:val="0028149E"/>
    <w:rsid w:val="002831EA"/>
    <w:rsid w:val="002839D4"/>
    <w:rsid w:val="0028461B"/>
    <w:rsid w:val="002858CD"/>
    <w:rsid w:val="00287A6A"/>
    <w:rsid w:val="00291F18"/>
    <w:rsid w:val="002929ED"/>
    <w:rsid w:val="00294B23"/>
    <w:rsid w:val="002A0B88"/>
    <w:rsid w:val="002A730E"/>
    <w:rsid w:val="002B11AF"/>
    <w:rsid w:val="002B1207"/>
    <w:rsid w:val="002B2ABB"/>
    <w:rsid w:val="002B5EE5"/>
    <w:rsid w:val="002C03E2"/>
    <w:rsid w:val="002C0BFB"/>
    <w:rsid w:val="002C3807"/>
    <w:rsid w:val="002C49AC"/>
    <w:rsid w:val="002C504D"/>
    <w:rsid w:val="002C6249"/>
    <w:rsid w:val="002C7E3B"/>
    <w:rsid w:val="002D0634"/>
    <w:rsid w:val="002D18D1"/>
    <w:rsid w:val="002D2A77"/>
    <w:rsid w:val="002D4AF8"/>
    <w:rsid w:val="002D4D3C"/>
    <w:rsid w:val="002D6603"/>
    <w:rsid w:val="002E0332"/>
    <w:rsid w:val="002E1B7B"/>
    <w:rsid w:val="002E44EA"/>
    <w:rsid w:val="002E4973"/>
    <w:rsid w:val="002E7A8D"/>
    <w:rsid w:val="002F0586"/>
    <w:rsid w:val="002F0EDF"/>
    <w:rsid w:val="002F1858"/>
    <w:rsid w:val="002F5728"/>
    <w:rsid w:val="002F6725"/>
    <w:rsid w:val="002F7FED"/>
    <w:rsid w:val="003117FE"/>
    <w:rsid w:val="003137F9"/>
    <w:rsid w:val="00314477"/>
    <w:rsid w:val="00315CAB"/>
    <w:rsid w:val="00317750"/>
    <w:rsid w:val="003210C0"/>
    <w:rsid w:val="0032193E"/>
    <w:rsid w:val="00323CFE"/>
    <w:rsid w:val="0032404D"/>
    <w:rsid w:val="003254A0"/>
    <w:rsid w:val="00325E44"/>
    <w:rsid w:val="003313BB"/>
    <w:rsid w:val="00331C77"/>
    <w:rsid w:val="0033402E"/>
    <w:rsid w:val="003345B9"/>
    <w:rsid w:val="003422EC"/>
    <w:rsid w:val="003425C2"/>
    <w:rsid w:val="003452AF"/>
    <w:rsid w:val="0034597F"/>
    <w:rsid w:val="00345B23"/>
    <w:rsid w:val="00345E2E"/>
    <w:rsid w:val="00346E87"/>
    <w:rsid w:val="00347754"/>
    <w:rsid w:val="00350AEB"/>
    <w:rsid w:val="0035203C"/>
    <w:rsid w:val="003539C5"/>
    <w:rsid w:val="00354CAC"/>
    <w:rsid w:val="00356E3A"/>
    <w:rsid w:val="00357954"/>
    <w:rsid w:val="00357AA1"/>
    <w:rsid w:val="00360625"/>
    <w:rsid w:val="00364EC2"/>
    <w:rsid w:val="003665B3"/>
    <w:rsid w:val="0036700C"/>
    <w:rsid w:val="00371ACC"/>
    <w:rsid w:val="00385A08"/>
    <w:rsid w:val="00390AFC"/>
    <w:rsid w:val="00392EF9"/>
    <w:rsid w:val="003972FA"/>
    <w:rsid w:val="003A01D6"/>
    <w:rsid w:val="003A0BC3"/>
    <w:rsid w:val="003A5DF2"/>
    <w:rsid w:val="003A606D"/>
    <w:rsid w:val="003A623A"/>
    <w:rsid w:val="003B2DF6"/>
    <w:rsid w:val="003B4D7C"/>
    <w:rsid w:val="003C250F"/>
    <w:rsid w:val="003C73D0"/>
    <w:rsid w:val="003C7ABE"/>
    <w:rsid w:val="003D02F1"/>
    <w:rsid w:val="003D0F78"/>
    <w:rsid w:val="003D1DC9"/>
    <w:rsid w:val="003D381E"/>
    <w:rsid w:val="003D4A9A"/>
    <w:rsid w:val="003D57BA"/>
    <w:rsid w:val="003D70CC"/>
    <w:rsid w:val="003D7574"/>
    <w:rsid w:val="003D763F"/>
    <w:rsid w:val="003D7AD4"/>
    <w:rsid w:val="003E0AB8"/>
    <w:rsid w:val="003E1633"/>
    <w:rsid w:val="003E1C87"/>
    <w:rsid w:val="003E4940"/>
    <w:rsid w:val="003E6A45"/>
    <w:rsid w:val="003E6BC4"/>
    <w:rsid w:val="003E79F4"/>
    <w:rsid w:val="003F4E8F"/>
    <w:rsid w:val="003F60D7"/>
    <w:rsid w:val="003F729B"/>
    <w:rsid w:val="003F7CFF"/>
    <w:rsid w:val="00400DCC"/>
    <w:rsid w:val="00400F05"/>
    <w:rsid w:val="00404B1C"/>
    <w:rsid w:val="00406475"/>
    <w:rsid w:val="00406F7A"/>
    <w:rsid w:val="00410E9A"/>
    <w:rsid w:val="00412AFF"/>
    <w:rsid w:val="004149CE"/>
    <w:rsid w:val="00414AF0"/>
    <w:rsid w:val="00415D50"/>
    <w:rsid w:val="00415E02"/>
    <w:rsid w:val="00417A86"/>
    <w:rsid w:val="00420A4F"/>
    <w:rsid w:val="00421204"/>
    <w:rsid w:val="004254B3"/>
    <w:rsid w:val="004347C0"/>
    <w:rsid w:val="00436BAB"/>
    <w:rsid w:val="00437B6A"/>
    <w:rsid w:val="004402F0"/>
    <w:rsid w:val="00442F09"/>
    <w:rsid w:val="0044391A"/>
    <w:rsid w:val="00446EB9"/>
    <w:rsid w:val="0044710C"/>
    <w:rsid w:val="004506A2"/>
    <w:rsid w:val="00450705"/>
    <w:rsid w:val="0045671E"/>
    <w:rsid w:val="00456FA8"/>
    <w:rsid w:val="0046245A"/>
    <w:rsid w:val="00463064"/>
    <w:rsid w:val="004756C0"/>
    <w:rsid w:val="00475C58"/>
    <w:rsid w:val="00476326"/>
    <w:rsid w:val="004772A2"/>
    <w:rsid w:val="00477EB0"/>
    <w:rsid w:val="004813E1"/>
    <w:rsid w:val="00482547"/>
    <w:rsid w:val="0048303B"/>
    <w:rsid w:val="0048411F"/>
    <w:rsid w:val="0048673A"/>
    <w:rsid w:val="00487AD6"/>
    <w:rsid w:val="004918F3"/>
    <w:rsid w:val="0049279C"/>
    <w:rsid w:val="00494670"/>
    <w:rsid w:val="004A3298"/>
    <w:rsid w:val="004A39AB"/>
    <w:rsid w:val="004A6FBD"/>
    <w:rsid w:val="004B58BA"/>
    <w:rsid w:val="004B7F40"/>
    <w:rsid w:val="004C0737"/>
    <w:rsid w:val="004C0BEB"/>
    <w:rsid w:val="004C3224"/>
    <w:rsid w:val="004D1985"/>
    <w:rsid w:val="004D29E1"/>
    <w:rsid w:val="004D3346"/>
    <w:rsid w:val="004D3C78"/>
    <w:rsid w:val="004D5918"/>
    <w:rsid w:val="004D605D"/>
    <w:rsid w:val="004D65D7"/>
    <w:rsid w:val="004D7D68"/>
    <w:rsid w:val="004E176E"/>
    <w:rsid w:val="004E41EB"/>
    <w:rsid w:val="004E5ADF"/>
    <w:rsid w:val="004E5EC5"/>
    <w:rsid w:val="004E79E6"/>
    <w:rsid w:val="004F3054"/>
    <w:rsid w:val="004F305E"/>
    <w:rsid w:val="004F58E2"/>
    <w:rsid w:val="005014E3"/>
    <w:rsid w:val="005021F0"/>
    <w:rsid w:val="00506859"/>
    <w:rsid w:val="005069C5"/>
    <w:rsid w:val="005072D5"/>
    <w:rsid w:val="0050799C"/>
    <w:rsid w:val="005100FD"/>
    <w:rsid w:val="005102E6"/>
    <w:rsid w:val="00511993"/>
    <w:rsid w:val="00514B5C"/>
    <w:rsid w:val="0051663C"/>
    <w:rsid w:val="005171AA"/>
    <w:rsid w:val="005205AA"/>
    <w:rsid w:val="00524AF6"/>
    <w:rsid w:val="00526AD4"/>
    <w:rsid w:val="005273CA"/>
    <w:rsid w:val="00531B8D"/>
    <w:rsid w:val="0053214F"/>
    <w:rsid w:val="005357DF"/>
    <w:rsid w:val="00535E79"/>
    <w:rsid w:val="00536746"/>
    <w:rsid w:val="00537D19"/>
    <w:rsid w:val="005403E0"/>
    <w:rsid w:val="005442B9"/>
    <w:rsid w:val="00545EB4"/>
    <w:rsid w:val="00546428"/>
    <w:rsid w:val="00555526"/>
    <w:rsid w:val="00557FB3"/>
    <w:rsid w:val="00560DCA"/>
    <w:rsid w:val="00560ED9"/>
    <w:rsid w:val="005620B2"/>
    <w:rsid w:val="00564D7B"/>
    <w:rsid w:val="005754F4"/>
    <w:rsid w:val="00575E7E"/>
    <w:rsid w:val="0057650D"/>
    <w:rsid w:val="0057799C"/>
    <w:rsid w:val="00580F95"/>
    <w:rsid w:val="005819C8"/>
    <w:rsid w:val="00582A42"/>
    <w:rsid w:val="00586AB8"/>
    <w:rsid w:val="00587F14"/>
    <w:rsid w:val="0059257A"/>
    <w:rsid w:val="00592775"/>
    <w:rsid w:val="00597677"/>
    <w:rsid w:val="005A2424"/>
    <w:rsid w:val="005A2A53"/>
    <w:rsid w:val="005A4E74"/>
    <w:rsid w:val="005C254C"/>
    <w:rsid w:val="005D0DB0"/>
    <w:rsid w:val="005D1D16"/>
    <w:rsid w:val="005D1E7E"/>
    <w:rsid w:val="005D2A72"/>
    <w:rsid w:val="005D3A7F"/>
    <w:rsid w:val="005D416F"/>
    <w:rsid w:val="005D4BD0"/>
    <w:rsid w:val="005D7034"/>
    <w:rsid w:val="005D765A"/>
    <w:rsid w:val="005D7F18"/>
    <w:rsid w:val="005D7F84"/>
    <w:rsid w:val="005E0F58"/>
    <w:rsid w:val="005E30E8"/>
    <w:rsid w:val="005E38F9"/>
    <w:rsid w:val="005E42FE"/>
    <w:rsid w:val="005E4D49"/>
    <w:rsid w:val="005E673F"/>
    <w:rsid w:val="005F1183"/>
    <w:rsid w:val="005F1808"/>
    <w:rsid w:val="005F23C7"/>
    <w:rsid w:val="005F44AB"/>
    <w:rsid w:val="005F7D10"/>
    <w:rsid w:val="00600CB4"/>
    <w:rsid w:val="00601087"/>
    <w:rsid w:val="006014C4"/>
    <w:rsid w:val="00605039"/>
    <w:rsid w:val="00605708"/>
    <w:rsid w:val="006108B7"/>
    <w:rsid w:val="006111CD"/>
    <w:rsid w:val="0061339A"/>
    <w:rsid w:val="00613473"/>
    <w:rsid w:val="0061353A"/>
    <w:rsid w:val="00615CEB"/>
    <w:rsid w:val="006227FE"/>
    <w:rsid w:val="0062383A"/>
    <w:rsid w:val="00623E6C"/>
    <w:rsid w:val="006247C6"/>
    <w:rsid w:val="00627AEE"/>
    <w:rsid w:val="00634B2E"/>
    <w:rsid w:val="00634D87"/>
    <w:rsid w:val="006361B9"/>
    <w:rsid w:val="00637511"/>
    <w:rsid w:val="00637842"/>
    <w:rsid w:val="00640EEA"/>
    <w:rsid w:val="00642823"/>
    <w:rsid w:val="006435AC"/>
    <w:rsid w:val="006467F0"/>
    <w:rsid w:val="00650F0A"/>
    <w:rsid w:val="00652BE4"/>
    <w:rsid w:val="00653231"/>
    <w:rsid w:val="00660490"/>
    <w:rsid w:val="00661817"/>
    <w:rsid w:val="00662B3E"/>
    <w:rsid w:val="00663E4E"/>
    <w:rsid w:val="00664189"/>
    <w:rsid w:val="00664950"/>
    <w:rsid w:val="00671CA2"/>
    <w:rsid w:val="00672337"/>
    <w:rsid w:val="00677390"/>
    <w:rsid w:val="00677A83"/>
    <w:rsid w:val="00684883"/>
    <w:rsid w:val="00684B67"/>
    <w:rsid w:val="00684E95"/>
    <w:rsid w:val="00691C06"/>
    <w:rsid w:val="006952CA"/>
    <w:rsid w:val="00695C4F"/>
    <w:rsid w:val="00696604"/>
    <w:rsid w:val="006A1FA3"/>
    <w:rsid w:val="006A6561"/>
    <w:rsid w:val="006A7668"/>
    <w:rsid w:val="006A781F"/>
    <w:rsid w:val="006A7EEF"/>
    <w:rsid w:val="006B0A1A"/>
    <w:rsid w:val="006B1820"/>
    <w:rsid w:val="006B2E9B"/>
    <w:rsid w:val="006B4B20"/>
    <w:rsid w:val="006B7D51"/>
    <w:rsid w:val="006C671E"/>
    <w:rsid w:val="006D01A3"/>
    <w:rsid w:val="006D0AFA"/>
    <w:rsid w:val="006D1845"/>
    <w:rsid w:val="006D1916"/>
    <w:rsid w:val="006D5490"/>
    <w:rsid w:val="006E2C41"/>
    <w:rsid w:val="006E3519"/>
    <w:rsid w:val="006E4F93"/>
    <w:rsid w:val="006F53B5"/>
    <w:rsid w:val="006F6BDE"/>
    <w:rsid w:val="00704D46"/>
    <w:rsid w:val="00705CF6"/>
    <w:rsid w:val="00706490"/>
    <w:rsid w:val="00711051"/>
    <w:rsid w:val="007114EA"/>
    <w:rsid w:val="00711809"/>
    <w:rsid w:val="0071339A"/>
    <w:rsid w:val="00713FF8"/>
    <w:rsid w:val="00714070"/>
    <w:rsid w:val="00716341"/>
    <w:rsid w:val="00716CBF"/>
    <w:rsid w:val="00716EEB"/>
    <w:rsid w:val="00722882"/>
    <w:rsid w:val="00724190"/>
    <w:rsid w:val="0072505C"/>
    <w:rsid w:val="007314C2"/>
    <w:rsid w:val="007347A0"/>
    <w:rsid w:val="00742613"/>
    <w:rsid w:val="00742D15"/>
    <w:rsid w:val="00745BBB"/>
    <w:rsid w:val="007478B3"/>
    <w:rsid w:val="00751003"/>
    <w:rsid w:val="00756F1E"/>
    <w:rsid w:val="00760EE6"/>
    <w:rsid w:val="00761CE2"/>
    <w:rsid w:val="00762010"/>
    <w:rsid w:val="007652D3"/>
    <w:rsid w:val="00767822"/>
    <w:rsid w:val="00772BBA"/>
    <w:rsid w:val="0077354E"/>
    <w:rsid w:val="00774469"/>
    <w:rsid w:val="007766A7"/>
    <w:rsid w:val="0077791E"/>
    <w:rsid w:val="007806F0"/>
    <w:rsid w:val="00781B8E"/>
    <w:rsid w:val="00781BBA"/>
    <w:rsid w:val="00791837"/>
    <w:rsid w:val="00792333"/>
    <w:rsid w:val="00793F16"/>
    <w:rsid w:val="00795705"/>
    <w:rsid w:val="007A0E4D"/>
    <w:rsid w:val="007A4131"/>
    <w:rsid w:val="007A4272"/>
    <w:rsid w:val="007B06B3"/>
    <w:rsid w:val="007B1DE7"/>
    <w:rsid w:val="007B277F"/>
    <w:rsid w:val="007B35A6"/>
    <w:rsid w:val="007B3CD5"/>
    <w:rsid w:val="007B3E3F"/>
    <w:rsid w:val="007B58DE"/>
    <w:rsid w:val="007B6A18"/>
    <w:rsid w:val="007C35F8"/>
    <w:rsid w:val="007C37BB"/>
    <w:rsid w:val="007C3EDB"/>
    <w:rsid w:val="007D2C90"/>
    <w:rsid w:val="007D3932"/>
    <w:rsid w:val="007D4CAA"/>
    <w:rsid w:val="007D51AE"/>
    <w:rsid w:val="007D5C1A"/>
    <w:rsid w:val="007D6B3E"/>
    <w:rsid w:val="007E5669"/>
    <w:rsid w:val="007E5A0C"/>
    <w:rsid w:val="007E7A9F"/>
    <w:rsid w:val="007E7C46"/>
    <w:rsid w:val="007F70B3"/>
    <w:rsid w:val="007F7A73"/>
    <w:rsid w:val="0080029A"/>
    <w:rsid w:val="0080282E"/>
    <w:rsid w:val="008029EE"/>
    <w:rsid w:val="00805628"/>
    <w:rsid w:val="00805A20"/>
    <w:rsid w:val="00806CFF"/>
    <w:rsid w:val="00806F0E"/>
    <w:rsid w:val="008078DC"/>
    <w:rsid w:val="00812603"/>
    <w:rsid w:val="008140C6"/>
    <w:rsid w:val="00816EB1"/>
    <w:rsid w:val="0082047A"/>
    <w:rsid w:val="0082062E"/>
    <w:rsid w:val="00820DF4"/>
    <w:rsid w:val="008219B5"/>
    <w:rsid w:val="00824915"/>
    <w:rsid w:val="0082527C"/>
    <w:rsid w:val="00826154"/>
    <w:rsid w:val="00826B09"/>
    <w:rsid w:val="008277E8"/>
    <w:rsid w:val="008300AD"/>
    <w:rsid w:val="00830F17"/>
    <w:rsid w:val="00833A71"/>
    <w:rsid w:val="008376C0"/>
    <w:rsid w:val="008508B8"/>
    <w:rsid w:val="0085163F"/>
    <w:rsid w:val="008517F2"/>
    <w:rsid w:val="00852A46"/>
    <w:rsid w:val="008560B4"/>
    <w:rsid w:val="00856A54"/>
    <w:rsid w:val="00856EB8"/>
    <w:rsid w:val="0085778C"/>
    <w:rsid w:val="00857C40"/>
    <w:rsid w:val="00857E45"/>
    <w:rsid w:val="0086334E"/>
    <w:rsid w:val="00864E36"/>
    <w:rsid w:val="00865711"/>
    <w:rsid w:val="0086579D"/>
    <w:rsid w:val="00865CAA"/>
    <w:rsid w:val="00865F1A"/>
    <w:rsid w:val="00870097"/>
    <w:rsid w:val="008706BB"/>
    <w:rsid w:val="008762C0"/>
    <w:rsid w:val="00882418"/>
    <w:rsid w:val="008866F3"/>
    <w:rsid w:val="008903AC"/>
    <w:rsid w:val="008908DF"/>
    <w:rsid w:val="00894577"/>
    <w:rsid w:val="008A0447"/>
    <w:rsid w:val="008A2455"/>
    <w:rsid w:val="008A5E88"/>
    <w:rsid w:val="008A6558"/>
    <w:rsid w:val="008A6E12"/>
    <w:rsid w:val="008A7BC3"/>
    <w:rsid w:val="008B08E3"/>
    <w:rsid w:val="008B51E5"/>
    <w:rsid w:val="008B569B"/>
    <w:rsid w:val="008B58C6"/>
    <w:rsid w:val="008B5C09"/>
    <w:rsid w:val="008B6C39"/>
    <w:rsid w:val="008C21A9"/>
    <w:rsid w:val="008C4C31"/>
    <w:rsid w:val="008C4D33"/>
    <w:rsid w:val="008D2556"/>
    <w:rsid w:val="008D3C5C"/>
    <w:rsid w:val="008D3EE2"/>
    <w:rsid w:val="008D3F02"/>
    <w:rsid w:val="008D4557"/>
    <w:rsid w:val="008D4C6E"/>
    <w:rsid w:val="008D540E"/>
    <w:rsid w:val="008D6DB0"/>
    <w:rsid w:val="008D7632"/>
    <w:rsid w:val="008E28DF"/>
    <w:rsid w:val="008E4458"/>
    <w:rsid w:val="008E5C1C"/>
    <w:rsid w:val="008F0987"/>
    <w:rsid w:val="008F0BCC"/>
    <w:rsid w:val="008F0E00"/>
    <w:rsid w:val="008F0FC1"/>
    <w:rsid w:val="008F2A1F"/>
    <w:rsid w:val="008F442D"/>
    <w:rsid w:val="008F544B"/>
    <w:rsid w:val="008F6FEE"/>
    <w:rsid w:val="00906FA4"/>
    <w:rsid w:val="00915FF0"/>
    <w:rsid w:val="00917158"/>
    <w:rsid w:val="00920254"/>
    <w:rsid w:val="009226E8"/>
    <w:rsid w:val="00923971"/>
    <w:rsid w:val="0092462D"/>
    <w:rsid w:val="009248AB"/>
    <w:rsid w:val="00925163"/>
    <w:rsid w:val="00925E3D"/>
    <w:rsid w:val="0093392D"/>
    <w:rsid w:val="0093542E"/>
    <w:rsid w:val="00935488"/>
    <w:rsid w:val="00935491"/>
    <w:rsid w:val="00942447"/>
    <w:rsid w:val="00943516"/>
    <w:rsid w:val="00945110"/>
    <w:rsid w:val="009458C1"/>
    <w:rsid w:val="0095316A"/>
    <w:rsid w:val="00954A84"/>
    <w:rsid w:val="0096160B"/>
    <w:rsid w:val="00961658"/>
    <w:rsid w:val="009631EC"/>
    <w:rsid w:val="00964FE1"/>
    <w:rsid w:val="0097526F"/>
    <w:rsid w:val="00975512"/>
    <w:rsid w:val="009802BA"/>
    <w:rsid w:val="00981958"/>
    <w:rsid w:val="00985D33"/>
    <w:rsid w:val="00986178"/>
    <w:rsid w:val="00986AE3"/>
    <w:rsid w:val="0099020C"/>
    <w:rsid w:val="00991E39"/>
    <w:rsid w:val="009922B2"/>
    <w:rsid w:val="0099514C"/>
    <w:rsid w:val="00996A24"/>
    <w:rsid w:val="009A1190"/>
    <w:rsid w:val="009A1917"/>
    <w:rsid w:val="009A3CBA"/>
    <w:rsid w:val="009A577B"/>
    <w:rsid w:val="009A5EF9"/>
    <w:rsid w:val="009A7D57"/>
    <w:rsid w:val="009B5EA3"/>
    <w:rsid w:val="009C5A54"/>
    <w:rsid w:val="009D4774"/>
    <w:rsid w:val="009E1972"/>
    <w:rsid w:val="009E3AE9"/>
    <w:rsid w:val="009E4631"/>
    <w:rsid w:val="009E54AF"/>
    <w:rsid w:val="009E7E58"/>
    <w:rsid w:val="009F4514"/>
    <w:rsid w:val="009F4F79"/>
    <w:rsid w:val="009F5A37"/>
    <w:rsid w:val="009F68BB"/>
    <w:rsid w:val="009F6FF7"/>
    <w:rsid w:val="009F7546"/>
    <w:rsid w:val="00A0119F"/>
    <w:rsid w:val="00A0225E"/>
    <w:rsid w:val="00A02BF9"/>
    <w:rsid w:val="00A0374B"/>
    <w:rsid w:val="00A03E09"/>
    <w:rsid w:val="00A05774"/>
    <w:rsid w:val="00A05FEF"/>
    <w:rsid w:val="00A10B44"/>
    <w:rsid w:val="00A1269E"/>
    <w:rsid w:val="00A12730"/>
    <w:rsid w:val="00A1318C"/>
    <w:rsid w:val="00A1495B"/>
    <w:rsid w:val="00A21B01"/>
    <w:rsid w:val="00A223BA"/>
    <w:rsid w:val="00A23CE8"/>
    <w:rsid w:val="00A25466"/>
    <w:rsid w:val="00A25E38"/>
    <w:rsid w:val="00A27074"/>
    <w:rsid w:val="00A27CDB"/>
    <w:rsid w:val="00A30793"/>
    <w:rsid w:val="00A328A6"/>
    <w:rsid w:val="00A3343D"/>
    <w:rsid w:val="00A35A19"/>
    <w:rsid w:val="00A404E2"/>
    <w:rsid w:val="00A40A27"/>
    <w:rsid w:val="00A412CF"/>
    <w:rsid w:val="00A4198A"/>
    <w:rsid w:val="00A41A8A"/>
    <w:rsid w:val="00A43705"/>
    <w:rsid w:val="00A50730"/>
    <w:rsid w:val="00A50DE1"/>
    <w:rsid w:val="00A552B4"/>
    <w:rsid w:val="00A60EDB"/>
    <w:rsid w:val="00A61263"/>
    <w:rsid w:val="00A61A19"/>
    <w:rsid w:val="00A623C0"/>
    <w:rsid w:val="00A7036A"/>
    <w:rsid w:val="00A71235"/>
    <w:rsid w:val="00A71382"/>
    <w:rsid w:val="00A7264C"/>
    <w:rsid w:val="00A800AC"/>
    <w:rsid w:val="00A8172B"/>
    <w:rsid w:val="00A82A98"/>
    <w:rsid w:val="00A86AE5"/>
    <w:rsid w:val="00A86D93"/>
    <w:rsid w:val="00A906AC"/>
    <w:rsid w:val="00A90B6F"/>
    <w:rsid w:val="00A91E3C"/>
    <w:rsid w:val="00A9322C"/>
    <w:rsid w:val="00A93653"/>
    <w:rsid w:val="00A94713"/>
    <w:rsid w:val="00A96549"/>
    <w:rsid w:val="00AA22A1"/>
    <w:rsid w:val="00AA7963"/>
    <w:rsid w:val="00AB08A6"/>
    <w:rsid w:val="00AB3574"/>
    <w:rsid w:val="00AB4B6C"/>
    <w:rsid w:val="00AB4E24"/>
    <w:rsid w:val="00AB58F0"/>
    <w:rsid w:val="00AB5BF1"/>
    <w:rsid w:val="00AC2021"/>
    <w:rsid w:val="00AC60FC"/>
    <w:rsid w:val="00AD1E79"/>
    <w:rsid w:val="00AD22E1"/>
    <w:rsid w:val="00AD3519"/>
    <w:rsid w:val="00AD3AD2"/>
    <w:rsid w:val="00AD58A2"/>
    <w:rsid w:val="00AD725D"/>
    <w:rsid w:val="00AD74A4"/>
    <w:rsid w:val="00AD7BC1"/>
    <w:rsid w:val="00AE1106"/>
    <w:rsid w:val="00AE1A1E"/>
    <w:rsid w:val="00AE2259"/>
    <w:rsid w:val="00AE2391"/>
    <w:rsid w:val="00AE39FD"/>
    <w:rsid w:val="00AE445B"/>
    <w:rsid w:val="00AF08F7"/>
    <w:rsid w:val="00AF0E10"/>
    <w:rsid w:val="00AF2BFC"/>
    <w:rsid w:val="00AF5E56"/>
    <w:rsid w:val="00B006C1"/>
    <w:rsid w:val="00B037DD"/>
    <w:rsid w:val="00B05891"/>
    <w:rsid w:val="00B06E28"/>
    <w:rsid w:val="00B138CB"/>
    <w:rsid w:val="00B13C2A"/>
    <w:rsid w:val="00B13DC6"/>
    <w:rsid w:val="00B14856"/>
    <w:rsid w:val="00B157AC"/>
    <w:rsid w:val="00B15838"/>
    <w:rsid w:val="00B17819"/>
    <w:rsid w:val="00B233DA"/>
    <w:rsid w:val="00B24366"/>
    <w:rsid w:val="00B2490E"/>
    <w:rsid w:val="00B27B06"/>
    <w:rsid w:val="00B305CD"/>
    <w:rsid w:val="00B3142D"/>
    <w:rsid w:val="00B32938"/>
    <w:rsid w:val="00B361AF"/>
    <w:rsid w:val="00B36279"/>
    <w:rsid w:val="00B37910"/>
    <w:rsid w:val="00B37998"/>
    <w:rsid w:val="00B42562"/>
    <w:rsid w:val="00B45833"/>
    <w:rsid w:val="00B459AD"/>
    <w:rsid w:val="00B47E3A"/>
    <w:rsid w:val="00B559AB"/>
    <w:rsid w:val="00B56EDD"/>
    <w:rsid w:val="00B6254E"/>
    <w:rsid w:val="00B67728"/>
    <w:rsid w:val="00B7297B"/>
    <w:rsid w:val="00B76E86"/>
    <w:rsid w:val="00B8017D"/>
    <w:rsid w:val="00B8099C"/>
    <w:rsid w:val="00B80CB8"/>
    <w:rsid w:val="00B830E3"/>
    <w:rsid w:val="00B839DA"/>
    <w:rsid w:val="00B83FA9"/>
    <w:rsid w:val="00B848CE"/>
    <w:rsid w:val="00B906D2"/>
    <w:rsid w:val="00B91F6A"/>
    <w:rsid w:val="00B9392C"/>
    <w:rsid w:val="00B951A1"/>
    <w:rsid w:val="00B97B5C"/>
    <w:rsid w:val="00BA12C7"/>
    <w:rsid w:val="00BA1E1F"/>
    <w:rsid w:val="00BA2299"/>
    <w:rsid w:val="00BA25DD"/>
    <w:rsid w:val="00BA3B71"/>
    <w:rsid w:val="00BA67B0"/>
    <w:rsid w:val="00BB0135"/>
    <w:rsid w:val="00BB08CC"/>
    <w:rsid w:val="00BB0D71"/>
    <w:rsid w:val="00BB44EE"/>
    <w:rsid w:val="00BB48D3"/>
    <w:rsid w:val="00BB48E7"/>
    <w:rsid w:val="00BB586D"/>
    <w:rsid w:val="00BB6EA6"/>
    <w:rsid w:val="00BB6FFC"/>
    <w:rsid w:val="00BC04E0"/>
    <w:rsid w:val="00BC2C8E"/>
    <w:rsid w:val="00BC5532"/>
    <w:rsid w:val="00BC587B"/>
    <w:rsid w:val="00BD1183"/>
    <w:rsid w:val="00BD35D4"/>
    <w:rsid w:val="00BD43C5"/>
    <w:rsid w:val="00BE4565"/>
    <w:rsid w:val="00BE55CB"/>
    <w:rsid w:val="00BF4B80"/>
    <w:rsid w:val="00BF5481"/>
    <w:rsid w:val="00C042FA"/>
    <w:rsid w:val="00C04E9F"/>
    <w:rsid w:val="00C05D8C"/>
    <w:rsid w:val="00C07FB1"/>
    <w:rsid w:val="00C10BA6"/>
    <w:rsid w:val="00C11F67"/>
    <w:rsid w:val="00C123B0"/>
    <w:rsid w:val="00C17B6E"/>
    <w:rsid w:val="00C20DC0"/>
    <w:rsid w:val="00C21CE9"/>
    <w:rsid w:val="00C248AD"/>
    <w:rsid w:val="00C25238"/>
    <w:rsid w:val="00C2536A"/>
    <w:rsid w:val="00C25422"/>
    <w:rsid w:val="00C2656C"/>
    <w:rsid w:val="00C30F5E"/>
    <w:rsid w:val="00C323A2"/>
    <w:rsid w:val="00C346F8"/>
    <w:rsid w:val="00C4188C"/>
    <w:rsid w:val="00C42619"/>
    <w:rsid w:val="00C604F8"/>
    <w:rsid w:val="00C61E4B"/>
    <w:rsid w:val="00C61F66"/>
    <w:rsid w:val="00C639C4"/>
    <w:rsid w:val="00C64281"/>
    <w:rsid w:val="00C65046"/>
    <w:rsid w:val="00C65976"/>
    <w:rsid w:val="00C776A1"/>
    <w:rsid w:val="00C77EC4"/>
    <w:rsid w:val="00C814B5"/>
    <w:rsid w:val="00C81B42"/>
    <w:rsid w:val="00C82C2A"/>
    <w:rsid w:val="00C83113"/>
    <w:rsid w:val="00C83D4F"/>
    <w:rsid w:val="00C94F7C"/>
    <w:rsid w:val="00C95795"/>
    <w:rsid w:val="00CA4CF2"/>
    <w:rsid w:val="00CA587E"/>
    <w:rsid w:val="00CB1160"/>
    <w:rsid w:val="00CB158A"/>
    <w:rsid w:val="00CB212F"/>
    <w:rsid w:val="00CB4D47"/>
    <w:rsid w:val="00CC0DBD"/>
    <w:rsid w:val="00CC467B"/>
    <w:rsid w:val="00CD1275"/>
    <w:rsid w:val="00CD5239"/>
    <w:rsid w:val="00CD71F5"/>
    <w:rsid w:val="00CE05B9"/>
    <w:rsid w:val="00CE0A79"/>
    <w:rsid w:val="00CE3160"/>
    <w:rsid w:val="00CE3911"/>
    <w:rsid w:val="00CE442E"/>
    <w:rsid w:val="00CE50C1"/>
    <w:rsid w:val="00CE71D5"/>
    <w:rsid w:val="00CF0092"/>
    <w:rsid w:val="00CF2E88"/>
    <w:rsid w:val="00CF5D92"/>
    <w:rsid w:val="00CF61C3"/>
    <w:rsid w:val="00CF67FC"/>
    <w:rsid w:val="00CF6C60"/>
    <w:rsid w:val="00D01758"/>
    <w:rsid w:val="00D0232A"/>
    <w:rsid w:val="00D037BD"/>
    <w:rsid w:val="00D0536D"/>
    <w:rsid w:val="00D062FE"/>
    <w:rsid w:val="00D10087"/>
    <w:rsid w:val="00D12C8A"/>
    <w:rsid w:val="00D137EC"/>
    <w:rsid w:val="00D159E2"/>
    <w:rsid w:val="00D15DBD"/>
    <w:rsid w:val="00D203AB"/>
    <w:rsid w:val="00D20C50"/>
    <w:rsid w:val="00D22690"/>
    <w:rsid w:val="00D23F84"/>
    <w:rsid w:val="00D26158"/>
    <w:rsid w:val="00D30791"/>
    <w:rsid w:val="00D31933"/>
    <w:rsid w:val="00D32953"/>
    <w:rsid w:val="00D337E5"/>
    <w:rsid w:val="00D35A41"/>
    <w:rsid w:val="00D3788B"/>
    <w:rsid w:val="00D41806"/>
    <w:rsid w:val="00D46B9B"/>
    <w:rsid w:val="00D5391B"/>
    <w:rsid w:val="00D53D2B"/>
    <w:rsid w:val="00D54120"/>
    <w:rsid w:val="00D567C6"/>
    <w:rsid w:val="00D57670"/>
    <w:rsid w:val="00D61638"/>
    <w:rsid w:val="00D6411F"/>
    <w:rsid w:val="00D7379C"/>
    <w:rsid w:val="00D7513F"/>
    <w:rsid w:val="00D77878"/>
    <w:rsid w:val="00D83324"/>
    <w:rsid w:val="00D83719"/>
    <w:rsid w:val="00D90836"/>
    <w:rsid w:val="00D92D35"/>
    <w:rsid w:val="00D940A9"/>
    <w:rsid w:val="00D96CB9"/>
    <w:rsid w:val="00D9718A"/>
    <w:rsid w:val="00DA0705"/>
    <w:rsid w:val="00DA197D"/>
    <w:rsid w:val="00DA25C2"/>
    <w:rsid w:val="00DA2605"/>
    <w:rsid w:val="00DA2752"/>
    <w:rsid w:val="00DA2D26"/>
    <w:rsid w:val="00DA472F"/>
    <w:rsid w:val="00DA58C1"/>
    <w:rsid w:val="00DB6A29"/>
    <w:rsid w:val="00DB7675"/>
    <w:rsid w:val="00DC1951"/>
    <w:rsid w:val="00DC28D8"/>
    <w:rsid w:val="00DC2E94"/>
    <w:rsid w:val="00DC4431"/>
    <w:rsid w:val="00DD09A2"/>
    <w:rsid w:val="00DD09E5"/>
    <w:rsid w:val="00DD0F4C"/>
    <w:rsid w:val="00DD1097"/>
    <w:rsid w:val="00DD148E"/>
    <w:rsid w:val="00DD298D"/>
    <w:rsid w:val="00DD45AB"/>
    <w:rsid w:val="00DD5660"/>
    <w:rsid w:val="00DE009D"/>
    <w:rsid w:val="00DE08E3"/>
    <w:rsid w:val="00DE24D1"/>
    <w:rsid w:val="00DE2E77"/>
    <w:rsid w:val="00DE3A3A"/>
    <w:rsid w:val="00DE3D1B"/>
    <w:rsid w:val="00DF3103"/>
    <w:rsid w:val="00DF4019"/>
    <w:rsid w:val="00DF4E26"/>
    <w:rsid w:val="00DF697A"/>
    <w:rsid w:val="00DF75EA"/>
    <w:rsid w:val="00DF79EA"/>
    <w:rsid w:val="00E04831"/>
    <w:rsid w:val="00E06A34"/>
    <w:rsid w:val="00E101C2"/>
    <w:rsid w:val="00E14EA8"/>
    <w:rsid w:val="00E16D84"/>
    <w:rsid w:val="00E17872"/>
    <w:rsid w:val="00E213B0"/>
    <w:rsid w:val="00E268FB"/>
    <w:rsid w:val="00E27163"/>
    <w:rsid w:val="00E2747D"/>
    <w:rsid w:val="00E278AB"/>
    <w:rsid w:val="00E344C9"/>
    <w:rsid w:val="00E35AA3"/>
    <w:rsid w:val="00E4134C"/>
    <w:rsid w:val="00E46A19"/>
    <w:rsid w:val="00E46CCF"/>
    <w:rsid w:val="00E47DD2"/>
    <w:rsid w:val="00E50122"/>
    <w:rsid w:val="00E53B2B"/>
    <w:rsid w:val="00E54C40"/>
    <w:rsid w:val="00E636C1"/>
    <w:rsid w:val="00E63776"/>
    <w:rsid w:val="00E66662"/>
    <w:rsid w:val="00E71ABD"/>
    <w:rsid w:val="00E734A1"/>
    <w:rsid w:val="00E73C17"/>
    <w:rsid w:val="00E746BB"/>
    <w:rsid w:val="00E76159"/>
    <w:rsid w:val="00E830B9"/>
    <w:rsid w:val="00E83BDB"/>
    <w:rsid w:val="00E858D3"/>
    <w:rsid w:val="00E92115"/>
    <w:rsid w:val="00E9239F"/>
    <w:rsid w:val="00E932AE"/>
    <w:rsid w:val="00E943A2"/>
    <w:rsid w:val="00E94E9B"/>
    <w:rsid w:val="00E95933"/>
    <w:rsid w:val="00EA101D"/>
    <w:rsid w:val="00EA113E"/>
    <w:rsid w:val="00EA24AD"/>
    <w:rsid w:val="00EA2884"/>
    <w:rsid w:val="00EA45E5"/>
    <w:rsid w:val="00EA7843"/>
    <w:rsid w:val="00EB2525"/>
    <w:rsid w:val="00EB37C2"/>
    <w:rsid w:val="00EB5CB8"/>
    <w:rsid w:val="00EB771F"/>
    <w:rsid w:val="00EC010D"/>
    <w:rsid w:val="00EC4108"/>
    <w:rsid w:val="00EC516A"/>
    <w:rsid w:val="00EC64DC"/>
    <w:rsid w:val="00ED2434"/>
    <w:rsid w:val="00ED60E5"/>
    <w:rsid w:val="00ED629E"/>
    <w:rsid w:val="00ED62CD"/>
    <w:rsid w:val="00EE08CA"/>
    <w:rsid w:val="00EE3B39"/>
    <w:rsid w:val="00EE53B8"/>
    <w:rsid w:val="00EE5E45"/>
    <w:rsid w:val="00EE799F"/>
    <w:rsid w:val="00EF1A1C"/>
    <w:rsid w:val="00EF72AF"/>
    <w:rsid w:val="00F003A4"/>
    <w:rsid w:val="00F0078A"/>
    <w:rsid w:val="00F01C10"/>
    <w:rsid w:val="00F046B1"/>
    <w:rsid w:val="00F06DEF"/>
    <w:rsid w:val="00F07140"/>
    <w:rsid w:val="00F1287C"/>
    <w:rsid w:val="00F20AA5"/>
    <w:rsid w:val="00F229B4"/>
    <w:rsid w:val="00F22A08"/>
    <w:rsid w:val="00F279BF"/>
    <w:rsid w:val="00F3118B"/>
    <w:rsid w:val="00F3150D"/>
    <w:rsid w:val="00F37D14"/>
    <w:rsid w:val="00F42E37"/>
    <w:rsid w:val="00F436CB"/>
    <w:rsid w:val="00F45FBC"/>
    <w:rsid w:val="00F46F30"/>
    <w:rsid w:val="00F52707"/>
    <w:rsid w:val="00F52B60"/>
    <w:rsid w:val="00F55192"/>
    <w:rsid w:val="00F561D3"/>
    <w:rsid w:val="00F6176A"/>
    <w:rsid w:val="00F63D6B"/>
    <w:rsid w:val="00F67754"/>
    <w:rsid w:val="00F73630"/>
    <w:rsid w:val="00F7731C"/>
    <w:rsid w:val="00F776B1"/>
    <w:rsid w:val="00F818CF"/>
    <w:rsid w:val="00F8218F"/>
    <w:rsid w:val="00F855C8"/>
    <w:rsid w:val="00F863F2"/>
    <w:rsid w:val="00F86F86"/>
    <w:rsid w:val="00F87551"/>
    <w:rsid w:val="00F91F29"/>
    <w:rsid w:val="00F9337D"/>
    <w:rsid w:val="00F966E6"/>
    <w:rsid w:val="00FA1737"/>
    <w:rsid w:val="00FA224A"/>
    <w:rsid w:val="00FA3E77"/>
    <w:rsid w:val="00FB1C18"/>
    <w:rsid w:val="00FB2A23"/>
    <w:rsid w:val="00FB51CA"/>
    <w:rsid w:val="00FC1A1B"/>
    <w:rsid w:val="00FC3BBF"/>
    <w:rsid w:val="00FC533C"/>
    <w:rsid w:val="00FC58E6"/>
    <w:rsid w:val="00FC6441"/>
    <w:rsid w:val="00FD00BF"/>
    <w:rsid w:val="00FD44F3"/>
    <w:rsid w:val="00FE0633"/>
    <w:rsid w:val="00FE1B36"/>
    <w:rsid w:val="00FE1EA0"/>
    <w:rsid w:val="00FE20D8"/>
    <w:rsid w:val="00FE3145"/>
    <w:rsid w:val="00FE4AF8"/>
    <w:rsid w:val="00FE5DDC"/>
    <w:rsid w:val="00FE71B4"/>
    <w:rsid w:val="00FF1D6C"/>
    <w:rsid w:val="00FF271F"/>
    <w:rsid w:val="00FF31AE"/>
    <w:rsid w:val="00FF3733"/>
    <w:rsid w:val="00FF3BB9"/>
    <w:rsid w:val="00FF492B"/>
    <w:rsid w:val="00FF6736"/>
    <w:rsid w:val="00FF72DD"/>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4DF32F"/>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172">
      <w:bodyDiv w:val="1"/>
      <w:marLeft w:val="0"/>
      <w:marRight w:val="0"/>
      <w:marTop w:val="0"/>
      <w:marBottom w:val="0"/>
      <w:divBdr>
        <w:top w:val="none" w:sz="0" w:space="0" w:color="auto"/>
        <w:left w:val="none" w:sz="0" w:space="0" w:color="auto"/>
        <w:bottom w:val="none" w:sz="0" w:space="0" w:color="auto"/>
        <w:right w:val="none" w:sz="0" w:space="0" w:color="auto"/>
      </w:divBdr>
    </w:div>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240412021">
      <w:bodyDiv w:val="1"/>
      <w:marLeft w:val="0"/>
      <w:marRight w:val="0"/>
      <w:marTop w:val="0"/>
      <w:marBottom w:val="0"/>
      <w:divBdr>
        <w:top w:val="none" w:sz="0" w:space="0" w:color="auto"/>
        <w:left w:val="none" w:sz="0" w:space="0" w:color="auto"/>
        <w:bottom w:val="none" w:sz="0" w:space="0" w:color="auto"/>
        <w:right w:val="none" w:sz="0" w:space="0" w:color="auto"/>
      </w:divBdr>
    </w:div>
    <w:div w:id="301733685">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38719438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15270978">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13244088">
      <w:bodyDiv w:val="1"/>
      <w:marLeft w:val="0"/>
      <w:marRight w:val="0"/>
      <w:marTop w:val="0"/>
      <w:marBottom w:val="0"/>
      <w:divBdr>
        <w:top w:val="none" w:sz="0" w:space="0" w:color="auto"/>
        <w:left w:val="none" w:sz="0" w:space="0" w:color="auto"/>
        <w:bottom w:val="none" w:sz="0" w:space="0" w:color="auto"/>
        <w:right w:val="none" w:sz="0" w:space="0" w:color="auto"/>
      </w:divBdr>
    </w:div>
    <w:div w:id="629753046">
      <w:bodyDiv w:val="1"/>
      <w:marLeft w:val="0"/>
      <w:marRight w:val="0"/>
      <w:marTop w:val="0"/>
      <w:marBottom w:val="0"/>
      <w:divBdr>
        <w:top w:val="none" w:sz="0" w:space="0" w:color="auto"/>
        <w:left w:val="none" w:sz="0" w:space="0" w:color="auto"/>
        <w:bottom w:val="none" w:sz="0" w:space="0" w:color="auto"/>
        <w:right w:val="none" w:sz="0" w:space="0" w:color="auto"/>
      </w:divBdr>
    </w:div>
    <w:div w:id="664280033">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760446911">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869339709">
      <w:bodyDiv w:val="1"/>
      <w:marLeft w:val="0"/>
      <w:marRight w:val="0"/>
      <w:marTop w:val="0"/>
      <w:marBottom w:val="0"/>
      <w:divBdr>
        <w:top w:val="none" w:sz="0" w:space="0" w:color="auto"/>
        <w:left w:val="none" w:sz="0" w:space="0" w:color="auto"/>
        <w:bottom w:val="none" w:sz="0" w:space="0" w:color="auto"/>
        <w:right w:val="none" w:sz="0" w:space="0" w:color="auto"/>
      </w:divBdr>
    </w:div>
    <w:div w:id="915745228">
      <w:bodyDiv w:val="1"/>
      <w:marLeft w:val="0"/>
      <w:marRight w:val="0"/>
      <w:marTop w:val="0"/>
      <w:marBottom w:val="0"/>
      <w:divBdr>
        <w:top w:val="none" w:sz="0" w:space="0" w:color="auto"/>
        <w:left w:val="none" w:sz="0" w:space="0" w:color="auto"/>
        <w:bottom w:val="none" w:sz="0" w:space="0" w:color="auto"/>
        <w:right w:val="none" w:sz="0" w:space="0" w:color="auto"/>
      </w:divBdr>
    </w:div>
    <w:div w:id="918640790">
      <w:bodyDiv w:val="1"/>
      <w:marLeft w:val="0"/>
      <w:marRight w:val="0"/>
      <w:marTop w:val="0"/>
      <w:marBottom w:val="0"/>
      <w:divBdr>
        <w:top w:val="none" w:sz="0" w:space="0" w:color="auto"/>
        <w:left w:val="none" w:sz="0" w:space="0" w:color="auto"/>
        <w:bottom w:val="none" w:sz="0" w:space="0" w:color="auto"/>
        <w:right w:val="none" w:sz="0" w:space="0" w:color="auto"/>
      </w:divBdr>
    </w:div>
    <w:div w:id="929659368">
      <w:bodyDiv w:val="1"/>
      <w:marLeft w:val="0"/>
      <w:marRight w:val="0"/>
      <w:marTop w:val="0"/>
      <w:marBottom w:val="0"/>
      <w:divBdr>
        <w:top w:val="none" w:sz="0" w:space="0" w:color="auto"/>
        <w:left w:val="none" w:sz="0" w:space="0" w:color="auto"/>
        <w:bottom w:val="none" w:sz="0" w:space="0" w:color="auto"/>
        <w:right w:val="none" w:sz="0" w:space="0" w:color="auto"/>
      </w:divBdr>
    </w:div>
    <w:div w:id="941766023">
      <w:bodyDiv w:val="1"/>
      <w:marLeft w:val="0"/>
      <w:marRight w:val="0"/>
      <w:marTop w:val="0"/>
      <w:marBottom w:val="0"/>
      <w:divBdr>
        <w:top w:val="none" w:sz="0" w:space="0" w:color="auto"/>
        <w:left w:val="none" w:sz="0" w:space="0" w:color="auto"/>
        <w:bottom w:val="none" w:sz="0" w:space="0" w:color="auto"/>
        <w:right w:val="none" w:sz="0" w:space="0" w:color="auto"/>
      </w:divBdr>
    </w:div>
    <w:div w:id="958026356">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1249421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055785209">
      <w:bodyDiv w:val="1"/>
      <w:marLeft w:val="0"/>
      <w:marRight w:val="0"/>
      <w:marTop w:val="0"/>
      <w:marBottom w:val="0"/>
      <w:divBdr>
        <w:top w:val="none" w:sz="0" w:space="0" w:color="auto"/>
        <w:left w:val="none" w:sz="0" w:space="0" w:color="auto"/>
        <w:bottom w:val="none" w:sz="0" w:space="0" w:color="auto"/>
        <w:right w:val="none" w:sz="0" w:space="0" w:color="auto"/>
      </w:divBdr>
    </w:div>
    <w:div w:id="1135836434">
      <w:bodyDiv w:val="1"/>
      <w:marLeft w:val="0"/>
      <w:marRight w:val="0"/>
      <w:marTop w:val="0"/>
      <w:marBottom w:val="0"/>
      <w:divBdr>
        <w:top w:val="none" w:sz="0" w:space="0" w:color="auto"/>
        <w:left w:val="none" w:sz="0" w:space="0" w:color="auto"/>
        <w:bottom w:val="none" w:sz="0" w:space="0" w:color="auto"/>
        <w:right w:val="none" w:sz="0" w:space="0" w:color="auto"/>
      </w:divBdr>
    </w:div>
    <w:div w:id="1246917827">
      <w:bodyDiv w:val="1"/>
      <w:marLeft w:val="0"/>
      <w:marRight w:val="0"/>
      <w:marTop w:val="0"/>
      <w:marBottom w:val="0"/>
      <w:divBdr>
        <w:top w:val="none" w:sz="0" w:space="0" w:color="auto"/>
        <w:left w:val="none" w:sz="0" w:space="0" w:color="auto"/>
        <w:bottom w:val="none" w:sz="0" w:space="0" w:color="auto"/>
        <w:right w:val="none" w:sz="0" w:space="0" w:color="auto"/>
      </w:divBdr>
    </w:div>
    <w:div w:id="1265726361">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1036039">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451433757">
      <w:bodyDiv w:val="1"/>
      <w:marLeft w:val="0"/>
      <w:marRight w:val="0"/>
      <w:marTop w:val="0"/>
      <w:marBottom w:val="0"/>
      <w:divBdr>
        <w:top w:val="none" w:sz="0" w:space="0" w:color="auto"/>
        <w:left w:val="none" w:sz="0" w:space="0" w:color="auto"/>
        <w:bottom w:val="none" w:sz="0" w:space="0" w:color="auto"/>
        <w:right w:val="none" w:sz="0" w:space="0" w:color="auto"/>
      </w:divBdr>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34141294">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39024703">
      <w:bodyDiv w:val="1"/>
      <w:marLeft w:val="0"/>
      <w:marRight w:val="0"/>
      <w:marTop w:val="0"/>
      <w:marBottom w:val="0"/>
      <w:divBdr>
        <w:top w:val="none" w:sz="0" w:space="0" w:color="auto"/>
        <w:left w:val="none" w:sz="0" w:space="0" w:color="auto"/>
        <w:bottom w:val="none" w:sz="0" w:space="0" w:color="auto"/>
        <w:right w:val="none" w:sz="0" w:space="0" w:color="auto"/>
      </w:divBdr>
    </w:div>
    <w:div w:id="1956791453">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 w:id="2033265966">
      <w:bodyDiv w:val="1"/>
      <w:marLeft w:val="0"/>
      <w:marRight w:val="0"/>
      <w:marTop w:val="0"/>
      <w:marBottom w:val="0"/>
      <w:divBdr>
        <w:top w:val="none" w:sz="0" w:space="0" w:color="auto"/>
        <w:left w:val="none" w:sz="0" w:space="0" w:color="auto"/>
        <w:bottom w:val="none" w:sz="0" w:space="0" w:color="auto"/>
        <w:right w:val="none" w:sz="0" w:space="0" w:color="auto"/>
      </w:divBdr>
    </w:div>
    <w:div w:id="2106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90D2-4341-4CFE-914F-EE5D61BE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39</TotalTime>
  <Pages>8</Pages>
  <Words>2946</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18810</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7</cp:revision>
  <cp:lastPrinted>2018-06-18T16:32:00Z</cp:lastPrinted>
  <dcterms:created xsi:type="dcterms:W3CDTF">2018-06-19T12:51:00Z</dcterms:created>
  <dcterms:modified xsi:type="dcterms:W3CDTF">2018-06-19T14:11:00Z</dcterms:modified>
</cp:coreProperties>
</file>