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9A3635" w:rsidP="00CF1133">
      <w:pPr>
        <w:ind w:left="-710" w:firstLine="695"/>
        <w:rPr>
          <w:b/>
          <w:bCs/>
        </w:rPr>
      </w:pPr>
    </w:p>
    <w:p w:rsidR="00CF1133" w:rsidRDefault="00F376F4" w:rsidP="00CF1133">
      <w:pPr>
        <w:ind w:left="-710" w:firstLine="695"/>
        <w:rPr>
          <w:b/>
          <w:bCs/>
        </w:rPr>
      </w:pPr>
      <w:r>
        <w:rPr>
          <w:b/>
          <w:bCs/>
        </w:rPr>
        <w:t>LEP – Sub Committee</w:t>
      </w:r>
    </w:p>
    <w:p w:rsidR="00BE3AA8" w:rsidRDefault="009A3635" w:rsidP="00CF1133">
      <w:pPr>
        <w:ind w:left="-710" w:firstLine="695"/>
        <w:rPr>
          <w:b/>
          <w:bCs/>
        </w:rPr>
      </w:pPr>
    </w:p>
    <w:p w:rsidR="00BE3AA8" w:rsidRDefault="00F376F4"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9A3635" w:rsidP="00CF1133">
      <w:pPr>
        <w:spacing w:after="0" w:line="256" w:lineRule="auto"/>
        <w:ind w:left="0" w:firstLine="0"/>
        <w:rPr>
          <w:b/>
          <w:bCs/>
        </w:rPr>
      </w:pPr>
    </w:p>
    <w:p w:rsidR="00BC4466" w:rsidRPr="00BC4466" w:rsidRDefault="00F376F4" w:rsidP="00CF1133">
      <w:pPr>
        <w:spacing w:after="0" w:line="256" w:lineRule="auto"/>
        <w:ind w:left="0" w:firstLine="0"/>
        <w:rPr>
          <w:b/>
          <w:bCs/>
        </w:rPr>
      </w:pPr>
      <w:r w:rsidRPr="00BC4466">
        <w:rPr>
          <w:b/>
        </w:rPr>
        <w:t xml:space="preserve">Private and Confidential: </w:t>
      </w:r>
      <w:r>
        <w:rPr>
          <w:b/>
        </w:rPr>
        <w:t>NO</w:t>
      </w:r>
    </w:p>
    <w:p w:rsidR="00BC4466" w:rsidRDefault="009A3635" w:rsidP="00CF1133">
      <w:pPr>
        <w:spacing w:after="0" w:line="256" w:lineRule="auto"/>
        <w:ind w:left="0" w:firstLine="0"/>
      </w:pPr>
    </w:p>
    <w:p w:rsidR="00A3358A" w:rsidRDefault="00F376F4" w:rsidP="00A3358A">
      <w:r w:rsidRPr="00987EB4">
        <w:rPr>
          <w:b/>
        </w:rPr>
        <w:t>Date:</w:t>
      </w:r>
      <w:r>
        <w:t xml:space="preserve"> </w:t>
      </w:r>
      <w:fldSimple w:instr=" DOCPROPERTY  MeetingDate  \* MERGEFORMAT ">
        <w:r>
          <w:t>Wednesday, 21 November 2018</w:t>
        </w:r>
      </w:fldSimple>
    </w:p>
    <w:p w:rsidR="00A3358A" w:rsidRDefault="009A3635" w:rsidP="00A3358A"/>
    <w:p w:rsidR="00A3358A" w:rsidRDefault="00F376F4" w:rsidP="00E016E0">
      <w:pPr>
        <w:rPr>
          <w:b/>
        </w:rPr>
      </w:pPr>
      <w:r>
        <w:rPr>
          <w:b/>
        </w:rPr>
        <w:fldChar w:fldCharType="begin"/>
      </w:r>
      <w:r>
        <w:rPr>
          <w:b/>
        </w:rPr>
        <w:instrText xml:space="preserve"> DOCPROPERTY  IssueTitle  \* MERGEFORMAT </w:instrText>
      </w:r>
      <w:r>
        <w:rPr>
          <w:b/>
        </w:rPr>
        <w:fldChar w:fldCharType="separate"/>
      </w:r>
      <w:r>
        <w:rPr>
          <w:b/>
        </w:rPr>
        <w:t>European Social Funds</w:t>
      </w:r>
      <w:r>
        <w:rPr>
          <w:b/>
        </w:rPr>
        <w:fldChar w:fldCharType="end"/>
      </w:r>
    </w:p>
    <w:p w:rsidR="00F376F4" w:rsidRPr="00F376F4" w:rsidRDefault="00F376F4" w:rsidP="00E016E0">
      <w:pPr>
        <w:rPr>
          <w:rFonts w:eastAsia="Times New Roman" w:cs="Times New Roman"/>
          <w:color w:val="auto"/>
          <w:szCs w:val="20"/>
        </w:rPr>
      </w:pPr>
      <w:r>
        <w:t>(Appendix 'A' refers)</w:t>
      </w:r>
    </w:p>
    <w:p w:rsidR="00D7480F" w:rsidRDefault="009A3635" w:rsidP="00CF1133">
      <w:pPr>
        <w:spacing w:after="0" w:line="256" w:lineRule="auto"/>
        <w:ind w:left="0" w:firstLine="0"/>
      </w:pPr>
    </w:p>
    <w:p w:rsidR="00202508" w:rsidRDefault="00F376F4" w:rsidP="00202508">
      <w:pPr>
        <w:spacing w:after="160" w:line="259" w:lineRule="auto"/>
        <w:ind w:left="0" w:right="-897" w:hanging="15"/>
      </w:pPr>
      <w:r w:rsidRPr="00F41096">
        <w:rPr>
          <w:b/>
        </w:rPr>
        <w:t>Report Author:</w:t>
      </w:r>
      <w:r>
        <w:rPr>
          <w:b/>
        </w:rPr>
        <w:t xml:space="preserve"> </w:t>
      </w:r>
      <w:r>
        <w:rPr>
          <w:rFonts w:eastAsia="Malgun Gothic" w:hAnsi="Malgun Gothic"/>
        </w:rPr>
        <w:t xml:space="preserve">Dr M Lawty-Jones, Director </w:t>
      </w:r>
      <w:r w:rsidR="00202508">
        <w:rPr>
          <w:rFonts w:eastAsia="Malgun Gothic" w:hAnsi="Malgun Gothic"/>
        </w:rPr>
        <w:t xml:space="preserve">of the </w:t>
      </w:r>
      <w:r>
        <w:rPr>
          <w:rFonts w:eastAsia="Malgun Gothic" w:hAnsi="Malgun Gothic"/>
        </w:rPr>
        <w:t>Lancashire Skills</w:t>
      </w:r>
      <w:r w:rsidR="00202508">
        <w:rPr>
          <w:rFonts w:eastAsia="Malgun Gothic" w:hAnsi="Malgun Gothic"/>
        </w:rPr>
        <w:t xml:space="preserve"> and Employment</w:t>
      </w:r>
      <w:r>
        <w:rPr>
          <w:rFonts w:eastAsia="Malgun Gothic" w:hAnsi="Malgun Gothic"/>
        </w:rPr>
        <w:t xml:space="preserve"> Hub, </w:t>
      </w:r>
      <w:r w:rsidR="00202508">
        <w:t xml:space="preserve">Tel: 07825996446, </w:t>
      </w:r>
      <w:hyperlink r:id="rId8" w:history="1">
        <w:r w:rsidR="00202508" w:rsidRPr="004F5B56">
          <w:rPr>
            <w:rStyle w:val="Hyperlink"/>
            <w:sz w:val="24"/>
            <w:szCs w:val="24"/>
          </w:rPr>
          <w:t>michele.lawty-jones@lancashirelep.co.uk</w:t>
        </w:r>
      </w:hyperlink>
    </w:p>
    <w:p w:rsidR="00E016E0" w:rsidRPr="00202508" w:rsidRDefault="00F376F4" w:rsidP="00202508">
      <w:pPr>
        <w:spacing w:after="160" w:line="259" w:lineRule="auto"/>
        <w:ind w:left="0" w:right="-897" w:hanging="15"/>
        <w:rPr>
          <w:rFonts w:eastAsia="Arial"/>
        </w:rPr>
      </w:pPr>
      <w:r>
        <w:rPr>
          <w:rFonts w:eastAsia="Malgun Gothic" w:hAnsi="Malgun Gothic"/>
        </w:rPr>
        <w:t xml:space="preserve">Sean McGrath, </w:t>
      </w:r>
      <w:r w:rsidR="00202508">
        <w:rPr>
          <w:rFonts w:eastAsia="Malgun Gothic" w:hAnsi="Malgun Gothic"/>
        </w:rPr>
        <w:t>External Investment/Funding</w:t>
      </w:r>
      <w:r>
        <w:rPr>
          <w:rFonts w:eastAsia="Malgun Gothic" w:hAnsi="Malgun Gothic"/>
        </w:rPr>
        <w:t>,</w:t>
      </w:r>
      <w:r w:rsidR="00202508">
        <w:rPr>
          <w:rFonts w:eastAsia="Malgun Gothic" w:hAnsi="Malgun Gothic"/>
        </w:rPr>
        <w:t xml:space="preserve"> Tel: 01772 531053, </w:t>
      </w:r>
      <w:hyperlink r:id="rId9" w:history="1">
        <w:r w:rsidRPr="00202508">
          <w:rPr>
            <w:rStyle w:val="Hyperlink"/>
            <w:rFonts w:eastAsia="Malgun Gothic" w:hAnsi="Malgun Gothic"/>
            <w:sz w:val="24"/>
            <w:szCs w:val="24"/>
          </w:rPr>
          <w:t>sean.mcgrath@lancashire.gov.uk</w:t>
        </w:r>
      </w:hyperlink>
      <w:r w:rsidRPr="00202508">
        <w:rPr>
          <w:rFonts w:eastAsia="Malgun Gothic" w:hAnsi="Malgun Gothic"/>
        </w:rPr>
        <w:t xml:space="preserve"> </w:t>
      </w:r>
    </w:p>
    <w:p w:rsidR="002B3CC5" w:rsidRDefault="009A363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F388C" w:rsidTr="00202508">
        <w:tc>
          <w:tcPr>
            <w:tcW w:w="9180" w:type="dxa"/>
          </w:tcPr>
          <w:p w:rsidR="002B3CC5" w:rsidRDefault="009A3635" w:rsidP="00202508">
            <w:pPr>
              <w:pStyle w:val="Header"/>
              <w:jc w:val="both"/>
            </w:pPr>
          </w:p>
          <w:p w:rsidR="002B3CC5" w:rsidRPr="002B3CC5" w:rsidRDefault="00F376F4" w:rsidP="00202508">
            <w:pPr>
              <w:pStyle w:val="Heading6"/>
              <w:jc w:val="both"/>
              <w:rPr>
                <w:rFonts w:ascii="Arial" w:hAnsi="Arial"/>
                <w:b/>
                <w:color w:val="auto"/>
              </w:rPr>
            </w:pPr>
            <w:r w:rsidRPr="002B3CC5">
              <w:rPr>
                <w:rFonts w:ascii="Arial" w:hAnsi="Arial"/>
                <w:b/>
                <w:color w:val="auto"/>
              </w:rPr>
              <w:t>Executive Summary</w:t>
            </w:r>
          </w:p>
          <w:p w:rsidR="002B3CC5" w:rsidRPr="002B3CC5" w:rsidRDefault="009A3635" w:rsidP="00202508">
            <w:pPr>
              <w:jc w:val="both"/>
              <w:rPr>
                <w:color w:val="auto"/>
              </w:rPr>
            </w:pPr>
          </w:p>
          <w:p w:rsidR="00E016E0" w:rsidRPr="00E016E0" w:rsidRDefault="00F376F4" w:rsidP="00202508">
            <w:pPr>
              <w:spacing w:after="160" w:line="259" w:lineRule="auto"/>
              <w:ind w:left="0" w:firstLine="0"/>
              <w:jc w:val="both"/>
              <w:rPr>
                <w:rFonts w:eastAsia="Arial" w:cs="Times New Roman"/>
                <w:color w:val="auto"/>
              </w:rPr>
            </w:pPr>
            <w:r w:rsidRPr="00E016E0">
              <w:rPr>
                <w:rFonts w:eastAsia="Malgun Gothic" w:hAnsi="Malgun Gothic" w:cs="Times New Roman"/>
                <w:color w:val="auto"/>
              </w:rPr>
              <w:t>DWP have confirmed the uprated the funding allocations and revised outputs for the ESF England 2014-2020 programme.</w:t>
            </w:r>
          </w:p>
          <w:p w:rsidR="00E016E0" w:rsidRPr="00E016E0" w:rsidRDefault="00F376F4" w:rsidP="00202508">
            <w:pPr>
              <w:spacing w:after="160" w:line="259" w:lineRule="auto"/>
              <w:ind w:left="0" w:firstLine="0"/>
              <w:jc w:val="both"/>
              <w:rPr>
                <w:rFonts w:eastAsia="Arial" w:cs="Times New Roman"/>
                <w:color w:val="auto"/>
              </w:rPr>
            </w:pPr>
            <w:r w:rsidRPr="00E016E0">
              <w:rPr>
                <w:rFonts w:eastAsia="Malgun Gothic" w:hAnsi="Malgun Gothic" w:cs="Times New Roman"/>
                <w:color w:val="auto"/>
              </w:rPr>
              <w:t xml:space="preserve">DWP are now looking for LEP areas to confirm ability and plans to commit funds for </w:t>
            </w:r>
            <w:r w:rsidR="009A3635">
              <w:rPr>
                <w:rFonts w:eastAsia="Malgun Gothic" w:hAnsi="Malgun Gothic" w:cs="Times New Roman"/>
                <w:color w:val="auto"/>
              </w:rPr>
              <w:t>the remainder of the programme.</w:t>
            </w:r>
          </w:p>
          <w:p w:rsidR="00E016E0" w:rsidRPr="00E016E0" w:rsidRDefault="00F376F4" w:rsidP="00202508">
            <w:pPr>
              <w:spacing w:after="160" w:line="259" w:lineRule="auto"/>
              <w:ind w:left="0" w:firstLine="0"/>
              <w:jc w:val="both"/>
              <w:rPr>
                <w:rFonts w:eastAsia="Arial" w:cs="Times New Roman"/>
                <w:color w:val="auto"/>
              </w:rPr>
            </w:pPr>
            <w:r w:rsidRPr="00E016E0">
              <w:rPr>
                <w:rFonts w:eastAsia="Malgun Gothic" w:hAnsi="Malgun Gothic" w:cs="Times New Roman"/>
                <w:color w:val="auto"/>
              </w:rPr>
              <w:t>In the latter half of 2019 DWP will bring together any uncommitted funds to form a National Reserve Fund. Currently there is no further information on the design and operation of the National Reserve Fund other than it will support national priorities and address any performance iss</w:t>
            </w:r>
            <w:r w:rsidR="009A3635">
              <w:rPr>
                <w:rFonts w:eastAsia="Malgun Gothic" w:hAnsi="Malgun Gothic" w:cs="Times New Roman"/>
                <w:color w:val="auto"/>
              </w:rPr>
              <w:t>ues in relation to ESF Outputs.</w:t>
            </w:r>
          </w:p>
          <w:p w:rsidR="00E016E0" w:rsidRPr="00E016E0" w:rsidRDefault="00F376F4" w:rsidP="00202508">
            <w:pPr>
              <w:spacing w:after="160" w:line="259" w:lineRule="auto"/>
              <w:ind w:left="0" w:firstLine="0"/>
              <w:jc w:val="both"/>
              <w:rPr>
                <w:rFonts w:eastAsia="Malgun Gothic" w:hAnsi="Malgun Gothic" w:cs="Times New Roman"/>
                <w:color w:val="auto"/>
              </w:rPr>
            </w:pPr>
            <w:r w:rsidRPr="00E016E0">
              <w:rPr>
                <w:rFonts w:eastAsia="Malgun Gothic" w:hAnsi="Malgun Gothic" w:cs="Times New Roman"/>
                <w:color w:val="auto"/>
              </w:rPr>
              <w:t>In order to maximise resources the Lancashire ESIF Committee requested officers to draft proposals for ESF</w:t>
            </w:r>
            <w:r w:rsidR="00202508">
              <w:rPr>
                <w:rFonts w:eastAsia="Malgun Gothic" w:hAnsi="Malgun Gothic" w:cs="Times New Roman"/>
                <w:color w:val="auto"/>
              </w:rPr>
              <w:t xml:space="preserve"> </w:t>
            </w:r>
            <w:r w:rsidRPr="00E016E0">
              <w:rPr>
                <w:rFonts w:eastAsia="Malgun Gothic" w:hAnsi="Malgun Gothic" w:cs="Times New Roman"/>
                <w:color w:val="auto"/>
              </w:rPr>
              <w:t>commitments to December 2023. When approved the proposals can then be shared with DWP, with a view to agreeing an approach that retains the maximum amount of ESF resource</w:t>
            </w:r>
            <w:r>
              <w:rPr>
                <w:rFonts w:eastAsia="Malgun Gothic" w:hAnsi="Malgun Gothic" w:cs="Times New Roman"/>
                <w:color w:val="auto"/>
              </w:rPr>
              <w:t>s</w:t>
            </w:r>
            <w:r w:rsidR="009A3635">
              <w:rPr>
                <w:rFonts w:eastAsia="Malgun Gothic" w:hAnsi="Malgun Gothic" w:cs="Times New Roman"/>
                <w:color w:val="auto"/>
              </w:rPr>
              <w:t xml:space="preserve"> for Lancashire.</w:t>
            </w:r>
          </w:p>
          <w:p w:rsidR="00E016E0" w:rsidRPr="00E016E0" w:rsidRDefault="00F376F4" w:rsidP="00202508">
            <w:pPr>
              <w:spacing w:after="160" w:line="259" w:lineRule="auto"/>
              <w:ind w:left="0" w:firstLine="0"/>
              <w:jc w:val="both"/>
              <w:rPr>
                <w:rFonts w:eastAsia="Arial" w:cs="Times New Roman"/>
                <w:color w:val="auto"/>
              </w:rPr>
            </w:pPr>
            <w:r w:rsidRPr="00E016E0">
              <w:rPr>
                <w:rFonts w:eastAsia="Malgun Gothic" w:hAnsi="Malgun Gothic" w:cs="Times New Roman"/>
                <w:color w:val="auto"/>
              </w:rPr>
              <w:t>The report provides an overview of Lancashire's currently unallocated funds (with and without the performance reserve) and proposals regarding their future use to December 2023.</w:t>
            </w:r>
            <w:r w:rsidR="00202508">
              <w:rPr>
                <w:rFonts w:eastAsia="Malgun Gothic" w:hAnsi="Malgun Gothic" w:cs="Times New Roman"/>
                <w:color w:val="auto"/>
              </w:rPr>
              <w:t xml:space="preserve"> </w:t>
            </w:r>
            <w:r w:rsidRPr="00E016E0">
              <w:rPr>
                <w:rFonts w:eastAsia="Malgun Gothic" w:hAnsi="Malgun Gothic" w:cs="Times New Roman"/>
                <w:color w:val="auto"/>
              </w:rPr>
              <w:t>This is provided in a table, for committee members to review.</w:t>
            </w:r>
          </w:p>
          <w:p w:rsidR="002B3CC5" w:rsidRPr="002B3CC5" w:rsidRDefault="00F376F4" w:rsidP="00202508">
            <w:pPr>
              <w:pStyle w:val="Heading5"/>
              <w:jc w:val="both"/>
              <w:rPr>
                <w:rFonts w:ascii="Arial" w:hAnsi="Arial"/>
                <w:b/>
                <w:color w:val="auto"/>
              </w:rPr>
            </w:pPr>
            <w:r w:rsidRPr="002B3CC5">
              <w:rPr>
                <w:rFonts w:ascii="Arial" w:hAnsi="Arial"/>
                <w:b/>
                <w:color w:val="auto"/>
              </w:rPr>
              <w:t>Recommendation</w:t>
            </w:r>
          </w:p>
          <w:p w:rsidR="002B3CC5" w:rsidRPr="002B3CC5" w:rsidRDefault="009A3635" w:rsidP="00202508">
            <w:pPr>
              <w:jc w:val="both"/>
              <w:rPr>
                <w:color w:val="auto"/>
              </w:rPr>
            </w:pPr>
          </w:p>
          <w:p w:rsidR="00E016E0" w:rsidRPr="00202508" w:rsidRDefault="00F376F4" w:rsidP="00202508">
            <w:pPr>
              <w:spacing w:after="160" w:line="259" w:lineRule="auto"/>
              <w:ind w:left="0" w:firstLine="0"/>
              <w:jc w:val="both"/>
              <w:rPr>
                <w:rFonts w:eastAsia="Malgun Gothic" w:hAnsi="Malgun Gothic" w:cs="Times New Roman"/>
                <w:color w:val="auto"/>
              </w:rPr>
            </w:pPr>
            <w:r w:rsidRPr="00E016E0">
              <w:rPr>
                <w:rFonts w:eastAsia="Malgun Gothic" w:hAnsi="Malgun Gothic" w:cs="Times New Roman"/>
                <w:color w:val="auto"/>
              </w:rPr>
              <w:t xml:space="preserve">The </w:t>
            </w:r>
            <w:r w:rsidR="00202508">
              <w:rPr>
                <w:rFonts w:eastAsia="Malgun Gothic" w:hAnsi="Malgun Gothic" w:cs="Times New Roman"/>
                <w:color w:val="auto"/>
              </w:rPr>
              <w:t>Lancashire Skills and Employment Board are asked to r</w:t>
            </w:r>
            <w:r w:rsidRPr="00202508">
              <w:rPr>
                <w:rFonts w:eastAsia="Malgun Gothic" w:hAnsi="Malgun Gothic" w:cs="Times New Roman"/>
                <w:color w:val="auto"/>
              </w:rPr>
              <w:t>ecommend to the Lancashire ESIF Committee th</w:t>
            </w:r>
            <w:r w:rsidR="00202508">
              <w:rPr>
                <w:rFonts w:eastAsia="Malgun Gothic" w:hAnsi="Malgun Gothic" w:cs="Times New Roman"/>
                <w:color w:val="auto"/>
              </w:rPr>
              <w:t>e proposals detailed in Table 1</w:t>
            </w:r>
            <w:r w:rsidRPr="00202508">
              <w:rPr>
                <w:rFonts w:eastAsia="Malgun Gothic" w:hAnsi="Malgun Gothic" w:cs="Times New Roman"/>
                <w:color w:val="auto"/>
              </w:rPr>
              <w:t xml:space="preserve"> for submission to DWP.</w:t>
            </w:r>
            <w:bookmarkStart w:id="0" w:name="_GoBack"/>
            <w:bookmarkEnd w:id="0"/>
            <w:r w:rsidRPr="00202508">
              <w:rPr>
                <w:rFonts w:eastAsia="Malgun Gothic" w:hAnsi="Malgun Gothic" w:cs="Times New Roman"/>
                <w:color w:val="auto"/>
              </w:rPr>
              <w:t xml:space="preserve"> </w:t>
            </w:r>
          </w:p>
          <w:p w:rsidR="002B3CC5" w:rsidRDefault="009A3635" w:rsidP="00202508">
            <w:pPr>
              <w:jc w:val="both"/>
            </w:pPr>
          </w:p>
        </w:tc>
      </w:tr>
    </w:tbl>
    <w:p w:rsidR="00202508" w:rsidRDefault="00202508" w:rsidP="00202508">
      <w:pPr>
        <w:jc w:val="both"/>
        <w:rPr>
          <w:b/>
        </w:rPr>
      </w:pPr>
    </w:p>
    <w:p w:rsidR="00202508" w:rsidRDefault="00202508" w:rsidP="00202508">
      <w:pPr>
        <w:jc w:val="both"/>
        <w:rPr>
          <w:b/>
        </w:rPr>
      </w:pPr>
    </w:p>
    <w:p w:rsidR="00386D34" w:rsidRDefault="00202508" w:rsidP="00202508">
      <w:pPr>
        <w:jc w:val="both"/>
        <w:rPr>
          <w:b/>
        </w:rPr>
      </w:pPr>
      <w:r>
        <w:rPr>
          <w:b/>
        </w:rPr>
        <w:lastRenderedPageBreak/>
        <w:t>Background and Advice</w:t>
      </w:r>
    </w:p>
    <w:p w:rsidR="00202508" w:rsidRDefault="00202508" w:rsidP="00202508">
      <w:pPr>
        <w:jc w:val="both"/>
      </w:pPr>
    </w:p>
    <w:p w:rsidR="00202508" w:rsidRDefault="00202508" w:rsidP="00202508">
      <w:pPr>
        <w:jc w:val="both"/>
      </w:pPr>
      <w:r>
        <w:t>N/A</w:t>
      </w:r>
    </w:p>
    <w:p w:rsidR="00202508" w:rsidRDefault="00202508" w:rsidP="00202508">
      <w:pPr>
        <w:keepNext/>
        <w:keepLines/>
        <w:spacing w:before="40" w:after="0"/>
        <w:jc w:val="both"/>
        <w:outlineLvl w:val="4"/>
        <w:rPr>
          <w:rFonts w:eastAsiaTheme="majorEastAsia" w:cstheme="majorBidi"/>
          <w:b/>
          <w:color w:val="auto"/>
        </w:rPr>
      </w:pPr>
    </w:p>
    <w:p w:rsidR="00987EB4" w:rsidRPr="00ED571D" w:rsidRDefault="00F376F4" w:rsidP="00202508">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9A3635" w:rsidP="00202508">
      <w:pPr>
        <w:jc w:val="both"/>
      </w:pPr>
    </w:p>
    <w:tbl>
      <w:tblPr>
        <w:tblW w:w="0" w:type="auto"/>
        <w:tblLayout w:type="fixed"/>
        <w:tblLook w:val="0000" w:firstRow="0" w:lastRow="0" w:firstColumn="0" w:lastColumn="0" w:noHBand="0" w:noVBand="0"/>
      </w:tblPr>
      <w:tblGrid>
        <w:gridCol w:w="3510"/>
        <w:gridCol w:w="2492"/>
        <w:gridCol w:w="3178"/>
      </w:tblGrid>
      <w:tr w:rsidR="006F388C" w:rsidTr="00331DDF">
        <w:tc>
          <w:tcPr>
            <w:tcW w:w="3510" w:type="dxa"/>
          </w:tcPr>
          <w:p w:rsidR="00987EB4" w:rsidRPr="00ED571D" w:rsidRDefault="00F376F4" w:rsidP="00202508">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F376F4" w:rsidP="00202508">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F376F4" w:rsidP="00202508">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6F388C" w:rsidTr="00331DDF">
        <w:tc>
          <w:tcPr>
            <w:tcW w:w="3510" w:type="dxa"/>
          </w:tcPr>
          <w:p w:rsidR="00987EB4" w:rsidRPr="00ED571D" w:rsidRDefault="009A3635" w:rsidP="00202508">
            <w:pPr>
              <w:jc w:val="both"/>
              <w:rPr>
                <w:color w:val="auto"/>
              </w:rPr>
            </w:pPr>
          </w:p>
          <w:p w:rsidR="00987EB4" w:rsidRPr="00ED571D" w:rsidRDefault="00202508" w:rsidP="00202508">
            <w:pPr>
              <w:jc w:val="both"/>
              <w:rPr>
                <w:color w:val="auto"/>
              </w:rPr>
            </w:pPr>
            <w:r>
              <w:rPr>
                <w:color w:val="auto"/>
              </w:rPr>
              <w:t>None</w:t>
            </w:r>
          </w:p>
        </w:tc>
        <w:tc>
          <w:tcPr>
            <w:tcW w:w="2492" w:type="dxa"/>
          </w:tcPr>
          <w:p w:rsidR="00987EB4" w:rsidRPr="00ED571D" w:rsidRDefault="009A3635" w:rsidP="00202508">
            <w:pPr>
              <w:jc w:val="both"/>
              <w:rPr>
                <w:color w:val="auto"/>
              </w:rPr>
            </w:pPr>
          </w:p>
        </w:tc>
        <w:tc>
          <w:tcPr>
            <w:tcW w:w="3178" w:type="dxa"/>
          </w:tcPr>
          <w:p w:rsidR="00987EB4" w:rsidRPr="00ED571D" w:rsidRDefault="009A3635" w:rsidP="00202508">
            <w:pPr>
              <w:jc w:val="both"/>
              <w:rPr>
                <w:color w:val="auto"/>
              </w:rPr>
            </w:pPr>
          </w:p>
        </w:tc>
      </w:tr>
      <w:tr w:rsidR="006F388C" w:rsidTr="00331DDF">
        <w:trPr>
          <w:cantSplit/>
        </w:trPr>
        <w:tc>
          <w:tcPr>
            <w:tcW w:w="9180" w:type="dxa"/>
            <w:gridSpan w:val="3"/>
          </w:tcPr>
          <w:p w:rsidR="00987EB4" w:rsidRPr="00ED571D" w:rsidRDefault="009A3635" w:rsidP="00202508">
            <w:pPr>
              <w:jc w:val="both"/>
            </w:pPr>
          </w:p>
          <w:p w:rsidR="00987EB4" w:rsidRPr="00ED571D" w:rsidRDefault="00F376F4" w:rsidP="00202508">
            <w:pPr>
              <w:jc w:val="both"/>
            </w:pPr>
            <w:r w:rsidRPr="00ED571D">
              <w:t xml:space="preserve">Reason for inclusion in Part II, if appropriate </w:t>
            </w:r>
          </w:p>
          <w:p w:rsidR="00987EB4" w:rsidRPr="00ED571D" w:rsidRDefault="009A3635" w:rsidP="00202508">
            <w:pPr>
              <w:jc w:val="both"/>
            </w:pPr>
          </w:p>
          <w:p w:rsidR="00987EB4" w:rsidRPr="00ED571D" w:rsidRDefault="00F376F4" w:rsidP="00202508">
            <w:pPr>
              <w:jc w:val="both"/>
              <w:rPr>
                <w:color w:val="auto"/>
              </w:rPr>
            </w:pPr>
            <w:r>
              <w:rPr>
                <w:color w:val="auto"/>
              </w:rPr>
              <w:t>N/A</w:t>
            </w:r>
          </w:p>
          <w:p w:rsidR="00987EB4" w:rsidRPr="00ED571D" w:rsidRDefault="009A3635" w:rsidP="00202508">
            <w:pPr>
              <w:jc w:val="both"/>
            </w:pPr>
          </w:p>
        </w:tc>
      </w:tr>
    </w:tbl>
    <w:p w:rsidR="00987EB4" w:rsidRDefault="009A3635" w:rsidP="00202508">
      <w:pPr>
        <w:jc w:val="both"/>
      </w:pPr>
    </w:p>
    <w:sectPr w:rsidR="00987E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D2" w:rsidRDefault="00F376F4">
      <w:pPr>
        <w:spacing w:after="0" w:line="240" w:lineRule="auto"/>
      </w:pPr>
      <w:r>
        <w:separator/>
      </w:r>
    </w:p>
  </w:endnote>
  <w:endnote w:type="continuationSeparator" w:id="0">
    <w:p w:rsidR="00CA74D2" w:rsidRDefault="00F3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D2" w:rsidRDefault="00F376F4">
      <w:pPr>
        <w:spacing w:after="0" w:line="240" w:lineRule="auto"/>
      </w:pPr>
      <w:r>
        <w:separator/>
      </w:r>
    </w:p>
  </w:footnote>
  <w:footnote w:type="continuationSeparator" w:id="0">
    <w:p w:rsidR="00CA74D2" w:rsidRDefault="00F37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F376F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90533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566"/>
    <w:multiLevelType w:val="hybridMultilevel"/>
    <w:tmpl w:val="5504F79E"/>
    <w:lvl w:ilvl="0" w:tplc="B5DE87F6">
      <w:start w:val="1"/>
      <w:numFmt w:val="lowerRoman"/>
      <w:lvlText w:val="(%1)"/>
      <w:lvlJc w:val="left"/>
      <w:pPr>
        <w:ind w:left="1440" w:hanging="720"/>
      </w:pPr>
      <w:rPr>
        <w:rFonts w:eastAsia="Malgun Gothic" w:hAnsi="Malgun 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A4F0322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27680B5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55225D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42B2FBD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750A963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58589B9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016CDC0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0EED90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3FC276E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6F600C93"/>
    <w:multiLevelType w:val="hybridMultilevel"/>
    <w:tmpl w:val="47A02058"/>
    <w:lvl w:ilvl="0" w:tplc="E0EC7BFC">
      <w:start w:val="1"/>
      <w:numFmt w:val="bullet"/>
      <w:lvlText w:val=""/>
      <w:lvlJc w:val="left"/>
      <w:pPr>
        <w:ind w:left="720" w:hanging="360"/>
      </w:pPr>
      <w:rPr>
        <w:rFonts w:ascii="Symbol" w:hAnsi="Symbol" w:hint="default"/>
      </w:rPr>
    </w:lvl>
    <w:lvl w:ilvl="1" w:tplc="178CAE54" w:tentative="1">
      <w:start w:val="1"/>
      <w:numFmt w:val="bullet"/>
      <w:lvlText w:val="o"/>
      <w:lvlJc w:val="left"/>
      <w:pPr>
        <w:ind w:left="1440" w:hanging="360"/>
      </w:pPr>
      <w:rPr>
        <w:rFonts w:ascii="Courier New" w:hAnsi="Courier New" w:cs="Courier New" w:hint="default"/>
      </w:rPr>
    </w:lvl>
    <w:lvl w:ilvl="2" w:tplc="55F27E4C" w:tentative="1">
      <w:start w:val="1"/>
      <w:numFmt w:val="bullet"/>
      <w:lvlText w:val=""/>
      <w:lvlJc w:val="left"/>
      <w:pPr>
        <w:ind w:left="2160" w:hanging="360"/>
      </w:pPr>
      <w:rPr>
        <w:rFonts w:ascii="Wingdings" w:hAnsi="Wingdings" w:hint="default"/>
      </w:rPr>
    </w:lvl>
    <w:lvl w:ilvl="3" w:tplc="A128E516" w:tentative="1">
      <w:start w:val="1"/>
      <w:numFmt w:val="bullet"/>
      <w:lvlText w:val=""/>
      <w:lvlJc w:val="left"/>
      <w:pPr>
        <w:ind w:left="2880" w:hanging="360"/>
      </w:pPr>
      <w:rPr>
        <w:rFonts w:ascii="Symbol" w:hAnsi="Symbol" w:hint="default"/>
      </w:rPr>
    </w:lvl>
    <w:lvl w:ilvl="4" w:tplc="0314621C" w:tentative="1">
      <w:start w:val="1"/>
      <w:numFmt w:val="bullet"/>
      <w:lvlText w:val="o"/>
      <w:lvlJc w:val="left"/>
      <w:pPr>
        <w:ind w:left="3600" w:hanging="360"/>
      </w:pPr>
      <w:rPr>
        <w:rFonts w:ascii="Courier New" w:hAnsi="Courier New" w:cs="Courier New" w:hint="default"/>
      </w:rPr>
    </w:lvl>
    <w:lvl w:ilvl="5" w:tplc="1FBAA5CA" w:tentative="1">
      <w:start w:val="1"/>
      <w:numFmt w:val="bullet"/>
      <w:lvlText w:val=""/>
      <w:lvlJc w:val="left"/>
      <w:pPr>
        <w:ind w:left="4320" w:hanging="360"/>
      </w:pPr>
      <w:rPr>
        <w:rFonts w:ascii="Wingdings" w:hAnsi="Wingdings" w:hint="default"/>
      </w:rPr>
    </w:lvl>
    <w:lvl w:ilvl="6" w:tplc="BCB280F0" w:tentative="1">
      <w:start w:val="1"/>
      <w:numFmt w:val="bullet"/>
      <w:lvlText w:val=""/>
      <w:lvlJc w:val="left"/>
      <w:pPr>
        <w:ind w:left="5040" w:hanging="360"/>
      </w:pPr>
      <w:rPr>
        <w:rFonts w:ascii="Symbol" w:hAnsi="Symbol" w:hint="default"/>
      </w:rPr>
    </w:lvl>
    <w:lvl w:ilvl="7" w:tplc="F2ECE96E" w:tentative="1">
      <w:start w:val="1"/>
      <w:numFmt w:val="bullet"/>
      <w:lvlText w:val="o"/>
      <w:lvlJc w:val="left"/>
      <w:pPr>
        <w:ind w:left="5760" w:hanging="360"/>
      </w:pPr>
      <w:rPr>
        <w:rFonts w:ascii="Courier New" w:hAnsi="Courier New" w:cs="Courier New" w:hint="default"/>
      </w:rPr>
    </w:lvl>
    <w:lvl w:ilvl="8" w:tplc="E886E3F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8C"/>
    <w:rsid w:val="00202508"/>
    <w:rsid w:val="006F388C"/>
    <w:rsid w:val="009A3635"/>
    <w:rsid w:val="00CA74D2"/>
    <w:rsid w:val="00F3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62126-81D2-49CF-9424-60EAEEBC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nhideWhenUsed/>
    <w:rsid w:val="00E016E0"/>
    <w:rPr>
      <w:color w:val="0563C1" w:themeColor="hyperlink"/>
      <w:w w:val="100"/>
      <w:sz w:val="20"/>
      <w:szCs w:val="20"/>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an.mcgrath@lanca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B515-0E14-4F62-AC20-D36A1236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Hyde, Ryan</cp:lastModifiedBy>
  <cp:revision>9</cp:revision>
  <dcterms:created xsi:type="dcterms:W3CDTF">2015-06-25T10:41:00Z</dcterms:created>
  <dcterms:modified xsi:type="dcterms:W3CDTF">2018-11-13T11:06:00Z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European Social Funds</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21 November 2018</vt:lpwstr>
  </property>
</Properties>
</file>