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rsidTr="00913760">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561721" w:rsidRPr="00561721" w:rsidTr="00913760">
        <w:tc>
          <w:tcPr>
            <w:tcW w:w="675" w:type="dxa"/>
          </w:tcPr>
          <w:p w:rsidR="002C23B3" w:rsidRPr="00561721" w:rsidRDefault="002C23B3" w:rsidP="002C23B3">
            <w:pPr>
              <w:rPr>
                <w:rFonts w:cs="Arial"/>
                <w:szCs w:val="24"/>
              </w:rPr>
            </w:pPr>
          </w:p>
          <w:p w:rsidR="002C23B3" w:rsidRPr="00561721" w:rsidRDefault="002C23B3" w:rsidP="002C23B3">
            <w:pPr>
              <w:rPr>
                <w:rFonts w:cs="Arial"/>
                <w:szCs w:val="24"/>
              </w:rPr>
            </w:pPr>
            <w:r w:rsidRPr="00561721">
              <w:rPr>
                <w:rFonts w:cs="Arial"/>
                <w:szCs w:val="24"/>
              </w:rPr>
              <w:t>1</w:t>
            </w:r>
            <w:r w:rsidR="007D622A" w:rsidRPr="00561721">
              <w:rPr>
                <w:rFonts w:cs="Arial"/>
                <w:szCs w:val="24"/>
              </w:rPr>
              <w:t>.</w:t>
            </w:r>
          </w:p>
        </w:tc>
        <w:tc>
          <w:tcPr>
            <w:tcW w:w="2155" w:type="dxa"/>
          </w:tcPr>
          <w:p w:rsidR="008524D7" w:rsidRDefault="008524D7" w:rsidP="00631A74">
            <w:pPr>
              <w:rPr>
                <w:rFonts w:cs="Arial"/>
                <w:szCs w:val="24"/>
              </w:rPr>
            </w:pPr>
          </w:p>
          <w:p w:rsidR="00561721" w:rsidRPr="00561721" w:rsidRDefault="00561721" w:rsidP="00631A74">
            <w:pPr>
              <w:rPr>
                <w:rFonts w:cs="Arial"/>
                <w:szCs w:val="24"/>
              </w:rPr>
            </w:pPr>
            <w:r>
              <w:rPr>
                <w:rFonts w:cs="Arial"/>
                <w:szCs w:val="24"/>
              </w:rPr>
              <w:t>CC Fillis</w:t>
            </w:r>
          </w:p>
        </w:tc>
        <w:tc>
          <w:tcPr>
            <w:tcW w:w="5103" w:type="dxa"/>
          </w:tcPr>
          <w:p w:rsidR="00561721" w:rsidRPr="00913760" w:rsidRDefault="00561721" w:rsidP="00561721">
            <w:pPr>
              <w:jc w:val="both"/>
            </w:pPr>
          </w:p>
          <w:p w:rsidR="00302307" w:rsidRPr="00913760" w:rsidRDefault="00561721" w:rsidP="00561721">
            <w:pPr>
              <w:jc w:val="both"/>
            </w:pPr>
            <w:r w:rsidRPr="00913760">
              <w:t xml:space="preserve">Following </w:t>
            </w:r>
            <w:r w:rsidR="00913760">
              <w:t>the c</w:t>
            </w:r>
            <w:r w:rsidRPr="00913760">
              <w:t xml:space="preserve">uts to Lancashire Wellbeing Service, covering vulnerable adults, particularly those at risk or </w:t>
            </w:r>
            <w:r w:rsidR="00913760" w:rsidRPr="00913760">
              <w:t xml:space="preserve">facing a </w:t>
            </w:r>
            <w:r w:rsidRPr="00913760">
              <w:t>social care crisis, what has happened to the 11,000 people from Lancashire who desperately needed treatment and support when the services were closed on 31 December 2019</w:t>
            </w:r>
            <w:r w:rsidR="00913760">
              <w:t>?</w:t>
            </w:r>
          </w:p>
          <w:p w:rsidR="00561721" w:rsidRPr="00913760" w:rsidRDefault="00561721" w:rsidP="00561721">
            <w:pPr>
              <w:jc w:val="both"/>
            </w:pPr>
          </w:p>
        </w:tc>
        <w:tc>
          <w:tcPr>
            <w:tcW w:w="1985" w:type="dxa"/>
          </w:tcPr>
          <w:p w:rsidR="00302307" w:rsidRPr="00561721" w:rsidRDefault="00302307" w:rsidP="00946AD4">
            <w:pPr>
              <w:rPr>
                <w:rFonts w:cs="Arial"/>
                <w:szCs w:val="24"/>
              </w:rPr>
            </w:pPr>
          </w:p>
          <w:p w:rsidR="00561721" w:rsidRPr="00561721" w:rsidRDefault="00561721" w:rsidP="00946AD4">
            <w:pPr>
              <w:rPr>
                <w:rFonts w:cs="Arial"/>
                <w:szCs w:val="24"/>
              </w:rPr>
            </w:pPr>
            <w:r w:rsidRPr="00561721">
              <w:rPr>
                <w:rFonts w:cs="Arial"/>
                <w:szCs w:val="24"/>
              </w:rPr>
              <w:t>CC Turner</w:t>
            </w:r>
          </w:p>
          <w:p w:rsidR="00561721" w:rsidRPr="00561721" w:rsidRDefault="00561721" w:rsidP="00946AD4">
            <w:pPr>
              <w:rPr>
                <w:rFonts w:cs="Arial"/>
                <w:szCs w:val="24"/>
              </w:rPr>
            </w:pPr>
          </w:p>
        </w:tc>
      </w:tr>
      <w:tr w:rsidR="00561721" w:rsidRPr="00561721" w:rsidTr="00913760">
        <w:tc>
          <w:tcPr>
            <w:tcW w:w="675" w:type="dxa"/>
          </w:tcPr>
          <w:p w:rsidR="006E654A" w:rsidRPr="00561721" w:rsidRDefault="006E654A" w:rsidP="002C23B3">
            <w:pPr>
              <w:rPr>
                <w:rFonts w:cs="Arial"/>
                <w:szCs w:val="24"/>
              </w:rPr>
            </w:pPr>
          </w:p>
          <w:p w:rsidR="006E654A" w:rsidRPr="00561721" w:rsidRDefault="006E654A" w:rsidP="002C23B3">
            <w:pPr>
              <w:rPr>
                <w:rFonts w:cs="Arial"/>
                <w:szCs w:val="24"/>
              </w:rPr>
            </w:pPr>
            <w:r w:rsidRPr="00561721">
              <w:rPr>
                <w:rFonts w:cs="Arial"/>
                <w:szCs w:val="24"/>
              </w:rPr>
              <w:t>2.</w:t>
            </w:r>
          </w:p>
        </w:tc>
        <w:tc>
          <w:tcPr>
            <w:tcW w:w="2155" w:type="dxa"/>
          </w:tcPr>
          <w:p w:rsidR="006E654A" w:rsidRDefault="006E654A" w:rsidP="00631A74">
            <w:pPr>
              <w:rPr>
                <w:rFonts w:cs="Arial"/>
                <w:szCs w:val="24"/>
              </w:rPr>
            </w:pPr>
          </w:p>
          <w:p w:rsidR="00561721" w:rsidRPr="00561721" w:rsidRDefault="00561721" w:rsidP="00631A74">
            <w:pPr>
              <w:rPr>
                <w:rFonts w:cs="Arial"/>
                <w:szCs w:val="24"/>
              </w:rPr>
            </w:pPr>
            <w:r>
              <w:rPr>
                <w:rFonts w:cs="Arial"/>
                <w:szCs w:val="24"/>
              </w:rPr>
              <w:t>CC Oliver</w:t>
            </w:r>
          </w:p>
        </w:tc>
        <w:tc>
          <w:tcPr>
            <w:tcW w:w="5103" w:type="dxa"/>
          </w:tcPr>
          <w:p w:rsidR="00561721" w:rsidRDefault="00561721" w:rsidP="00561721">
            <w:pPr>
              <w:jc w:val="both"/>
            </w:pPr>
          </w:p>
          <w:p w:rsidR="00561721" w:rsidRDefault="00561721" w:rsidP="00913760">
            <w:pPr>
              <w:jc w:val="both"/>
            </w:pPr>
            <w:r>
              <w:t xml:space="preserve">What is this administration's response to the parliamentary </w:t>
            </w:r>
            <w:r w:rsidRPr="00561721">
              <w:t>select c</w:t>
            </w:r>
            <w:r>
              <w:t>ommittee report into the problem of pavement parking, (September 2019) and what actions will now follow in Lancashire as a result?</w:t>
            </w:r>
          </w:p>
          <w:p w:rsidR="00561721" w:rsidRPr="00561721" w:rsidRDefault="00561721" w:rsidP="00561721">
            <w:pPr>
              <w:jc w:val="both"/>
              <w:textAlignment w:val="center"/>
            </w:pPr>
          </w:p>
        </w:tc>
        <w:tc>
          <w:tcPr>
            <w:tcW w:w="1985" w:type="dxa"/>
          </w:tcPr>
          <w:p w:rsidR="006E654A" w:rsidRDefault="006E654A" w:rsidP="00946AD4">
            <w:pPr>
              <w:rPr>
                <w:rFonts w:cs="Arial"/>
                <w:szCs w:val="24"/>
              </w:rPr>
            </w:pPr>
          </w:p>
          <w:p w:rsidR="00561721" w:rsidRDefault="00561721" w:rsidP="00946AD4">
            <w:pPr>
              <w:rPr>
                <w:rFonts w:cs="Arial"/>
                <w:szCs w:val="24"/>
              </w:rPr>
            </w:pPr>
            <w:r>
              <w:rPr>
                <w:rFonts w:cs="Arial"/>
                <w:szCs w:val="24"/>
              </w:rPr>
              <w:t>CC Iddon</w:t>
            </w:r>
          </w:p>
          <w:p w:rsidR="00561721" w:rsidRPr="00561721" w:rsidRDefault="00561721" w:rsidP="00946AD4">
            <w:pPr>
              <w:rPr>
                <w:rFonts w:cs="Arial"/>
                <w:szCs w:val="24"/>
              </w:rPr>
            </w:pPr>
          </w:p>
        </w:tc>
      </w:tr>
      <w:tr w:rsidR="00736678" w:rsidRPr="00561721" w:rsidTr="00913760">
        <w:tc>
          <w:tcPr>
            <w:tcW w:w="675" w:type="dxa"/>
          </w:tcPr>
          <w:p w:rsidR="00736678" w:rsidRDefault="00736678" w:rsidP="002C23B3">
            <w:pPr>
              <w:rPr>
                <w:rFonts w:cs="Arial"/>
                <w:szCs w:val="24"/>
              </w:rPr>
            </w:pPr>
          </w:p>
          <w:p w:rsidR="00736678" w:rsidRPr="00561721" w:rsidRDefault="00736678" w:rsidP="002C23B3">
            <w:pPr>
              <w:rPr>
                <w:rFonts w:cs="Arial"/>
                <w:szCs w:val="24"/>
              </w:rPr>
            </w:pPr>
            <w:r>
              <w:rPr>
                <w:rFonts w:cs="Arial"/>
                <w:szCs w:val="24"/>
              </w:rPr>
              <w:t>3.</w:t>
            </w:r>
          </w:p>
        </w:tc>
        <w:tc>
          <w:tcPr>
            <w:tcW w:w="2155" w:type="dxa"/>
          </w:tcPr>
          <w:p w:rsidR="00736678" w:rsidRDefault="00736678" w:rsidP="00631A74">
            <w:pPr>
              <w:rPr>
                <w:rFonts w:cs="Arial"/>
                <w:szCs w:val="24"/>
              </w:rPr>
            </w:pPr>
          </w:p>
          <w:p w:rsidR="00736678" w:rsidRDefault="00736678" w:rsidP="00631A74">
            <w:pPr>
              <w:rPr>
                <w:rFonts w:cs="Arial"/>
                <w:szCs w:val="24"/>
              </w:rPr>
            </w:pPr>
            <w:r>
              <w:rPr>
                <w:rFonts w:cs="Arial"/>
                <w:szCs w:val="24"/>
              </w:rPr>
              <w:t>CC Dowding</w:t>
            </w:r>
          </w:p>
        </w:tc>
        <w:tc>
          <w:tcPr>
            <w:tcW w:w="5103" w:type="dxa"/>
          </w:tcPr>
          <w:p w:rsidR="00736678" w:rsidRDefault="00736678" w:rsidP="00736678">
            <w:pPr>
              <w:rPr>
                <w:rFonts w:cs="Arial"/>
                <w:iCs/>
                <w:color w:val="505050"/>
                <w:szCs w:val="24"/>
                <w:bdr w:val="none" w:sz="0" w:space="0" w:color="auto" w:frame="1"/>
              </w:rPr>
            </w:pPr>
          </w:p>
          <w:p w:rsidR="00736678" w:rsidRPr="00736678" w:rsidRDefault="00736678" w:rsidP="00A34C80">
            <w:pPr>
              <w:jc w:val="both"/>
              <w:rPr>
                <w:rFonts w:cs="Arial"/>
                <w:szCs w:val="24"/>
              </w:rPr>
            </w:pPr>
            <w:r w:rsidRPr="00736678">
              <w:rPr>
                <w:rFonts w:cs="Arial"/>
                <w:iCs/>
                <w:color w:val="505050"/>
                <w:szCs w:val="24"/>
                <w:bdr w:val="none" w:sz="0" w:space="0" w:color="auto" w:frame="1"/>
              </w:rPr>
              <w:t>Given the current  concerns expressed locally, nationally and internationally about the need to combat racism and to finally break the cycle of oppression that has built up over many generations; and the importance that education in our schools is done in a way that not only acknowledges, but also is critical of  the racial prejudices and discrimination of the past,  can the Cabinet Member tell us what the County Council is doing to improve and recover Black and Asian history within Lancashire's schools' curriculum?</w:t>
            </w:r>
          </w:p>
          <w:p w:rsidR="00736678" w:rsidRDefault="00736678" w:rsidP="00561721">
            <w:pPr>
              <w:jc w:val="both"/>
            </w:pPr>
          </w:p>
        </w:tc>
        <w:tc>
          <w:tcPr>
            <w:tcW w:w="1985" w:type="dxa"/>
          </w:tcPr>
          <w:p w:rsidR="00736678" w:rsidRDefault="00736678" w:rsidP="00946AD4">
            <w:pPr>
              <w:rPr>
                <w:rFonts w:cs="Arial"/>
                <w:szCs w:val="24"/>
              </w:rPr>
            </w:pPr>
          </w:p>
          <w:p w:rsidR="00736678" w:rsidRDefault="00736678" w:rsidP="00946AD4">
            <w:pPr>
              <w:rPr>
                <w:rFonts w:cs="Arial"/>
                <w:szCs w:val="24"/>
              </w:rPr>
            </w:pPr>
            <w:r>
              <w:rPr>
                <w:rFonts w:cs="Arial"/>
                <w:szCs w:val="24"/>
              </w:rPr>
              <w:t>CC Williamson</w:t>
            </w:r>
          </w:p>
        </w:tc>
      </w:tr>
    </w:tbl>
    <w:p w:rsidR="006B3CCC" w:rsidRPr="006B3CCC" w:rsidRDefault="006B3CCC" w:rsidP="006B3CCC">
      <w:pPr>
        <w:rPr>
          <w:rFonts w:cs="Arial"/>
          <w:szCs w:val="24"/>
        </w:rPr>
      </w:pPr>
      <w:bookmarkStart w:id="0" w:name="_GoBack"/>
      <w:bookmarkEnd w:id="0"/>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5"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45D4"/>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F126E"/>
    <w:rsid w:val="007055AD"/>
    <w:rsid w:val="00725850"/>
    <w:rsid w:val="00725E38"/>
    <w:rsid w:val="00734442"/>
    <w:rsid w:val="00736678"/>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7926"/>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62639"/>
    <w:rsid w:val="00976EC0"/>
    <w:rsid w:val="00976F28"/>
    <w:rsid w:val="00980DEF"/>
    <w:rsid w:val="009818ED"/>
    <w:rsid w:val="0098778A"/>
    <w:rsid w:val="00990F60"/>
    <w:rsid w:val="00994869"/>
    <w:rsid w:val="009A417D"/>
    <w:rsid w:val="009B578A"/>
    <w:rsid w:val="009C0EBF"/>
    <w:rsid w:val="009C410B"/>
    <w:rsid w:val="009E6132"/>
    <w:rsid w:val="00A00360"/>
    <w:rsid w:val="00A02A59"/>
    <w:rsid w:val="00A0787B"/>
    <w:rsid w:val="00A13314"/>
    <w:rsid w:val="00A140A3"/>
    <w:rsid w:val="00A15907"/>
    <w:rsid w:val="00A25498"/>
    <w:rsid w:val="00A31AEF"/>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56675"/>
    <w:rsid w:val="00D62D2D"/>
    <w:rsid w:val="00D80DB6"/>
    <w:rsid w:val="00DA7B41"/>
    <w:rsid w:val="00DB2E62"/>
    <w:rsid w:val="00DB5FC0"/>
    <w:rsid w:val="00DC0861"/>
    <w:rsid w:val="00DC6B93"/>
    <w:rsid w:val="00DD0464"/>
    <w:rsid w:val="00DE0AA2"/>
    <w:rsid w:val="00DE215C"/>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90B99"/>
    <w:rsid w:val="00E91FA4"/>
    <w:rsid w:val="00EA6B18"/>
    <w:rsid w:val="00EB27DE"/>
    <w:rsid w:val="00EB7C44"/>
    <w:rsid w:val="00EC2815"/>
    <w:rsid w:val="00ED272B"/>
    <w:rsid w:val="00ED4996"/>
    <w:rsid w:val="00EE0671"/>
    <w:rsid w:val="00EE41CE"/>
    <w:rsid w:val="00EF177E"/>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184</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118</cp:revision>
  <cp:lastPrinted>2017-12-12T08:11:00Z</cp:lastPrinted>
  <dcterms:created xsi:type="dcterms:W3CDTF">2016-06-16T14:44:00Z</dcterms:created>
  <dcterms:modified xsi:type="dcterms:W3CDTF">2020-07-07T06:55:00Z</dcterms:modified>
</cp:coreProperties>
</file>