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0A" w:rsidRDefault="008C623A"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EA6895" w:rsidP="00D3134F">
      <w:pPr>
        <w:spacing w:after="0" w:line="240" w:lineRule="auto"/>
        <w:rPr>
          <w:rFonts w:ascii="Arial" w:hAnsi="Arial" w:cs="Arial"/>
          <w:b/>
          <w:bCs/>
          <w:sz w:val="24"/>
          <w:szCs w:val="24"/>
        </w:rPr>
      </w:pPr>
    </w:p>
    <w:p w:rsidR="00D3134F" w:rsidRPr="00D3134F" w:rsidRDefault="008C623A"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EA6895" w:rsidP="00D3134F">
      <w:pPr>
        <w:spacing w:after="0" w:line="240" w:lineRule="auto"/>
        <w:rPr>
          <w:rFonts w:ascii="Arial" w:hAnsi="Arial" w:cs="Arial"/>
          <w:sz w:val="24"/>
          <w:szCs w:val="24"/>
        </w:rPr>
      </w:pPr>
    </w:p>
    <w:p w:rsidR="00D3134F" w:rsidRPr="00D3134F" w:rsidRDefault="008C623A"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6 October 2020</w:t>
      </w:r>
      <w:r>
        <w:rPr>
          <w:rFonts w:ascii="Arial" w:hAnsi="Arial" w:cs="Arial"/>
          <w:sz w:val="24"/>
          <w:szCs w:val="24"/>
        </w:rPr>
        <w:fldChar w:fldCharType="end"/>
      </w:r>
    </w:p>
    <w:p w:rsidR="00D3134F" w:rsidRPr="00D3134F" w:rsidRDefault="00EA6895" w:rsidP="00D3134F">
      <w:pPr>
        <w:spacing w:after="0" w:line="240" w:lineRule="auto"/>
        <w:rPr>
          <w:rFonts w:ascii="Arial" w:hAnsi="Arial" w:cs="Arial"/>
          <w:sz w:val="24"/>
          <w:szCs w:val="24"/>
        </w:rPr>
      </w:pPr>
    </w:p>
    <w:p w:rsidR="00D3134F" w:rsidRPr="00D3134F" w:rsidRDefault="008C623A"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Infrastructure Delivery Performance Monitoring Report - Quarter 1 April - June 20</w:t>
      </w:r>
      <w:r>
        <w:rPr>
          <w:rFonts w:ascii="Arial" w:eastAsia="Times New Roman" w:hAnsi="Arial" w:cs="Arial"/>
          <w:b/>
          <w:sz w:val="24"/>
          <w:szCs w:val="24"/>
        </w:rPr>
        <w:fldChar w:fldCharType="end"/>
      </w:r>
    </w:p>
    <w:p w:rsidR="00D3134F" w:rsidRDefault="009B377C" w:rsidP="00D3134F">
      <w:pPr>
        <w:spacing w:after="0" w:line="240" w:lineRule="auto"/>
        <w:rPr>
          <w:rFonts w:ascii="Arial" w:hAnsi="Arial" w:cs="Arial"/>
          <w:sz w:val="24"/>
          <w:szCs w:val="24"/>
        </w:rPr>
      </w:pPr>
      <w:r>
        <w:rPr>
          <w:rFonts w:ascii="Arial" w:hAnsi="Arial" w:cs="Arial"/>
          <w:sz w:val="24"/>
          <w:szCs w:val="24"/>
        </w:rPr>
        <w:t>(</w:t>
      </w:r>
      <w:r w:rsidR="008C623A">
        <w:rPr>
          <w:rFonts w:ascii="Arial" w:hAnsi="Arial" w:cs="Arial"/>
          <w:sz w:val="24"/>
          <w:szCs w:val="24"/>
        </w:rPr>
        <w:t>Appendix 'A' refers</w:t>
      </w:r>
      <w:r>
        <w:rPr>
          <w:rFonts w:ascii="Arial" w:hAnsi="Arial" w:cs="Arial"/>
          <w:sz w:val="24"/>
          <w:szCs w:val="24"/>
        </w:rPr>
        <w:t>)</w:t>
      </w:r>
    </w:p>
    <w:p w:rsidR="009B377C" w:rsidRPr="00D3134F" w:rsidRDefault="009B377C" w:rsidP="00D3134F">
      <w:pPr>
        <w:spacing w:after="0" w:line="240" w:lineRule="auto"/>
        <w:rPr>
          <w:rFonts w:ascii="Arial" w:hAnsi="Arial" w:cs="Arial"/>
          <w:sz w:val="24"/>
          <w:szCs w:val="24"/>
        </w:rPr>
      </w:pPr>
    </w:p>
    <w:p w:rsidR="00D3134F" w:rsidRPr="00D3134F" w:rsidRDefault="008C623A"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proofErr w:type="spellStart"/>
      <w:r>
        <w:rPr>
          <w:rFonts w:ascii="Arial" w:hAnsi="Arial" w:cs="Arial"/>
          <w:b/>
          <w:sz w:val="24"/>
          <w:szCs w:val="24"/>
        </w:rPr>
        <w:t>Homairah</w:t>
      </w:r>
      <w:proofErr w:type="spellEnd"/>
      <w:r>
        <w:rPr>
          <w:rFonts w:ascii="Arial" w:hAnsi="Arial" w:cs="Arial"/>
          <w:b/>
          <w:sz w:val="24"/>
          <w:szCs w:val="24"/>
        </w:rPr>
        <w:t xml:space="preserve"> </w:t>
      </w:r>
      <w:proofErr w:type="spellStart"/>
      <w:r>
        <w:rPr>
          <w:rFonts w:ascii="Arial" w:hAnsi="Arial" w:cs="Arial"/>
          <w:b/>
          <w:sz w:val="24"/>
          <w:szCs w:val="24"/>
        </w:rPr>
        <w:t>Sheth</w:t>
      </w:r>
      <w:proofErr w:type="spellEnd"/>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536556</w:t>
      </w:r>
      <w:r>
        <w:rPr>
          <w:rFonts w:ascii="Arial" w:hAnsi="Arial" w:cs="Arial"/>
          <w:b/>
          <w:sz w:val="24"/>
          <w:szCs w:val="24"/>
        </w:rPr>
        <w:fldChar w:fldCharType="end"/>
      </w:r>
      <w:r w:rsidRPr="00D3134F">
        <w:rPr>
          <w:rFonts w:ascii="Arial" w:hAnsi="Arial" w:cs="Arial"/>
          <w:b/>
          <w:sz w:val="24"/>
          <w:szCs w:val="24"/>
        </w:rPr>
        <w:t xml:space="preserve">, </w:t>
      </w:r>
    </w:p>
    <w:p w:rsidR="00D3134F" w:rsidRPr="00D3134F" w:rsidRDefault="008C623A"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homairah.sheth@lancashire.gov.uk</w:t>
      </w:r>
      <w:r>
        <w:rPr>
          <w:rFonts w:ascii="Arial" w:hAnsi="Arial" w:cs="Arial"/>
          <w:b/>
          <w:sz w:val="24"/>
          <w:szCs w:val="24"/>
        </w:rPr>
        <w:fldChar w:fldCharType="end"/>
      </w:r>
    </w:p>
    <w:p w:rsidR="00D3134F" w:rsidRPr="00D3134F" w:rsidRDefault="00EA6895"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F3BCB" w:rsidTr="000B1F3A">
        <w:tc>
          <w:tcPr>
            <w:tcW w:w="9180" w:type="dxa"/>
          </w:tcPr>
          <w:p w:rsidR="00D3134F" w:rsidRPr="00D3134F" w:rsidRDefault="00EA6895" w:rsidP="00D3134F">
            <w:pPr>
              <w:pStyle w:val="Header"/>
              <w:rPr>
                <w:rFonts w:ascii="Arial" w:hAnsi="Arial" w:cs="Arial"/>
                <w:sz w:val="24"/>
                <w:szCs w:val="24"/>
              </w:rPr>
            </w:pPr>
          </w:p>
          <w:p w:rsidR="006A14B0" w:rsidRPr="00D3134F" w:rsidRDefault="008C623A" w:rsidP="006A14B0">
            <w:pPr>
              <w:pStyle w:val="Heading6"/>
              <w:spacing w:before="0" w:line="240" w:lineRule="auto"/>
              <w:rPr>
                <w:rFonts w:ascii="Arial" w:hAnsi="Arial" w:cs="Arial"/>
                <w:b/>
                <w:color w:val="auto"/>
              </w:rPr>
            </w:pPr>
            <w:r w:rsidRPr="00D3134F">
              <w:rPr>
                <w:rFonts w:ascii="Arial" w:hAnsi="Arial" w:cs="Arial"/>
                <w:b/>
                <w:color w:val="auto"/>
              </w:rPr>
              <w:t>Executive Summary</w:t>
            </w:r>
          </w:p>
          <w:p w:rsidR="006A14B0" w:rsidRDefault="008C623A" w:rsidP="006A14B0">
            <w:pPr>
              <w:spacing w:after="0" w:line="240" w:lineRule="auto"/>
              <w:jc w:val="both"/>
              <w:rPr>
                <w:rFonts w:ascii="Arial" w:hAnsi="Arial" w:cs="Arial"/>
                <w:sz w:val="24"/>
                <w:szCs w:val="24"/>
              </w:rPr>
            </w:pPr>
            <w:r w:rsidRPr="009D0138">
              <w:rPr>
                <w:rFonts w:ascii="Arial" w:hAnsi="Arial" w:cs="Arial"/>
                <w:sz w:val="24"/>
                <w:szCs w:val="24"/>
              </w:rPr>
              <w:t xml:space="preserve">This report provides a progress update on the City Deal infrastructure </w:t>
            </w:r>
            <w:r>
              <w:rPr>
                <w:rFonts w:ascii="Arial" w:hAnsi="Arial" w:cs="Arial"/>
                <w:sz w:val="24"/>
                <w:szCs w:val="24"/>
              </w:rPr>
              <w:t>projects</w:t>
            </w:r>
            <w:r w:rsidRPr="009D0138">
              <w:rPr>
                <w:rFonts w:ascii="Arial" w:hAnsi="Arial" w:cs="Arial"/>
                <w:sz w:val="24"/>
                <w:szCs w:val="24"/>
              </w:rPr>
              <w:t xml:space="preserve"> during Quarter </w:t>
            </w:r>
            <w:r>
              <w:rPr>
                <w:rFonts w:ascii="Arial" w:hAnsi="Arial" w:cs="Arial"/>
                <w:sz w:val="24"/>
                <w:szCs w:val="24"/>
              </w:rPr>
              <w:t>1 (April – June 2020)</w:t>
            </w:r>
            <w:r w:rsidRPr="009D0138">
              <w:rPr>
                <w:rFonts w:ascii="Arial" w:hAnsi="Arial" w:cs="Arial"/>
                <w:sz w:val="24"/>
                <w:szCs w:val="24"/>
              </w:rPr>
              <w:t xml:space="preserve"> against delivery milestones</w:t>
            </w:r>
            <w:r>
              <w:rPr>
                <w:rFonts w:ascii="Arial" w:hAnsi="Arial" w:cs="Arial"/>
                <w:sz w:val="24"/>
                <w:szCs w:val="24"/>
              </w:rPr>
              <w:t>.</w:t>
            </w:r>
          </w:p>
          <w:p w:rsidR="006A14B0" w:rsidRDefault="00EA6895" w:rsidP="006A14B0">
            <w:pPr>
              <w:spacing w:after="0" w:line="240" w:lineRule="auto"/>
              <w:jc w:val="both"/>
              <w:rPr>
                <w:rFonts w:ascii="Arial" w:hAnsi="Arial" w:cs="Arial"/>
                <w:sz w:val="24"/>
                <w:szCs w:val="24"/>
              </w:rPr>
            </w:pPr>
          </w:p>
          <w:p w:rsidR="006A14B0" w:rsidRDefault="008C623A" w:rsidP="006A14B0">
            <w:pPr>
              <w:spacing w:after="0" w:line="240" w:lineRule="auto"/>
              <w:jc w:val="both"/>
              <w:rPr>
                <w:rFonts w:ascii="Arial" w:hAnsi="Arial" w:cs="Arial"/>
                <w:sz w:val="24"/>
                <w:szCs w:val="24"/>
              </w:rPr>
            </w:pPr>
            <w:r>
              <w:rPr>
                <w:rFonts w:ascii="Arial" w:hAnsi="Arial" w:cs="Arial"/>
                <w:sz w:val="24"/>
                <w:szCs w:val="24"/>
              </w:rPr>
              <w:t xml:space="preserve">The report shows that only those projects where there is a contractual, planning or health and safety obligation to meet, are currently being progressed, with all other non-committed funding being paused, pending the outcome of the City Deal Review, as agreed by the Executive in March 2020.  </w:t>
            </w:r>
          </w:p>
          <w:p w:rsidR="006A14B0" w:rsidRDefault="00EA6895" w:rsidP="006A14B0">
            <w:pPr>
              <w:spacing w:after="0" w:line="240" w:lineRule="auto"/>
              <w:jc w:val="both"/>
              <w:rPr>
                <w:rFonts w:ascii="Arial" w:hAnsi="Arial" w:cs="Arial"/>
                <w:sz w:val="24"/>
                <w:szCs w:val="24"/>
              </w:rPr>
            </w:pPr>
          </w:p>
          <w:p w:rsidR="006A14B0" w:rsidRDefault="008C623A" w:rsidP="006A14B0">
            <w:pPr>
              <w:spacing w:after="0" w:line="240" w:lineRule="auto"/>
              <w:jc w:val="both"/>
              <w:rPr>
                <w:rFonts w:ascii="Arial" w:hAnsi="Arial" w:cs="Arial"/>
                <w:sz w:val="24"/>
                <w:szCs w:val="24"/>
              </w:rPr>
            </w:pPr>
            <w:r>
              <w:rPr>
                <w:rFonts w:ascii="Arial" w:hAnsi="Arial" w:cs="Arial"/>
                <w:sz w:val="24"/>
                <w:szCs w:val="24"/>
              </w:rPr>
              <w:t xml:space="preserve">The report confirms good progress on Preston Western Distributor following an initial delay due to Covid-19. The project remains on programme to complete in early 2023. The A582 planning application was submitted to Development Control and </w:t>
            </w:r>
            <w:r w:rsidRPr="00076F3F">
              <w:rPr>
                <w:rFonts w:ascii="Arial" w:hAnsi="Arial" w:cs="Arial"/>
                <w:sz w:val="24"/>
                <w:szCs w:val="24"/>
              </w:rPr>
              <w:t>Lancashire County Council</w:t>
            </w:r>
            <w:r>
              <w:rPr>
                <w:rFonts w:ascii="Arial" w:hAnsi="Arial" w:cs="Arial"/>
                <w:sz w:val="24"/>
                <w:szCs w:val="24"/>
              </w:rPr>
              <w:t xml:space="preserve"> received programme entry to the MRN funding stream and have been awarded £440k to progress the Outline Business Case.</w:t>
            </w:r>
          </w:p>
          <w:p w:rsidR="006A14B0" w:rsidRDefault="00EA6895" w:rsidP="006A14B0">
            <w:pPr>
              <w:spacing w:after="0" w:line="240" w:lineRule="auto"/>
              <w:jc w:val="both"/>
              <w:rPr>
                <w:rFonts w:ascii="Arial" w:hAnsi="Arial" w:cs="Arial"/>
                <w:sz w:val="24"/>
                <w:szCs w:val="24"/>
              </w:rPr>
            </w:pPr>
          </w:p>
          <w:p w:rsidR="006A14B0" w:rsidRDefault="008C623A" w:rsidP="006A14B0">
            <w:pPr>
              <w:spacing w:after="0" w:line="240" w:lineRule="auto"/>
              <w:jc w:val="both"/>
              <w:rPr>
                <w:rFonts w:ascii="Arial" w:hAnsi="Arial" w:cs="Arial"/>
                <w:sz w:val="24"/>
                <w:szCs w:val="24"/>
              </w:rPr>
            </w:pPr>
            <w:r>
              <w:rPr>
                <w:rFonts w:ascii="Arial" w:hAnsi="Arial" w:cs="Arial"/>
                <w:sz w:val="24"/>
                <w:szCs w:val="24"/>
              </w:rPr>
              <w:t xml:space="preserve">Following a pause on spend the Programme Board approved a financial commitment of circa. £48k to install bus stops and safety bollards as part of the </w:t>
            </w:r>
            <w:proofErr w:type="spellStart"/>
            <w:r>
              <w:rPr>
                <w:rFonts w:ascii="Arial" w:hAnsi="Arial" w:cs="Arial"/>
                <w:sz w:val="24"/>
                <w:szCs w:val="24"/>
              </w:rPr>
              <w:t>Bamber</w:t>
            </w:r>
            <w:proofErr w:type="spellEnd"/>
            <w:r>
              <w:rPr>
                <w:rFonts w:ascii="Arial" w:hAnsi="Arial" w:cs="Arial"/>
                <w:sz w:val="24"/>
                <w:szCs w:val="24"/>
              </w:rPr>
              <w:t xml:space="preserve"> Bridge Public Realm Improvement scheme due to health and safety reasons. </w:t>
            </w:r>
          </w:p>
          <w:p w:rsidR="006A14B0" w:rsidRDefault="00EA6895" w:rsidP="006A14B0">
            <w:pPr>
              <w:spacing w:after="0" w:line="240" w:lineRule="auto"/>
              <w:jc w:val="both"/>
              <w:rPr>
                <w:rFonts w:ascii="Arial" w:hAnsi="Arial" w:cs="Arial"/>
                <w:sz w:val="24"/>
                <w:szCs w:val="24"/>
              </w:rPr>
            </w:pPr>
          </w:p>
          <w:p w:rsidR="006A14B0" w:rsidRDefault="008C623A" w:rsidP="006A14B0">
            <w:pPr>
              <w:spacing w:after="0" w:line="240" w:lineRule="auto"/>
              <w:jc w:val="both"/>
              <w:rPr>
                <w:rFonts w:ascii="Arial" w:hAnsi="Arial" w:cs="Arial"/>
                <w:sz w:val="24"/>
                <w:szCs w:val="24"/>
              </w:rPr>
            </w:pPr>
            <w:r>
              <w:rPr>
                <w:rFonts w:ascii="Arial" w:hAnsi="Arial" w:cs="Arial"/>
                <w:sz w:val="24"/>
                <w:szCs w:val="24"/>
              </w:rPr>
              <w:t>There are financial issues with the Cottam to City Centre Cycle Improvements as the original scheme cannot be delivered within the budget and the s106 agreement does not allow for the funds to be used for an alternative design, officers will be considering options.</w:t>
            </w:r>
          </w:p>
          <w:p w:rsidR="006A14B0" w:rsidRDefault="00EA6895" w:rsidP="006A14B0">
            <w:pPr>
              <w:spacing w:after="0" w:line="240" w:lineRule="auto"/>
              <w:jc w:val="both"/>
              <w:rPr>
                <w:rFonts w:ascii="Arial" w:hAnsi="Arial" w:cs="Arial"/>
                <w:sz w:val="24"/>
                <w:szCs w:val="24"/>
              </w:rPr>
            </w:pPr>
          </w:p>
          <w:p w:rsidR="006A14B0" w:rsidRDefault="008C623A" w:rsidP="006A14B0">
            <w:pPr>
              <w:spacing w:after="0" w:line="240" w:lineRule="auto"/>
              <w:jc w:val="both"/>
              <w:rPr>
                <w:rFonts w:ascii="Arial" w:eastAsiaTheme="majorEastAsia" w:hAnsi="Arial" w:cs="Arial"/>
                <w:b/>
                <w:sz w:val="24"/>
                <w:szCs w:val="24"/>
                <w:lang w:eastAsia="en-GB"/>
              </w:rPr>
            </w:pPr>
            <w:r w:rsidRPr="00E41885">
              <w:rPr>
                <w:rFonts w:ascii="Arial" w:hAnsi="Arial" w:cs="Arial"/>
                <w:sz w:val="24"/>
                <w:szCs w:val="24"/>
              </w:rPr>
              <w:t xml:space="preserve">Overall there are currently </w:t>
            </w:r>
            <w:r>
              <w:rPr>
                <w:rFonts w:ascii="Arial" w:hAnsi="Arial" w:cs="Arial"/>
                <w:sz w:val="24"/>
                <w:szCs w:val="24"/>
              </w:rPr>
              <w:t>12</w:t>
            </w:r>
            <w:r w:rsidRPr="00E41885">
              <w:rPr>
                <w:rFonts w:ascii="Arial" w:hAnsi="Arial" w:cs="Arial"/>
                <w:sz w:val="24"/>
                <w:szCs w:val="24"/>
              </w:rPr>
              <w:t xml:space="preserve"> </w:t>
            </w:r>
            <w:r>
              <w:rPr>
                <w:rFonts w:ascii="Arial" w:hAnsi="Arial" w:cs="Arial"/>
                <w:sz w:val="24"/>
                <w:szCs w:val="24"/>
              </w:rPr>
              <w:t xml:space="preserve">projects in the </w:t>
            </w:r>
            <w:r w:rsidRPr="002559B1">
              <w:rPr>
                <w:rFonts w:ascii="Arial" w:hAnsi="Arial" w:cs="Arial"/>
                <w:sz w:val="24"/>
                <w:szCs w:val="24"/>
              </w:rPr>
              <w:t xml:space="preserve">programme.  </w:t>
            </w:r>
            <w:r>
              <w:rPr>
                <w:rFonts w:ascii="Arial" w:hAnsi="Arial" w:cs="Arial"/>
                <w:sz w:val="24"/>
                <w:szCs w:val="24"/>
              </w:rPr>
              <w:t>Three</w:t>
            </w:r>
            <w:r w:rsidRPr="00E41885">
              <w:rPr>
                <w:rFonts w:ascii="Arial" w:hAnsi="Arial" w:cs="Arial"/>
                <w:sz w:val="24"/>
                <w:szCs w:val="24"/>
              </w:rPr>
              <w:t xml:space="preserve"> projects are reporting as 'green' without any significant issues</w:t>
            </w:r>
            <w:r>
              <w:rPr>
                <w:rFonts w:ascii="Arial" w:hAnsi="Arial" w:cs="Arial"/>
                <w:sz w:val="24"/>
                <w:szCs w:val="24"/>
              </w:rPr>
              <w:t>.</w:t>
            </w:r>
            <w:r w:rsidRPr="00E41885">
              <w:rPr>
                <w:rFonts w:ascii="Arial" w:hAnsi="Arial" w:cs="Arial"/>
                <w:sz w:val="24"/>
                <w:szCs w:val="24"/>
              </w:rPr>
              <w:t xml:space="preserve">  </w:t>
            </w:r>
            <w:r>
              <w:rPr>
                <w:rFonts w:ascii="Arial" w:hAnsi="Arial" w:cs="Arial"/>
                <w:sz w:val="24"/>
                <w:szCs w:val="24"/>
              </w:rPr>
              <w:t>Two projects are reporting as 'amber' due to programme delays and the remaining 7 schemes are reporting as 'red' which reflects the current pause on funding.</w:t>
            </w:r>
          </w:p>
          <w:p w:rsidR="006A14B0" w:rsidRPr="00D3134F" w:rsidRDefault="00EA6895" w:rsidP="006A14B0">
            <w:pPr>
              <w:spacing w:after="0" w:line="240" w:lineRule="auto"/>
              <w:rPr>
                <w:rFonts w:ascii="Arial" w:hAnsi="Arial" w:cs="Arial"/>
                <w:sz w:val="24"/>
                <w:szCs w:val="24"/>
              </w:rPr>
            </w:pPr>
          </w:p>
          <w:p w:rsidR="006A14B0" w:rsidRPr="00D3134F" w:rsidRDefault="008C623A" w:rsidP="006A14B0">
            <w:pPr>
              <w:pStyle w:val="Heading5"/>
              <w:spacing w:before="0" w:line="240" w:lineRule="auto"/>
              <w:rPr>
                <w:rFonts w:ascii="Arial" w:hAnsi="Arial" w:cs="Arial"/>
                <w:b/>
                <w:color w:val="auto"/>
              </w:rPr>
            </w:pPr>
            <w:r w:rsidRPr="00D3134F">
              <w:rPr>
                <w:rFonts w:ascii="Arial" w:hAnsi="Arial" w:cs="Arial"/>
                <w:b/>
                <w:color w:val="auto"/>
              </w:rPr>
              <w:t>Recommendation</w:t>
            </w:r>
          </w:p>
          <w:p w:rsidR="006A14B0" w:rsidRPr="00D3134F" w:rsidRDefault="00EA6895" w:rsidP="006A14B0">
            <w:pPr>
              <w:spacing w:after="0" w:line="240" w:lineRule="auto"/>
              <w:rPr>
                <w:rFonts w:ascii="Arial" w:hAnsi="Arial" w:cs="Arial"/>
                <w:sz w:val="24"/>
                <w:szCs w:val="24"/>
              </w:rPr>
            </w:pPr>
          </w:p>
          <w:p w:rsidR="009B377C" w:rsidRDefault="008C623A" w:rsidP="00D3134F">
            <w:pPr>
              <w:spacing w:after="0" w:line="240" w:lineRule="auto"/>
              <w:rPr>
                <w:rFonts w:ascii="Arial" w:hAnsi="Arial" w:cs="Arial"/>
                <w:sz w:val="24"/>
                <w:szCs w:val="24"/>
              </w:rPr>
            </w:pPr>
            <w:r>
              <w:rPr>
                <w:rFonts w:ascii="Arial" w:hAnsi="Arial" w:cs="Arial"/>
                <w:sz w:val="24"/>
                <w:szCs w:val="24"/>
              </w:rPr>
              <w:t>The City Deal Executive and Stewardship Board is asked to note the report.</w:t>
            </w:r>
            <w:r w:rsidRPr="00D3134F">
              <w:rPr>
                <w:rFonts w:ascii="Arial" w:hAnsi="Arial" w:cs="Arial"/>
                <w:sz w:val="24"/>
                <w:szCs w:val="24"/>
              </w:rPr>
              <w:t xml:space="preserve"> </w:t>
            </w:r>
          </w:p>
          <w:p w:rsidR="009B377C" w:rsidRPr="00D3134F" w:rsidRDefault="009B377C" w:rsidP="00D3134F">
            <w:pPr>
              <w:spacing w:after="0" w:line="240" w:lineRule="auto"/>
              <w:rPr>
                <w:rFonts w:ascii="Arial" w:hAnsi="Arial" w:cs="Arial"/>
                <w:sz w:val="24"/>
                <w:szCs w:val="24"/>
              </w:rPr>
            </w:pPr>
          </w:p>
        </w:tc>
      </w:tr>
    </w:tbl>
    <w:p w:rsidR="00D3134F" w:rsidRPr="00D3134F" w:rsidRDefault="00EA6895" w:rsidP="00D3134F">
      <w:pPr>
        <w:pStyle w:val="Header"/>
        <w:rPr>
          <w:rFonts w:ascii="Arial" w:hAnsi="Arial" w:cs="Arial"/>
          <w:sz w:val="24"/>
          <w:szCs w:val="24"/>
        </w:rPr>
      </w:pPr>
    </w:p>
    <w:p w:rsidR="006A14B0" w:rsidRPr="00D3134F" w:rsidRDefault="008C623A" w:rsidP="006A14B0">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6A14B0" w:rsidRPr="00D3134F" w:rsidRDefault="00EA6895" w:rsidP="006A14B0">
      <w:pPr>
        <w:spacing w:after="0" w:line="240" w:lineRule="auto"/>
        <w:rPr>
          <w:rFonts w:ascii="Arial" w:hAnsi="Arial" w:cs="Arial"/>
          <w:sz w:val="24"/>
          <w:szCs w:val="24"/>
        </w:rPr>
      </w:pPr>
    </w:p>
    <w:p w:rsidR="006A14B0" w:rsidRPr="00DF019A" w:rsidRDefault="008C623A" w:rsidP="006A14B0">
      <w:pPr>
        <w:pStyle w:val="ListParagraph"/>
        <w:numPr>
          <w:ilvl w:val="0"/>
          <w:numId w:val="6"/>
        </w:numPr>
        <w:spacing w:after="0" w:line="240" w:lineRule="auto"/>
        <w:jc w:val="both"/>
        <w:rPr>
          <w:rFonts w:ascii="Arial" w:hAnsi="Arial" w:cs="Arial"/>
          <w:sz w:val="24"/>
          <w:szCs w:val="24"/>
        </w:rPr>
      </w:pPr>
      <w:r>
        <w:rPr>
          <w:rFonts w:ascii="Arial" w:hAnsi="Arial" w:cs="Arial"/>
          <w:b/>
          <w:sz w:val="24"/>
          <w:szCs w:val="24"/>
          <w:u w:val="single"/>
        </w:rPr>
        <w:t>Quarter 1</w:t>
      </w:r>
      <w:r w:rsidRPr="00DF019A">
        <w:rPr>
          <w:rFonts w:ascii="Arial" w:hAnsi="Arial" w:cs="Arial"/>
          <w:b/>
          <w:sz w:val="24"/>
          <w:szCs w:val="24"/>
          <w:u w:val="single"/>
        </w:rPr>
        <w:t xml:space="preserve"> – Project Performance (</w:t>
      </w:r>
      <w:r>
        <w:rPr>
          <w:rFonts w:ascii="Arial" w:hAnsi="Arial" w:cs="Arial"/>
          <w:b/>
          <w:sz w:val="24"/>
          <w:szCs w:val="24"/>
          <w:u w:val="single"/>
        </w:rPr>
        <w:t>April – June 2020)</w:t>
      </w:r>
    </w:p>
    <w:p w:rsidR="006A14B0" w:rsidRPr="00DF019A" w:rsidRDefault="00EA6895" w:rsidP="006A14B0">
      <w:pPr>
        <w:pStyle w:val="ListParagraph"/>
        <w:spacing w:after="0" w:line="240" w:lineRule="auto"/>
        <w:ind w:left="1080"/>
        <w:jc w:val="both"/>
        <w:rPr>
          <w:rFonts w:ascii="Arial" w:hAnsi="Arial" w:cs="Arial"/>
          <w:sz w:val="24"/>
          <w:szCs w:val="24"/>
        </w:rPr>
      </w:pPr>
    </w:p>
    <w:p w:rsidR="006A14B0" w:rsidRPr="00831BB4" w:rsidRDefault="008C623A" w:rsidP="006A14B0">
      <w:pPr>
        <w:pStyle w:val="ListParagraph"/>
        <w:numPr>
          <w:ilvl w:val="1"/>
          <w:numId w:val="6"/>
        </w:numPr>
        <w:spacing w:after="0" w:line="240" w:lineRule="auto"/>
        <w:jc w:val="both"/>
        <w:rPr>
          <w:rFonts w:ascii="Arial" w:hAnsi="Arial" w:cs="Arial"/>
          <w:sz w:val="24"/>
          <w:szCs w:val="24"/>
        </w:rPr>
      </w:pPr>
      <w:r w:rsidRPr="00831BB4">
        <w:rPr>
          <w:rFonts w:ascii="Arial" w:hAnsi="Arial" w:cs="Arial"/>
          <w:sz w:val="24"/>
          <w:szCs w:val="24"/>
        </w:rPr>
        <w:t xml:space="preserve">A quarter </w:t>
      </w:r>
      <w:r>
        <w:rPr>
          <w:rFonts w:ascii="Arial" w:hAnsi="Arial" w:cs="Arial"/>
          <w:sz w:val="24"/>
          <w:szCs w:val="24"/>
        </w:rPr>
        <w:t>1</w:t>
      </w:r>
      <w:r w:rsidRPr="00831BB4">
        <w:rPr>
          <w:rFonts w:ascii="Arial" w:hAnsi="Arial" w:cs="Arial"/>
          <w:sz w:val="24"/>
          <w:szCs w:val="24"/>
        </w:rPr>
        <w:t xml:space="preserve"> detailed scheme performance schedule is attached at appendix </w:t>
      </w:r>
      <w:r w:rsidR="00EA6895">
        <w:rPr>
          <w:rFonts w:ascii="Arial" w:hAnsi="Arial" w:cs="Arial"/>
          <w:sz w:val="24"/>
          <w:szCs w:val="24"/>
        </w:rPr>
        <w:t>A</w:t>
      </w:r>
      <w:bookmarkStart w:id="0" w:name="_GoBack"/>
      <w:bookmarkEnd w:id="0"/>
      <w:r w:rsidRPr="00831BB4">
        <w:rPr>
          <w:rFonts w:ascii="Arial" w:hAnsi="Arial" w:cs="Arial"/>
          <w:sz w:val="24"/>
          <w:szCs w:val="24"/>
        </w:rPr>
        <w:t>.  This provides comprehensive information on all of the schemes in the programm</w:t>
      </w:r>
      <w:r>
        <w:rPr>
          <w:rFonts w:ascii="Arial" w:hAnsi="Arial" w:cs="Arial"/>
          <w:sz w:val="24"/>
          <w:szCs w:val="24"/>
        </w:rPr>
        <w:t xml:space="preserve">e and details their performance. </w:t>
      </w:r>
      <w:r w:rsidRPr="00831BB4">
        <w:rPr>
          <w:rFonts w:ascii="Arial" w:hAnsi="Arial" w:cs="Arial"/>
          <w:sz w:val="24"/>
          <w:szCs w:val="24"/>
        </w:rPr>
        <w:t>A RAG (Red, Amber, Green) rating is applied to all projects in order to demonstrate the current status of the scheme, i.e. whether it is progre</w:t>
      </w:r>
      <w:r>
        <w:rPr>
          <w:rFonts w:ascii="Arial" w:hAnsi="Arial" w:cs="Arial"/>
          <w:sz w:val="24"/>
          <w:szCs w:val="24"/>
        </w:rPr>
        <w:t xml:space="preserve">ssing as planned or otherwise. </w:t>
      </w:r>
      <w:r w:rsidRPr="009D0138">
        <w:rPr>
          <w:rFonts w:ascii="Arial" w:hAnsi="Arial" w:cs="Arial"/>
          <w:sz w:val="24"/>
          <w:szCs w:val="24"/>
        </w:rPr>
        <w:t>Table 1 provides a summary snapshot of the current status of schemes in the programme based on RAG status.</w:t>
      </w:r>
    </w:p>
    <w:p w:rsidR="006A14B0" w:rsidRPr="00831BB4" w:rsidRDefault="00EA6895" w:rsidP="006A14B0">
      <w:pPr>
        <w:pStyle w:val="ListParagraph"/>
        <w:spacing w:after="0" w:line="240" w:lineRule="auto"/>
        <w:ind w:left="1080"/>
        <w:jc w:val="both"/>
        <w:rPr>
          <w:rFonts w:ascii="Arial" w:hAnsi="Arial" w:cs="Arial"/>
          <w:sz w:val="24"/>
          <w:szCs w:val="24"/>
        </w:rPr>
      </w:pPr>
    </w:p>
    <w:p w:rsidR="006A14B0" w:rsidRDefault="008C623A" w:rsidP="006A14B0">
      <w:pPr>
        <w:pStyle w:val="ListParagraph"/>
        <w:numPr>
          <w:ilvl w:val="1"/>
          <w:numId w:val="6"/>
        </w:numPr>
        <w:spacing w:after="0" w:line="240" w:lineRule="auto"/>
        <w:jc w:val="both"/>
        <w:rPr>
          <w:rFonts w:ascii="Arial" w:hAnsi="Arial" w:cs="Arial"/>
          <w:sz w:val="24"/>
          <w:szCs w:val="24"/>
        </w:rPr>
      </w:pPr>
      <w:r w:rsidRPr="00E55714">
        <w:rPr>
          <w:rFonts w:ascii="Arial" w:hAnsi="Arial" w:cs="Arial"/>
          <w:sz w:val="24"/>
          <w:szCs w:val="24"/>
        </w:rPr>
        <w:t xml:space="preserve">The ongoing discussions and negotiations with regard to the future funding of the City Deal resulted in the Executive and Stewardship </w:t>
      </w:r>
      <w:r>
        <w:rPr>
          <w:rFonts w:ascii="Arial" w:hAnsi="Arial" w:cs="Arial"/>
          <w:sz w:val="24"/>
          <w:szCs w:val="24"/>
        </w:rPr>
        <w:t>B</w:t>
      </w:r>
      <w:r w:rsidRPr="00E55714">
        <w:rPr>
          <w:rFonts w:ascii="Arial" w:hAnsi="Arial" w:cs="Arial"/>
          <w:sz w:val="24"/>
          <w:szCs w:val="24"/>
        </w:rPr>
        <w:t xml:space="preserve">oard implementing a pause on all 'uncommitted' project </w:t>
      </w:r>
      <w:proofErr w:type="gramStart"/>
      <w:r w:rsidRPr="00E55714">
        <w:rPr>
          <w:rFonts w:ascii="Arial" w:hAnsi="Arial" w:cs="Arial"/>
          <w:sz w:val="24"/>
          <w:szCs w:val="24"/>
        </w:rPr>
        <w:t xml:space="preserve">spend </w:t>
      </w:r>
      <w:r>
        <w:rPr>
          <w:rFonts w:ascii="Arial" w:hAnsi="Arial" w:cs="Arial"/>
          <w:sz w:val="24"/>
          <w:szCs w:val="24"/>
        </w:rPr>
        <w:t xml:space="preserve"> at</w:t>
      </w:r>
      <w:proofErr w:type="gramEnd"/>
      <w:r>
        <w:rPr>
          <w:rFonts w:ascii="Arial" w:hAnsi="Arial" w:cs="Arial"/>
          <w:sz w:val="24"/>
          <w:szCs w:val="24"/>
        </w:rPr>
        <w:t xml:space="preserve"> the meeting on 3 March 2020.</w:t>
      </w:r>
      <w:r w:rsidRPr="00E55714">
        <w:rPr>
          <w:rFonts w:ascii="Arial" w:hAnsi="Arial" w:cs="Arial"/>
          <w:sz w:val="24"/>
          <w:szCs w:val="24"/>
        </w:rPr>
        <w:t xml:space="preserve">  This situation is ongoing with </w:t>
      </w:r>
      <w:r>
        <w:rPr>
          <w:rFonts w:ascii="Arial" w:hAnsi="Arial" w:cs="Arial"/>
          <w:sz w:val="24"/>
          <w:szCs w:val="24"/>
        </w:rPr>
        <w:t xml:space="preserve">some </w:t>
      </w:r>
      <w:r w:rsidRPr="00E55714">
        <w:rPr>
          <w:rFonts w:ascii="Arial" w:hAnsi="Arial" w:cs="Arial"/>
          <w:sz w:val="24"/>
          <w:szCs w:val="24"/>
        </w:rPr>
        <w:t>exceptions agreed which are</w:t>
      </w:r>
      <w:r>
        <w:rPr>
          <w:rFonts w:ascii="Arial" w:hAnsi="Arial" w:cs="Arial"/>
          <w:sz w:val="24"/>
          <w:szCs w:val="24"/>
        </w:rPr>
        <w:t>:</w:t>
      </w:r>
    </w:p>
    <w:p w:rsidR="006A14B0" w:rsidRPr="00E55714" w:rsidRDefault="00EA6895" w:rsidP="006A14B0">
      <w:pPr>
        <w:pStyle w:val="ListParagraph"/>
        <w:rPr>
          <w:rFonts w:ascii="Arial" w:hAnsi="Arial" w:cs="Arial"/>
          <w:sz w:val="24"/>
          <w:szCs w:val="24"/>
        </w:rPr>
      </w:pPr>
    </w:p>
    <w:p w:rsidR="006A14B0" w:rsidRPr="00941E68" w:rsidRDefault="008C623A" w:rsidP="00A737B7">
      <w:pPr>
        <w:pStyle w:val="ListParagraph"/>
        <w:numPr>
          <w:ilvl w:val="0"/>
          <w:numId w:val="7"/>
        </w:numPr>
        <w:spacing w:after="0" w:line="240" w:lineRule="auto"/>
        <w:ind w:hanging="87"/>
        <w:jc w:val="both"/>
        <w:rPr>
          <w:rFonts w:ascii="Arial" w:hAnsi="Arial" w:cs="Arial"/>
          <w:sz w:val="24"/>
          <w:szCs w:val="24"/>
        </w:rPr>
      </w:pPr>
      <w:r>
        <w:rPr>
          <w:rFonts w:ascii="Arial" w:hAnsi="Arial" w:cs="Arial"/>
          <w:sz w:val="24"/>
          <w:szCs w:val="24"/>
        </w:rPr>
        <w:t>Schemes where works are already</w:t>
      </w:r>
      <w:r w:rsidRPr="00941E68">
        <w:rPr>
          <w:rFonts w:ascii="Arial" w:hAnsi="Arial" w:cs="Arial"/>
          <w:sz w:val="24"/>
          <w:szCs w:val="24"/>
        </w:rPr>
        <w:t xml:space="preserve"> contractually committed</w:t>
      </w:r>
    </w:p>
    <w:p w:rsidR="006A14B0" w:rsidRPr="00941E68" w:rsidRDefault="008C623A" w:rsidP="00A737B7">
      <w:pPr>
        <w:pStyle w:val="ListParagraph"/>
        <w:numPr>
          <w:ilvl w:val="0"/>
          <w:numId w:val="7"/>
        </w:numPr>
        <w:spacing w:after="0" w:line="240" w:lineRule="auto"/>
        <w:ind w:hanging="87"/>
        <w:jc w:val="both"/>
        <w:rPr>
          <w:rFonts w:ascii="Arial" w:hAnsi="Arial" w:cs="Arial"/>
          <w:sz w:val="24"/>
          <w:szCs w:val="24"/>
        </w:rPr>
      </w:pPr>
      <w:r>
        <w:rPr>
          <w:rFonts w:ascii="Arial" w:hAnsi="Arial" w:cs="Arial"/>
          <w:sz w:val="24"/>
          <w:szCs w:val="24"/>
        </w:rPr>
        <w:t xml:space="preserve">Schemes that are </w:t>
      </w:r>
      <w:r w:rsidRPr="00941E68">
        <w:rPr>
          <w:rFonts w:ascii="Arial" w:hAnsi="Arial" w:cs="Arial"/>
          <w:sz w:val="24"/>
          <w:szCs w:val="24"/>
        </w:rPr>
        <w:t>bound by planning permission</w:t>
      </w:r>
      <w:r>
        <w:rPr>
          <w:rFonts w:ascii="Arial" w:hAnsi="Arial" w:cs="Arial"/>
          <w:sz w:val="24"/>
          <w:szCs w:val="24"/>
        </w:rPr>
        <w:t xml:space="preserve"> requirements</w:t>
      </w:r>
    </w:p>
    <w:p w:rsidR="006A14B0" w:rsidRPr="00771FB0" w:rsidRDefault="008C623A" w:rsidP="00A737B7">
      <w:pPr>
        <w:pStyle w:val="ListParagraph"/>
        <w:numPr>
          <w:ilvl w:val="0"/>
          <w:numId w:val="7"/>
        </w:numPr>
        <w:spacing w:after="0" w:line="240" w:lineRule="auto"/>
        <w:ind w:left="1418" w:hanging="425"/>
        <w:jc w:val="both"/>
        <w:rPr>
          <w:rFonts w:ascii="Arial" w:hAnsi="Arial" w:cs="Arial"/>
          <w:sz w:val="24"/>
          <w:szCs w:val="24"/>
        </w:rPr>
      </w:pPr>
      <w:r w:rsidRPr="00941E68">
        <w:rPr>
          <w:rFonts w:ascii="Arial" w:hAnsi="Arial" w:cs="Arial"/>
          <w:sz w:val="24"/>
          <w:szCs w:val="24"/>
        </w:rPr>
        <w:t>Works to</w:t>
      </w:r>
      <w:r>
        <w:rPr>
          <w:rFonts w:ascii="Arial" w:hAnsi="Arial" w:cs="Arial"/>
          <w:sz w:val="24"/>
          <w:szCs w:val="24"/>
        </w:rPr>
        <w:t xml:space="preserve"> schemes that are required in order to</w:t>
      </w:r>
      <w:r w:rsidRPr="00941E68">
        <w:rPr>
          <w:rFonts w:ascii="Arial" w:hAnsi="Arial" w:cs="Arial"/>
          <w:sz w:val="24"/>
          <w:szCs w:val="24"/>
        </w:rPr>
        <w:t xml:space="preserve"> ensure safe and effective operation of the highway </w:t>
      </w:r>
    </w:p>
    <w:p w:rsidR="006A14B0" w:rsidRPr="00E55714" w:rsidRDefault="008C623A" w:rsidP="006A14B0">
      <w:pPr>
        <w:pStyle w:val="ListParagraph"/>
        <w:spacing w:after="0" w:line="240" w:lineRule="auto"/>
        <w:ind w:left="1080"/>
        <w:jc w:val="both"/>
        <w:rPr>
          <w:rFonts w:ascii="Arial" w:hAnsi="Arial" w:cs="Arial"/>
          <w:color w:val="FF0000"/>
          <w:sz w:val="24"/>
          <w:szCs w:val="24"/>
        </w:rPr>
      </w:pPr>
      <w:r w:rsidRPr="00E55714">
        <w:rPr>
          <w:rFonts w:ascii="Arial" w:hAnsi="Arial" w:cs="Arial"/>
          <w:color w:val="FF0000"/>
          <w:sz w:val="24"/>
          <w:szCs w:val="24"/>
        </w:rPr>
        <w:t xml:space="preserve"> </w:t>
      </w:r>
    </w:p>
    <w:p w:rsidR="006A14B0" w:rsidRPr="00DF019A" w:rsidRDefault="008C623A" w:rsidP="006A14B0">
      <w:pPr>
        <w:ind w:left="567" w:hanging="567"/>
        <w:jc w:val="both"/>
        <w:rPr>
          <w:rFonts w:ascii="Arial" w:hAnsi="Arial" w:cs="Arial"/>
          <w:b/>
          <w:sz w:val="24"/>
          <w:szCs w:val="24"/>
        </w:rPr>
      </w:pPr>
      <w:r w:rsidRPr="00DF019A">
        <w:rPr>
          <w:rFonts w:ascii="Arial" w:hAnsi="Arial" w:cs="Arial"/>
          <w:b/>
          <w:sz w:val="24"/>
          <w:szCs w:val="24"/>
        </w:rPr>
        <w:t>Table 1: City Deal Project Performance Summary table – Q</w:t>
      </w:r>
      <w:r>
        <w:rPr>
          <w:rFonts w:ascii="Arial" w:hAnsi="Arial" w:cs="Arial"/>
          <w:b/>
          <w:sz w:val="24"/>
          <w:szCs w:val="24"/>
        </w:rPr>
        <w:t>1 April – June 2020</w:t>
      </w:r>
    </w:p>
    <w:tbl>
      <w:tblPr>
        <w:tblStyle w:val="TableGrid"/>
        <w:tblW w:w="5000" w:type="pct"/>
        <w:tblLayout w:type="fixed"/>
        <w:tblLook w:val="04A0" w:firstRow="1" w:lastRow="0" w:firstColumn="1" w:lastColumn="0" w:noHBand="0" w:noVBand="1"/>
      </w:tblPr>
      <w:tblGrid>
        <w:gridCol w:w="5098"/>
        <w:gridCol w:w="2835"/>
        <w:gridCol w:w="1083"/>
      </w:tblGrid>
      <w:tr w:rsidR="00EF3BCB" w:rsidTr="005B317A">
        <w:tc>
          <w:tcPr>
            <w:tcW w:w="5098" w:type="dxa"/>
          </w:tcPr>
          <w:p w:rsidR="006A14B0" w:rsidRPr="009D0138" w:rsidRDefault="008C623A" w:rsidP="005B317A">
            <w:pPr>
              <w:rPr>
                <w:rFonts w:ascii="Arial" w:hAnsi="Arial" w:cs="Arial"/>
                <w:b/>
                <w:sz w:val="24"/>
                <w:szCs w:val="24"/>
              </w:rPr>
            </w:pPr>
            <w:r w:rsidRPr="009D0138">
              <w:rPr>
                <w:rFonts w:ascii="Arial" w:hAnsi="Arial" w:cs="Arial"/>
                <w:b/>
                <w:sz w:val="24"/>
                <w:szCs w:val="24"/>
              </w:rPr>
              <w:t>Scheme name</w:t>
            </w:r>
          </w:p>
        </w:tc>
        <w:tc>
          <w:tcPr>
            <w:tcW w:w="2835" w:type="dxa"/>
          </w:tcPr>
          <w:p w:rsidR="006A14B0" w:rsidRPr="009D0138" w:rsidRDefault="008C623A" w:rsidP="005B317A">
            <w:pPr>
              <w:jc w:val="both"/>
              <w:rPr>
                <w:rFonts w:ascii="Arial" w:hAnsi="Arial" w:cs="Arial"/>
                <w:b/>
                <w:sz w:val="24"/>
                <w:szCs w:val="24"/>
              </w:rPr>
            </w:pPr>
            <w:r w:rsidRPr="009D0138">
              <w:rPr>
                <w:rFonts w:ascii="Arial" w:hAnsi="Arial" w:cs="Arial"/>
                <w:b/>
                <w:sz w:val="24"/>
                <w:szCs w:val="24"/>
              </w:rPr>
              <w:t>Stage</w:t>
            </w:r>
          </w:p>
        </w:tc>
        <w:tc>
          <w:tcPr>
            <w:tcW w:w="1083" w:type="dxa"/>
            <w:vAlign w:val="center"/>
          </w:tcPr>
          <w:p w:rsidR="006A14B0" w:rsidRPr="009D0138" w:rsidRDefault="008C623A" w:rsidP="005B317A">
            <w:pPr>
              <w:jc w:val="both"/>
              <w:rPr>
                <w:rFonts w:ascii="Arial" w:hAnsi="Arial" w:cs="Arial"/>
                <w:b/>
                <w:sz w:val="24"/>
                <w:szCs w:val="24"/>
              </w:rPr>
            </w:pPr>
            <w:r w:rsidRPr="009D0138">
              <w:rPr>
                <w:rFonts w:ascii="Arial" w:hAnsi="Arial" w:cs="Arial"/>
                <w:b/>
                <w:sz w:val="24"/>
                <w:szCs w:val="24"/>
              </w:rPr>
              <w:t>Status</w:t>
            </w: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City Deal Zone 1: North West Preston</w:t>
            </w:r>
          </w:p>
        </w:tc>
        <w:tc>
          <w:tcPr>
            <w:tcW w:w="2835" w:type="dxa"/>
            <w:shd w:val="clear" w:color="auto" w:fill="B8CCE4" w:themeFill="accent1" w:themeFillTint="66"/>
          </w:tcPr>
          <w:p w:rsidR="006A14B0" w:rsidRPr="009D0138" w:rsidRDefault="00EA6895" w:rsidP="005B317A">
            <w:pPr>
              <w:jc w:val="both"/>
              <w:rPr>
                <w:rFonts w:ascii="Arial" w:hAnsi="Arial" w:cs="Arial"/>
                <w:sz w:val="24"/>
                <w:szCs w:val="24"/>
              </w:rPr>
            </w:pPr>
          </w:p>
        </w:tc>
        <w:tc>
          <w:tcPr>
            <w:tcW w:w="1083" w:type="dxa"/>
            <w:shd w:val="clear" w:color="auto" w:fill="B8CCE4" w:themeFill="accent1" w:themeFillTint="66"/>
            <w:vAlign w:val="center"/>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Preston Western Distributor (PWD)/East West Link Road</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On site</w:t>
            </w:r>
          </w:p>
        </w:tc>
        <w:tc>
          <w:tcPr>
            <w:tcW w:w="1083" w:type="dxa"/>
            <w:shd w:val="clear" w:color="auto" w:fill="00B050"/>
            <w:vAlign w:val="center"/>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Guild Wheel Upgrade Link – P1 Bluebell Way</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Design</w:t>
            </w:r>
            <w:r>
              <w:rPr>
                <w:rFonts w:ascii="Arial" w:hAnsi="Arial" w:cs="Arial"/>
                <w:sz w:val="24"/>
                <w:szCs w:val="24"/>
              </w:rPr>
              <w:t>- CD funding paused</w:t>
            </w:r>
          </w:p>
        </w:tc>
        <w:tc>
          <w:tcPr>
            <w:tcW w:w="1083" w:type="dxa"/>
            <w:shd w:val="clear" w:color="auto" w:fill="FF0000"/>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Cottam to City Centre Cycle improvements</w:t>
            </w:r>
          </w:p>
        </w:tc>
        <w:tc>
          <w:tcPr>
            <w:tcW w:w="2835" w:type="dxa"/>
            <w:shd w:val="clear" w:color="auto" w:fill="auto"/>
          </w:tcPr>
          <w:p w:rsidR="006A14B0" w:rsidRPr="009D0138" w:rsidRDefault="008C623A" w:rsidP="005B317A">
            <w:pPr>
              <w:jc w:val="both"/>
              <w:rPr>
                <w:rFonts w:ascii="Arial" w:hAnsi="Arial" w:cs="Arial"/>
                <w:color w:val="F79646" w:themeColor="accent6"/>
                <w:sz w:val="24"/>
                <w:szCs w:val="24"/>
              </w:rPr>
            </w:pPr>
            <w:r>
              <w:rPr>
                <w:rFonts w:ascii="Arial" w:hAnsi="Arial" w:cs="Arial"/>
                <w:sz w:val="24"/>
                <w:szCs w:val="24"/>
              </w:rPr>
              <w:t xml:space="preserve">Project under review </w:t>
            </w:r>
          </w:p>
        </w:tc>
        <w:tc>
          <w:tcPr>
            <w:tcW w:w="1083" w:type="dxa"/>
            <w:shd w:val="clear" w:color="auto" w:fill="FF0000"/>
          </w:tcPr>
          <w:p w:rsidR="006A14B0" w:rsidRPr="009D0138" w:rsidRDefault="00EA6895" w:rsidP="005B317A">
            <w:pPr>
              <w:jc w:val="both"/>
              <w:rPr>
                <w:rFonts w:ascii="Arial" w:hAnsi="Arial" w:cs="Arial"/>
                <w:color w:val="F79646" w:themeColor="accent6"/>
                <w:sz w:val="24"/>
                <w:szCs w:val="24"/>
              </w:rPr>
            </w:pP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City Deal Zone 3: Preston City Centre</w:t>
            </w:r>
          </w:p>
        </w:tc>
        <w:tc>
          <w:tcPr>
            <w:tcW w:w="2835" w:type="dxa"/>
            <w:shd w:val="clear" w:color="auto" w:fill="B8CCE4" w:themeFill="accent1" w:themeFillTint="66"/>
          </w:tcPr>
          <w:p w:rsidR="006A14B0" w:rsidRPr="009D0138" w:rsidRDefault="00EA6895" w:rsidP="005B317A">
            <w:pPr>
              <w:jc w:val="both"/>
              <w:rPr>
                <w:rFonts w:ascii="Arial" w:hAnsi="Arial" w:cs="Arial"/>
                <w:b/>
                <w:sz w:val="24"/>
                <w:szCs w:val="24"/>
              </w:rPr>
            </w:pPr>
          </w:p>
        </w:tc>
        <w:tc>
          <w:tcPr>
            <w:tcW w:w="1083" w:type="dxa"/>
            <w:shd w:val="clear" w:color="auto" w:fill="B8CCE4" w:themeFill="accent1" w:themeFillTint="66"/>
          </w:tcPr>
          <w:p w:rsidR="006A14B0" w:rsidRPr="009D0138" w:rsidRDefault="00EA6895" w:rsidP="005B317A">
            <w:pPr>
              <w:jc w:val="both"/>
              <w:rPr>
                <w:rFonts w:ascii="Arial" w:hAnsi="Arial" w:cs="Arial"/>
                <w:b/>
                <w:sz w:val="24"/>
                <w:szCs w:val="24"/>
              </w:rPr>
            </w:pPr>
          </w:p>
        </w:tc>
      </w:tr>
      <w:tr w:rsidR="00EF3BCB" w:rsidTr="005B317A">
        <w:tc>
          <w:tcPr>
            <w:tcW w:w="5098" w:type="dxa"/>
          </w:tcPr>
          <w:p w:rsidR="006A14B0" w:rsidRPr="009D0138" w:rsidRDefault="008C623A" w:rsidP="005B317A">
            <w:pPr>
              <w:rPr>
                <w:rFonts w:ascii="Arial" w:hAnsi="Arial" w:cs="Arial"/>
                <w:sz w:val="24"/>
                <w:szCs w:val="24"/>
              </w:rPr>
            </w:pPr>
            <w:proofErr w:type="spellStart"/>
            <w:r w:rsidRPr="009D0138">
              <w:rPr>
                <w:rFonts w:ascii="Arial" w:hAnsi="Arial" w:cs="Arial"/>
                <w:sz w:val="24"/>
                <w:szCs w:val="24"/>
              </w:rPr>
              <w:t>Fishergate</w:t>
            </w:r>
            <w:proofErr w:type="spellEnd"/>
            <w:r w:rsidRPr="009D0138">
              <w:rPr>
                <w:rFonts w:ascii="Arial" w:hAnsi="Arial" w:cs="Arial"/>
                <w:sz w:val="24"/>
                <w:szCs w:val="24"/>
              </w:rPr>
              <w:t xml:space="preserve"> Central Gateway – Ph3 (including bus station apron)</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On site</w:t>
            </w:r>
          </w:p>
        </w:tc>
        <w:tc>
          <w:tcPr>
            <w:tcW w:w="1083" w:type="dxa"/>
            <w:shd w:val="clear" w:color="auto" w:fill="FFC000"/>
            <w:vAlign w:val="center"/>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 xml:space="preserve">PWD to </w:t>
            </w:r>
            <w:proofErr w:type="spellStart"/>
            <w:r w:rsidRPr="009D0138">
              <w:rPr>
                <w:rFonts w:ascii="Arial" w:hAnsi="Arial" w:cs="Arial"/>
                <w:sz w:val="24"/>
                <w:szCs w:val="24"/>
              </w:rPr>
              <w:t>Samlesbury</w:t>
            </w:r>
            <w:proofErr w:type="spellEnd"/>
            <w:r w:rsidRPr="009D0138">
              <w:rPr>
                <w:rFonts w:ascii="Arial" w:hAnsi="Arial" w:cs="Arial"/>
                <w:sz w:val="24"/>
                <w:szCs w:val="24"/>
              </w:rPr>
              <w:t xml:space="preserve"> – New Hall Lane Local Centre (local centre)</w:t>
            </w:r>
          </w:p>
        </w:tc>
        <w:tc>
          <w:tcPr>
            <w:tcW w:w="2835" w:type="dxa"/>
            <w:shd w:val="clear" w:color="auto" w:fill="auto"/>
          </w:tcPr>
          <w:p w:rsidR="006A14B0" w:rsidRPr="009D0138" w:rsidRDefault="008C623A" w:rsidP="005B317A">
            <w:pPr>
              <w:rPr>
                <w:rFonts w:ascii="Arial" w:hAnsi="Arial" w:cs="Arial"/>
                <w:sz w:val="24"/>
                <w:szCs w:val="24"/>
              </w:rPr>
            </w:pPr>
            <w:r>
              <w:rPr>
                <w:rFonts w:ascii="Arial" w:hAnsi="Arial" w:cs="Arial"/>
                <w:sz w:val="24"/>
                <w:szCs w:val="24"/>
              </w:rPr>
              <w:t>Awaiting final resurfacing – CD Funding Paused</w:t>
            </w:r>
          </w:p>
        </w:tc>
        <w:tc>
          <w:tcPr>
            <w:tcW w:w="1083" w:type="dxa"/>
            <w:shd w:val="clear" w:color="auto" w:fill="FF0000"/>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Harris Museum/Library</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Planning – CD Funding Paused</w:t>
            </w:r>
          </w:p>
        </w:tc>
        <w:tc>
          <w:tcPr>
            <w:tcW w:w="1083" w:type="dxa"/>
            <w:shd w:val="clear" w:color="auto" w:fill="FF0000"/>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Harris Quarter</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Planning</w:t>
            </w:r>
            <w:r>
              <w:rPr>
                <w:rFonts w:ascii="Arial" w:hAnsi="Arial" w:cs="Arial"/>
                <w:sz w:val="24"/>
                <w:szCs w:val="24"/>
              </w:rPr>
              <w:t xml:space="preserve"> – CD Funding Paused</w:t>
            </w:r>
          </w:p>
        </w:tc>
        <w:tc>
          <w:tcPr>
            <w:tcW w:w="1083" w:type="dxa"/>
            <w:shd w:val="clear" w:color="auto" w:fill="FF0000"/>
          </w:tcPr>
          <w:p w:rsidR="006A14B0" w:rsidRPr="009D0138" w:rsidRDefault="00EA6895" w:rsidP="005B317A">
            <w:pPr>
              <w:jc w:val="both"/>
              <w:rPr>
                <w:rFonts w:ascii="Arial" w:hAnsi="Arial" w:cs="Arial"/>
                <w:sz w:val="24"/>
                <w:szCs w:val="24"/>
              </w:rPr>
            </w:pP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 xml:space="preserve">City Deal Zone 4: Penwortham &amp; </w:t>
            </w:r>
            <w:proofErr w:type="spellStart"/>
            <w:r w:rsidRPr="009D0138">
              <w:rPr>
                <w:rFonts w:ascii="Arial" w:hAnsi="Arial" w:cs="Arial"/>
                <w:b/>
                <w:sz w:val="24"/>
                <w:szCs w:val="24"/>
              </w:rPr>
              <w:t>Lostock</w:t>
            </w:r>
            <w:proofErr w:type="spellEnd"/>
            <w:r w:rsidRPr="009D0138">
              <w:rPr>
                <w:rFonts w:ascii="Arial" w:hAnsi="Arial" w:cs="Arial"/>
                <w:b/>
                <w:sz w:val="24"/>
                <w:szCs w:val="24"/>
              </w:rPr>
              <w:t xml:space="preserve"> hall</w:t>
            </w:r>
          </w:p>
        </w:tc>
        <w:tc>
          <w:tcPr>
            <w:tcW w:w="2835" w:type="dxa"/>
            <w:shd w:val="clear" w:color="auto" w:fill="B8CCE4" w:themeFill="accent1" w:themeFillTint="66"/>
          </w:tcPr>
          <w:p w:rsidR="006A14B0" w:rsidRPr="009D0138" w:rsidRDefault="00EA6895" w:rsidP="005B317A">
            <w:pPr>
              <w:jc w:val="both"/>
              <w:rPr>
                <w:rFonts w:ascii="Arial" w:hAnsi="Arial" w:cs="Arial"/>
                <w:b/>
                <w:sz w:val="24"/>
                <w:szCs w:val="24"/>
              </w:rPr>
            </w:pPr>
          </w:p>
        </w:tc>
        <w:tc>
          <w:tcPr>
            <w:tcW w:w="1083" w:type="dxa"/>
            <w:shd w:val="clear" w:color="auto" w:fill="B8CCE4" w:themeFill="accent1" w:themeFillTint="66"/>
            <w:vAlign w:val="center"/>
          </w:tcPr>
          <w:p w:rsidR="006A14B0" w:rsidRPr="009D0138" w:rsidRDefault="00EA6895" w:rsidP="005B317A">
            <w:pPr>
              <w:jc w:val="both"/>
              <w:rPr>
                <w:rFonts w:ascii="Arial" w:hAnsi="Arial" w:cs="Arial"/>
                <w:b/>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Penwortham Bypass</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Post construction works</w:t>
            </w:r>
          </w:p>
        </w:tc>
        <w:tc>
          <w:tcPr>
            <w:tcW w:w="1083" w:type="dxa"/>
            <w:shd w:val="clear" w:color="auto" w:fill="00B050"/>
            <w:vAlign w:val="center"/>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lastRenderedPageBreak/>
              <w:t xml:space="preserve">A582 South </w:t>
            </w:r>
            <w:proofErr w:type="spellStart"/>
            <w:r w:rsidRPr="009D0138">
              <w:rPr>
                <w:rFonts w:ascii="Arial" w:hAnsi="Arial" w:cs="Arial"/>
                <w:sz w:val="24"/>
                <w:szCs w:val="24"/>
              </w:rPr>
              <w:t>Ribble</w:t>
            </w:r>
            <w:proofErr w:type="spellEnd"/>
            <w:r w:rsidRPr="009D0138">
              <w:rPr>
                <w:rFonts w:ascii="Arial" w:hAnsi="Arial" w:cs="Arial"/>
                <w:sz w:val="24"/>
                <w:szCs w:val="24"/>
              </w:rPr>
              <w:t xml:space="preserve"> Western Distributor </w:t>
            </w:r>
            <w:proofErr w:type="spellStart"/>
            <w:r w:rsidRPr="009D0138">
              <w:rPr>
                <w:rFonts w:ascii="Arial" w:hAnsi="Arial" w:cs="Arial"/>
                <w:sz w:val="24"/>
                <w:szCs w:val="24"/>
              </w:rPr>
              <w:t>dualling</w:t>
            </w:r>
            <w:proofErr w:type="spellEnd"/>
            <w:r w:rsidRPr="009D0138">
              <w:rPr>
                <w:rFonts w:ascii="Arial" w:hAnsi="Arial" w:cs="Arial"/>
                <w:sz w:val="24"/>
                <w:szCs w:val="24"/>
              </w:rPr>
              <w:t xml:space="preserve"> (SRWD)</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Outline Business Case</w:t>
            </w:r>
          </w:p>
        </w:tc>
        <w:tc>
          <w:tcPr>
            <w:tcW w:w="1083" w:type="dxa"/>
            <w:shd w:val="clear" w:color="auto" w:fill="FF0000"/>
            <w:vAlign w:val="center"/>
          </w:tcPr>
          <w:p w:rsidR="006A14B0" w:rsidRPr="009D0138" w:rsidRDefault="00EA6895" w:rsidP="005B317A">
            <w:pPr>
              <w:jc w:val="both"/>
              <w:rPr>
                <w:rFonts w:ascii="Arial" w:hAnsi="Arial" w:cs="Arial"/>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Hutton/Higher Penwortham/City Centre corridor improvements</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Post construction works</w:t>
            </w:r>
          </w:p>
        </w:tc>
        <w:tc>
          <w:tcPr>
            <w:tcW w:w="1083" w:type="dxa"/>
            <w:shd w:val="clear" w:color="auto" w:fill="FFC000"/>
          </w:tcPr>
          <w:p w:rsidR="006A14B0" w:rsidRPr="009D0138" w:rsidRDefault="00EA6895" w:rsidP="005B317A">
            <w:pPr>
              <w:jc w:val="both"/>
              <w:rPr>
                <w:rFonts w:ascii="Arial" w:hAnsi="Arial" w:cs="Arial"/>
                <w:sz w:val="24"/>
                <w:szCs w:val="24"/>
              </w:rPr>
            </w:pP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 xml:space="preserve">City Deal Zone 5: Leyland and </w:t>
            </w:r>
            <w:proofErr w:type="spellStart"/>
            <w:r w:rsidRPr="009D0138">
              <w:rPr>
                <w:rFonts w:ascii="Arial" w:hAnsi="Arial" w:cs="Arial"/>
                <w:b/>
                <w:sz w:val="24"/>
                <w:szCs w:val="24"/>
              </w:rPr>
              <w:t>Cuerden</w:t>
            </w:r>
            <w:proofErr w:type="spellEnd"/>
          </w:p>
        </w:tc>
        <w:tc>
          <w:tcPr>
            <w:tcW w:w="2835" w:type="dxa"/>
            <w:shd w:val="clear" w:color="auto" w:fill="B8CCE4" w:themeFill="accent1" w:themeFillTint="66"/>
          </w:tcPr>
          <w:p w:rsidR="006A14B0" w:rsidRPr="009D0138" w:rsidRDefault="00EA6895" w:rsidP="005B317A">
            <w:pPr>
              <w:jc w:val="both"/>
              <w:rPr>
                <w:rFonts w:ascii="Arial" w:hAnsi="Arial" w:cs="Arial"/>
                <w:b/>
                <w:sz w:val="24"/>
                <w:szCs w:val="24"/>
              </w:rPr>
            </w:pPr>
          </w:p>
        </w:tc>
        <w:tc>
          <w:tcPr>
            <w:tcW w:w="1083" w:type="dxa"/>
            <w:shd w:val="clear" w:color="auto" w:fill="B8CCE4" w:themeFill="accent1" w:themeFillTint="66"/>
            <w:vAlign w:val="center"/>
          </w:tcPr>
          <w:p w:rsidR="006A14B0" w:rsidRPr="009D0138" w:rsidRDefault="00EA6895" w:rsidP="005B317A">
            <w:pPr>
              <w:jc w:val="both"/>
              <w:rPr>
                <w:rFonts w:ascii="Arial" w:hAnsi="Arial" w:cs="Arial"/>
                <w:b/>
                <w:sz w:val="24"/>
                <w:szCs w:val="24"/>
              </w:rPr>
            </w:pPr>
          </w:p>
        </w:tc>
      </w:tr>
      <w:tr w:rsidR="00EF3BCB" w:rsidTr="005B317A">
        <w:tc>
          <w:tcPr>
            <w:tcW w:w="5098" w:type="dxa"/>
          </w:tcPr>
          <w:p w:rsidR="006A14B0" w:rsidRPr="009D0138" w:rsidRDefault="008C623A" w:rsidP="005B317A">
            <w:pPr>
              <w:rPr>
                <w:rFonts w:ascii="Arial" w:hAnsi="Arial" w:cs="Arial"/>
                <w:sz w:val="24"/>
                <w:szCs w:val="24"/>
              </w:rPr>
            </w:pPr>
            <w:proofErr w:type="spellStart"/>
            <w:r w:rsidRPr="009D0138">
              <w:rPr>
                <w:rFonts w:ascii="Arial" w:hAnsi="Arial" w:cs="Arial"/>
                <w:sz w:val="24"/>
                <w:szCs w:val="24"/>
              </w:rPr>
              <w:t>Cuerden</w:t>
            </w:r>
            <w:proofErr w:type="spellEnd"/>
            <w:r w:rsidRPr="009D0138">
              <w:rPr>
                <w:rFonts w:ascii="Arial" w:hAnsi="Arial" w:cs="Arial"/>
                <w:sz w:val="24"/>
                <w:szCs w:val="24"/>
              </w:rPr>
              <w:t xml:space="preserve"> Strategic Site – road infrastructure</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Design</w:t>
            </w:r>
            <w:r>
              <w:rPr>
                <w:rFonts w:ascii="Arial" w:hAnsi="Arial" w:cs="Arial"/>
                <w:sz w:val="24"/>
                <w:szCs w:val="24"/>
              </w:rPr>
              <w:t xml:space="preserve"> – CD Funding Paused</w:t>
            </w:r>
          </w:p>
        </w:tc>
        <w:tc>
          <w:tcPr>
            <w:tcW w:w="1083" w:type="dxa"/>
            <w:shd w:val="clear" w:color="auto" w:fill="FF0000"/>
            <w:vAlign w:val="center"/>
          </w:tcPr>
          <w:p w:rsidR="006A14B0" w:rsidRPr="009D0138" w:rsidRDefault="00EA6895" w:rsidP="005B317A">
            <w:pPr>
              <w:jc w:val="both"/>
              <w:rPr>
                <w:rFonts w:ascii="Arial" w:hAnsi="Arial" w:cs="Arial"/>
                <w:sz w:val="24"/>
                <w:szCs w:val="24"/>
              </w:rPr>
            </w:pP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 xml:space="preserve">City Deal Zone 6: </w:t>
            </w:r>
            <w:proofErr w:type="spellStart"/>
            <w:r w:rsidRPr="009D0138">
              <w:rPr>
                <w:rFonts w:ascii="Arial" w:hAnsi="Arial" w:cs="Arial"/>
                <w:b/>
                <w:sz w:val="24"/>
                <w:szCs w:val="24"/>
              </w:rPr>
              <w:t>Bamber</w:t>
            </w:r>
            <w:proofErr w:type="spellEnd"/>
            <w:r w:rsidRPr="009D0138">
              <w:rPr>
                <w:rFonts w:ascii="Arial" w:hAnsi="Arial" w:cs="Arial"/>
                <w:b/>
                <w:sz w:val="24"/>
                <w:szCs w:val="24"/>
              </w:rPr>
              <w:t xml:space="preserve"> Bridge</w:t>
            </w:r>
          </w:p>
        </w:tc>
        <w:tc>
          <w:tcPr>
            <w:tcW w:w="2835" w:type="dxa"/>
            <w:shd w:val="clear" w:color="auto" w:fill="B8CCE4" w:themeFill="accent1" w:themeFillTint="66"/>
          </w:tcPr>
          <w:p w:rsidR="006A14B0" w:rsidRPr="009D0138" w:rsidRDefault="00EA6895" w:rsidP="005B317A">
            <w:pPr>
              <w:jc w:val="both"/>
              <w:rPr>
                <w:rFonts w:ascii="Arial" w:hAnsi="Arial" w:cs="Arial"/>
                <w:b/>
                <w:sz w:val="24"/>
                <w:szCs w:val="24"/>
              </w:rPr>
            </w:pPr>
          </w:p>
        </w:tc>
        <w:tc>
          <w:tcPr>
            <w:tcW w:w="1083" w:type="dxa"/>
            <w:shd w:val="clear" w:color="auto" w:fill="B8CCE4" w:themeFill="accent1" w:themeFillTint="66"/>
            <w:vAlign w:val="center"/>
          </w:tcPr>
          <w:p w:rsidR="006A14B0" w:rsidRPr="009D0138" w:rsidRDefault="00EA6895" w:rsidP="005B317A">
            <w:pPr>
              <w:jc w:val="both"/>
              <w:rPr>
                <w:rFonts w:ascii="Arial" w:hAnsi="Arial" w:cs="Arial"/>
                <w:b/>
                <w:sz w:val="24"/>
                <w:szCs w:val="24"/>
              </w:rPr>
            </w:pPr>
          </w:p>
        </w:tc>
      </w:tr>
      <w:tr w:rsidR="00EF3BCB" w:rsidTr="005B317A">
        <w:tc>
          <w:tcPr>
            <w:tcW w:w="5098" w:type="dxa"/>
          </w:tcPr>
          <w:p w:rsidR="006A14B0" w:rsidRPr="009D0138" w:rsidRDefault="008C623A" w:rsidP="005B317A">
            <w:pPr>
              <w:rPr>
                <w:rFonts w:ascii="Arial" w:hAnsi="Arial" w:cs="Arial"/>
                <w:sz w:val="24"/>
                <w:szCs w:val="24"/>
              </w:rPr>
            </w:pPr>
            <w:proofErr w:type="spellStart"/>
            <w:r w:rsidRPr="009D0138">
              <w:rPr>
                <w:rFonts w:ascii="Arial" w:hAnsi="Arial" w:cs="Arial"/>
                <w:sz w:val="24"/>
                <w:szCs w:val="24"/>
              </w:rPr>
              <w:t>Bamber</w:t>
            </w:r>
            <w:proofErr w:type="spellEnd"/>
            <w:r w:rsidRPr="009D0138">
              <w:rPr>
                <w:rFonts w:ascii="Arial" w:hAnsi="Arial" w:cs="Arial"/>
                <w:sz w:val="24"/>
                <w:szCs w:val="24"/>
              </w:rPr>
              <w:t xml:space="preserve"> Bridge/City Centre</w:t>
            </w:r>
          </w:p>
        </w:tc>
        <w:tc>
          <w:tcPr>
            <w:tcW w:w="2835" w:type="dxa"/>
            <w:shd w:val="clear" w:color="auto" w:fill="auto"/>
          </w:tcPr>
          <w:p w:rsidR="006A14B0" w:rsidRPr="00E61A36" w:rsidRDefault="008C623A" w:rsidP="00E61A36">
            <w:pPr>
              <w:rPr>
                <w:rFonts w:ascii="Arial" w:hAnsi="Arial" w:cs="Arial"/>
                <w:bCs/>
                <w:sz w:val="24"/>
                <w:szCs w:val="24"/>
              </w:rPr>
            </w:pPr>
            <w:r>
              <w:rPr>
                <w:rFonts w:ascii="Arial" w:hAnsi="Arial" w:cs="Arial"/>
                <w:bCs/>
                <w:sz w:val="24"/>
                <w:szCs w:val="24"/>
              </w:rPr>
              <w:t>Design for u</w:t>
            </w:r>
            <w:r w:rsidRPr="00E61A36">
              <w:rPr>
                <w:rFonts w:ascii="Arial" w:hAnsi="Arial" w:cs="Arial"/>
                <w:bCs/>
                <w:sz w:val="24"/>
                <w:szCs w:val="24"/>
              </w:rPr>
              <w:t>rgent health and safety</w:t>
            </w:r>
            <w:r>
              <w:rPr>
                <w:rFonts w:ascii="Arial" w:hAnsi="Arial" w:cs="Arial"/>
                <w:bCs/>
                <w:sz w:val="24"/>
                <w:szCs w:val="24"/>
              </w:rPr>
              <w:t xml:space="preserve"> works </w:t>
            </w:r>
            <w:r w:rsidRPr="00E61A36">
              <w:rPr>
                <w:rFonts w:ascii="Arial" w:hAnsi="Arial" w:cs="Arial"/>
                <w:bCs/>
                <w:sz w:val="24"/>
                <w:szCs w:val="24"/>
              </w:rPr>
              <w:t xml:space="preserve"> </w:t>
            </w:r>
          </w:p>
        </w:tc>
        <w:tc>
          <w:tcPr>
            <w:tcW w:w="1083" w:type="dxa"/>
            <w:shd w:val="clear" w:color="auto" w:fill="00B050"/>
            <w:vAlign w:val="center"/>
          </w:tcPr>
          <w:p w:rsidR="006A14B0" w:rsidRPr="009D0138" w:rsidRDefault="00EA6895" w:rsidP="005B317A">
            <w:pPr>
              <w:jc w:val="both"/>
              <w:rPr>
                <w:rFonts w:ascii="Arial" w:hAnsi="Arial" w:cs="Arial"/>
                <w:sz w:val="24"/>
                <w:szCs w:val="24"/>
              </w:rPr>
            </w:pPr>
          </w:p>
        </w:tc>
      </w:tr>
      <w:tr w:rsidR="00EF3BCB" w:rsidTr="005B317A">
        <w:tc>
          <w:tcPr>
            <w:tcW w:w="5098" w:type="dxa"/>
            <w:shd w:val="clear" w:color="auto" w:fill="B8CCE4" w:themeFill="accent1" w:themeFillTint="66"/>
          </w:tcPr>
          <w:p w:rsidR="006A14B0" w:rsidRPr="009D0138" w:rsidRDefault="008C623A" w:rsidP="005B317A">
            <w:pPr>
              <w:rPr>
                <w:rFonts w:ascii="Arial" w:hAnsi="Arial" w:cs="Arial"/>
                <w:b/>
                <w:sz w:val="24"/>
                <w:szCs w:val="24"/>
              </w:rPr>
            </w:pPr>
            <w:r w:rsidRPr="009D0138">
              <w:rPr>
                <w:rFonts w:ascii="Arial" w:hAnsi="Arial" w:cs="Arial"/>
                <w:b/>
                <w:sz w:val="24"/>
                <w:szCs w:val="24"/>
              </w:rPr>
              <w:t xml:space="preserve">Pipeline projects </w:t>
            </w:r>
          </w:p>
        </w:tc>
        <w:tc>
          <w:tcPr>
            <w:tcW w:w="2835" w:type="dxa"/>
            <w:shd w:val="clear" w:color="auto" w:fill="B8CCE4" w:themeFill="accent1" w:themeFillTint="66"/>
          </w:tcPr>
          <w:p w:rsidR="006A14B0" w:rsidRPr="009D0138" w:rsidRDefault="00EA6895" w:rsidP="005B317A">
            <w:pPr>
              <w:jc w:val="both"/>
              <w:rPr>
                <w:rFonts w:ascii="Arial" w:hAnsi="Arial" w:cs="Arial"/>
                <w:b/>
                <w:sz w:val="24"/>
                <w:szCs w:val="24"/>
              </w:rPr>
            </w:pPr>
          </w:p>
        </w:tc>
        <w:tc>
          <w:tcPr>
            <w:tcW w:w="1083" w:type="dxa"/>
            <w:shd w:val="clear" w:color="auto" w:fill="B8CCE4" w:themeFill="accent1" w:themeFillTint="66"/>
            <w:vAlign w:val="center"/>
          </w:tcPr>
          <w:p w:rsidR="006A14B0" w:rsidRPr="009D0138" w:rsidRDefault="00EA6895" w:rsidP="005B317A">
            <w:pPr>
              <w:jc w:val="both"/>
              <w:rPr>
                <w:rFonts w:ascii="Arial" w:hAnsi="Arial" w:cs="Arial"/>
                <w:b/>
                <w:sz w:val="24"/>
                <w:szCs w:val="24"/>
              </w:rPr>
            </w:pPr>
          </w:p>
        </w:tc>
      </w:tr>
      <w:tr w:rsidR="00EF3BCB" w:rsidTr="005B317A">
        <w:tc>
          <w:tcPr>
            <w:tcW w:w="5098" w:type="dxa"/>
          </w:tcPr>
          <w:p w:rsidR="006A14B0" w:rsidRPr="009D0138" w:rsidRDefault="008C623A" w:rsidP="005B317A">
            <w:pPr>
              <w:rPr>
                <w:rFonts w:ascii="Arial" w:hAnsi="Arial" w:cs="Arial"/>
                <w:sz w:val="24"/>
                <w:szCs w:val="24"/>
              </w:rPr>
            </w:pPr>
            <w:r w:rsidRPr="009D0138">
              <w:rPr>
                <w:rFonts w:ascii="Arial" w:hAnsi="Arial" w:cs="Arial"/>
                <w:sz w:val="24"/>
                <w:szCs w:val="24"/>
              </w:rPr>
              <w:t>Moss Side Test Track road infrastructure</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Planning</w:t>
            </w:r>
            <w:r>
              <w:rPr>
                <w:rFonts w:ascii="Arial" w:hAnsi="Arial" w:cs="Arial"/>
                <w:sz w:val="24"/>
                <w:szCs w:val="24"/>
              </w:rPr>
              <w:t xml:space="preserve"> </w:t>
            </w:r>
          </w:p>
        </w:tc>
        <w:tc>
          <w:tcPr>
            <w:tcW w:w="1083" w:type="dxa"/>
            <w:shd w:val="clear" w:color="auto" w:fill="EEECE1" w:themeFill="background2"/>
            <w:vAlign w:val="center"/>
          </w:tcPr>
          <w:p w:rsidR="006A14B0" w:rsidRPr="009D0138"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179"/>
        </w:trPr>
        <w:tc>
          <w:tcPr>
            <w:tcW w:w="5098" w:type="dxa"/>
          </w:tcPr>
          <w:p w:rsidR="006A14B0" w:rsidRPr="009D0138" w:rsidRDefault="008C623A" w:rsidP="005B317A">
            <w:pPr>
              <w:rPr>
                <w:rFonts w:ascii="Arial" w:hAnsi="Arial" w:cs="Arial"/>
                <w:sz w:val="24"/>
                <w:szCs w:val="24"/>
              </w:rPr>
            </w:pPr>
            <w:r>
              <w:rPr>
                <w:rFonts w:ascii="Arial" w:hAnsi="Arial" w:cs="Arial"/>
                <w:sz w:val="24"/>
                <w:szCs w:val="24"/>
              </w:rPr>
              <w:t>The Lanes</w:t>
            </w:r>
            <w:r w:rsidRPr="009D0138">
              <w:rPr>
                <w:rFonts w:ascii="Arial" w:hAnsi="Arial" w:cs="Arial"/>
                <w:sz w:val="24"/>
                <w:szCs w:val="24"/>
              </w:rPr>
              <w:t xml:space="preserve"> Link Road</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083" w:type="dxa"/>
            <w:shd w:val="clear" w:color="auto" w:fill="EEECE1" w:themeFill="background2"/>
            <w:vAlign w:val="center"/>
          </w:tcPr>
          <w:p w:rsidR="006A14B0" w:rsidRPr="009D0138"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255"/>
        </w:trPr>
        <w:tc>
          <w:tcPr>
            <w:tcW w:w="5098" w:type="dxa"/>
          </w:tcPr>
          <w:p w:rsidR="006A14B0" w:rsidRPr="009D0138" w:rsidRDefault="008C623A" w:rsidP="005B317A">
            <w:pPr>
              <w:rPr>
                <w:rFonts w:ascii="Arial" w:hAnsi="Arial" w:cs="Arial"/>
                <w:sz w:val="24"/>
                <w:szCs w:val="24"/>
              </w:rPr>
            </w:pPr>
            <w:r>
              <w:rPr>
                <w:rFonts w:ascii="Arial" w:hAnsi="Arial" w:cs="Arial"/>
                <w:sz w:val="24"/>
                <w:szCs w:val="24"/>
              </w:rPr>
              <w:t>Cottam Parkway</w:t>
            </w: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 xml:space="preserve">Planning </w:t>
            </w:r>
          </w:p>
        </w:tc>
        <w:tc>
          <w:tcPr>
            <w:tcW w:w="1083" w:type="dxa"/>
            <w:shd w:val="clear" w:color="auto" w:fill="EEECE1" w:themeFill="background2"/>
            <w:vAlign w:val="center"/>
          </w:tcPr>
          <w:p w:rsidR="006A14B0"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255"/>
        </w:trPr>
        <w:tc>
          <w:tcPr>
            <w:tcW w:w="5098" w:type="dxa"/>
          </w:tcPr>
          <w:p w:rsidR="006A14B0" w:rsidRDefault="008C623A" w:rsidP="005B317A">
            <w:pPr>
              <w:rPr>
                <w:rFonts w:ascii="Arial" w:hAnsi="Arial" w:cs="Arial"/>
                <w:sz w:val="24"/>
                <w:szCs w:val="24"/>
              </w:rPr>
            </w:pPr>
            <w:r w:rsidRPr="009D0138">
              <w:rPr>
                <w:rFonts w:ascii="Arial" w:hAnsi="Arial" w:cs="Arial"/>
                <w:sz w:val="24"/>
                <w:szCs w:val="24"/>
              </w:rPr>
              <w:t xml:space="preserve">Preston Education: </w:t>
            </w:r>
          </w:p>
          <w:p w:rsidR="006A14B0" w:rsidRDefault="008C623A" w:rsidP="005B317A">
            <w:pPr>
              <w:rPr>
                <w:rFonts w:ascii="Arial" w:hAnsi="Arial" w:cs="Arial"/>
                <w:sz w:val="24"/>
                <w:szCs w:val="24"/>
              </w:rPr>
            </w:pPr>
            <w:r w:rsidRPr="009D0138">
              <w:rPr>
                <w:rFonts w:ascii="Arial" w:hAnsi="Arial" w:cs="Arial"/>
                <w:sz w:val="24"/>
                <w:szCs w:val="24"/>
              </w:rPr>
              <w:t>1 primary school NWP (2 form entry)</w:t>
            </w:r>
          </w:p>
          <w:p w:rsidR="006A14B0" w:rsidRDefault="008C623A" w:rsidP="005B317A">
            <w:pPr>
              <w:rPr>
                <w:rFonts w:ascii="Arial" w:hAnsi="Arial" w:cs="Arial"/>
                <w:sz w:val="24"/>
                <w:szCs w:val="24"/>
              </w:rPr>
            </w:pPr>
            <w:r w:rsidRPr="009D0138">
              <w:rPr>
                <w:rFonts w:ascii="Arial" w:hAnsi="Arial" w:cs="Arial"/>
                <w:sz w:val="24"/>
                <w:szCs w:val="24"/>
              </w:rPr>
              <w:t xml:space="preserve">1 primary school (1.5 form entry) </w:t>
            </w:r>
          </w:p>
          <w:p w:rsidR="006A14B0" w:rsidRDefault="008C623A" w:rsidP="005B317A">
            <w:pPr>
              <w:rPr>
                <w:rFonts w:ascii="Arial" w:hAnsi="Arial" w:cs="Arial"/>
                <w:sz w:val="24"/>
                <w:szCs w:val="24"/>
              </w:rPr>
            </w:pPr>
            <w:r w:rsidRPr="009D0138">
              <w:rPr>
                <w:rFonts w:ascii="Arial" w:hAnsi="Arial" w:cs="Arial"/>
                <w:sz w:val="24"/>
                <w:szCs w:val="24"/>
              </w:rPr>
              <w:t>1 secondary school – NWP</w:t>
            </w:r>
          </w:p>
          <w:p w:rsidR="006A14B0" w:rsidRDefault="008C623A" w:rsidP="005B317A">
            <w:pPr>
              <w:rPr>
                <w:rFonts w:ascii="Arial" w:hAnsi="Arial" w:cs="Arial"/>
                <w:sz w:val="24"/>
                <w:szCs w:val="24"/>
              </w:rPr>
            </w:pPr>
            <w:r w:rsidRPr="009D0138">
              <w:rPr>
                <w:rFonts w:ascii="Arial" w:hAnsi="Arial" w:cs="Arial"/>
                <w:sz w:val="24"/>
                <w:szCs w:val="24"/>
              </w:rPr>
              <w:t>1 primary school Cottam Hall</w:t>
            </w:r>
          </w:p>
          <w:p w:rsidR="006A14B0" w:rsidRPr="009D0138" w:rsidRDefault="008C623A" w:rsidP="005B317A">
            <w:pPr>
              <w:rPr>
                <w:rFonts w:ascii="Arial" w:hAnsi="Arial" w:cs="Arial"/>
                <w:sz w:val="24"/>
                <w:szCs w:val="24"/>
              </w:rPr>
            </w:pPr>
            <w:r w:rsidRPr="009D0138">
              <w:rPr>
                <w:rFonts w:ascii="Arial" w:hAnsi="Arial" w:cs="Arial"/>
                <w:sz w:val="24"/>
                <w:szCs w:val="24"/>
              </w:rPr>
              <w:t>1 primary school (</w:t>
            </w:r>
            <w:proofErr w:type="spellStart"/>
            <w:r w:rsidRPr="009D0138">
              <w:rPr>
                <w:rFonts w:ascii="Arial" w:hAnsi="Arial" w:cs="Arial"/>
                <w:sz w:val="24"/>
                <w:szCs w:val="24"/>
              </w:rPr>
              <w:t>Whittingham</w:t>
            </w:r>
            <w:proofErr w:type="spellEnd"/>
            <w:r w:rsidRPr="009D0138">
              <w:rPr>
                <w:rFonts w:ascii="Arial" w:hAnsi="Arial" w:cs="Arial"/>
                <w:sz w:val="24"/>
                <w:szCs w:val="24"/>
              </w:rPr>
              <w:t xml:space="preserve"> Hospital)</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083" w:type="dxa"/>
            <w:shd w:val="clear" w:color="auto" w:fill="EEECE1" w:themeFill="background2"/>
            <w:vAlign w:val="center"/>
          </w:tcPr>
          <w:p w:rsidR="006A14B0" w:rsidRPr="009D0138"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179"/>
        </w:trPr>
        <w:tc>
          <w:tcPr>
            <w:tcW w:w="5098" w:type="dxa"/>
          </w:tcPr>
          <w:p w:rsidR="006A14B0" w:rsidRDefault="008C623A" w:rsidP="005B317A">
            <w:pPr>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sidRPr="009D0138">
              <w:rPr>
                <w:rFonts w:ascii="Arial" w:hAnsi="Arial" w:cs="Arial"/>
                <w:sz w:val="24"/>
                <w:szCs w:val="24"/>
              </w:rPr>
              <w:t xml:space="preserve"> Education: </w:t>
            </w:r>
          </w:p>
          <w:p w:rsidR="006A14B0" w:rsidRDefault="008C623A" w:rsidP="005B317A">
            <w:pPr>
              <w:rPr>
                <w:rFonts w:ascii="Arial" w:hAnsi="Arial" w:cs="Arial"/>
                <w:sz w:val="24"/>
                <w:szCs w:val="24"/>
              </w:rPr>
            </w:pPr>
            <w:r w:rsidRPr="009D0138">
              <w:rPr>
                <w:rFonts w:ascii="Arial" w:hAnsi="Arial" w:cs="Arial"/>
                <w:sz w:val="24"/>
                <w:szCs w:val="24"/>
              </w:rPr>
              <w:t>1 new  primary school at Moss Side Test Track</w:t>
            </w:r>
          </w:p>
          <w:p w:rsidR="006A14B0" w:rsidRPr="009D0138" w:rsidRDefault="008C623A" w:rsidP="005B317A">
            <w:pPr>
              <w:rPr>
                <w:rFonts w:ascii="Arial" w:hAnsi="Arial" w:cs="Arial"/>
                <w:sz w:val="24"/>
                <w:szCs w:val="24"/>
              </w:rPr>
            </w:pPr>
            <w:r w:rsidRPr="009D0138">
              <w:rPr>
                <w:rFonts w:ascii="Arial" w:hAnsi="Arial" w:cs="Arial"/>
                <w:sz w:val="24"/>
                <w:szCs w:val="24"/>
              </w:rPr>
              <w:t>1 new primary school at Pickering's Farm</w:t>
            </w:r>
          </w:p>
        </w:tc>
        <w:tc>
          <w:tcPr>
            <w:tcW w:w="2835" w:type="dxa"/>
            <w:shd w:val="clear" w:color="auto" w:fill="auto"/>
          </w:tcPr>
          <w:p w:rsidR="006A14B0" w:rsidRPr="009D0138" w:rsidRDefault="008C623A" w:rsidP="005B317A">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083" w:type="dxa"/>
            <w:shd w:val="clear" w:color="auto" w:fill="EEECE1" w:themeFill="background2"/>
            <w:vAlign w:val="center"/>
          </w:tcPr>
          <w:p w:rsidR="006A14B0" w:rsidRPr="009D0138"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179"/>
        </w:trPr>
        <w:tc>
          <w:tcPr>
            <w:tcW w:w="5098" w:type="dxa"/>
          </w:tcPr>
          <w:p w:rsidR="006A14B0" w:rsidRPr="0044337A" w:rsidRDefault="008C623A" w:rsidP="005B317A">
            <w:pPr>
              <w:rPr>
                <w:rFonts w:ascii="Arial" w:eastAsia="Times New Roman" w:hAnsi="Arial" w:cs="Arial"/>
                <w:sz w:val="24"/>
                <w:szCs w:val="24"/>
                <w:lang w:eastAsia="en-GB"/>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 xml:space="preserve"> </w:t>
            </w:r>
            <w:r w:rsidRPr="0044337A">
              <w:rPr>
                <w:rFonts w:ascii="Arial" w:hAnsi="Arial" w:cs="Arial"/>
                <w:sz w:val="24"/>
                <w:szCs w:val="24"/>
              </w:rPr>
              <w:t xml:space="preserve"> priority corridors and local centres:</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 xml:space="preserve">Hutton to Higher Penwortham Public Realm Improvements </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 xml:space="preserve">North of </w:t>
            </w:r>
            <w:proofErr w:type="spellStart"/>
            <w:r w:rsidRPr="0044337A">
              <w:rPr>
                <w:rFonts w:ascii="Arial" w:eastAsia="Times New Roman" w:hAnsi="Arial" w:cs="Arial"/>
                <w:sz w:val="24"/>
                <w:szCs w:val="24"/>
                <w:lang w:eastAsia="en-GB"/>
              </w:rPr>
              <w:t>Lostock</w:t>
            </w:r>
            <w:proofErr w:type="spellEnd"/>
            <w:r w:rsidRPr="0044337A">
              <w:rPr>
                <w:rFonts w:ascii="Arial" w:eastAsia="Times New Roman" w:hAnsi="Arial" w:cs="Arial"/>
                <w:sz w:val="24"/>
                <w:szCs w:val="24"/>
                <w:lang w:eastAsia="en-GB"/>
              </w:rPr>
              <w:t xml:space="preserve"> Lane </w:t>
            </w:r>
          </w:p>
          <w:p w:rsidR="006A14B0" w:rsidRPr="0044337A" w:rsidRDefault="008C623A" w:rsidP="005B317A">
            <w:pPr>
              <w:pStyle w:val="ListParagraph"/>
              <w:numPr>
                <w:ilvl w:val="0"/>
                <w:numId w:val="5"/>
              </w:numPr>
              <w:rPr>
                <w:rFonts w:ascii="Arial" w:hAnsi="Arial" w:cs="Arial"/>
                <w:sz w:val="24"/>
                <w:szCs w:val="24"/>
              </w:rPr>
            </w:pPr>
            <w:r w:rsidRPr="0044337A">
              <w:rPr>
                <w:rFonts w:ascii="Arial" w:eastAsia="Times New Roman" w:hAnsi="Arial" w:cs="Arial"/>
                <w:sz w:val="24"/>
                <w:szCs w:val="24"/>
                <w:lang w:eastAsia="en-GB"/>
              </w:rPr>
              <w:t xml:space="preserve">South of </w:t>
            </w:r>
            <w:proofErr w:type="spellStart"/>
            <w:r w:rsidRPr="0044337A">
              <w:rPr>
                <w:rFonts w:ascii="Arial" w:eastAsia="Times New Roman" w:hAnsi="Arial" w:cs="Arial"/>
                <w:sz w:val="24"/>
                <w:szCs w:val="24"/>
                <w:lang w:eastAsia="en-GB"/>
              </w:rPr>
              <w:t>Lostock</w:t>
            </w:r>
            <w:proofErr w:type="spellEnd"/>
            <w:r w:rsidRPr="0044337A">
              <w:rPr>
                <w:rFonts w:ascii="Arial" w:eastAsia="Times New Roman" w:hAnsi="Arial" w:cs="Arial"/>
                <w:sz w:val="24"/>
                <w:szCs w:val="24"/>
                <w:lang w:eastAsia="en-GB"/>
              </w:rPr>
              <w:t xml:space="preserve"> Lane</w:t>
            </w:r>
          </w:p>
          <w:p w:rsidR="006A14B0" w:rsidRDefault="00EA6895" w:rsidP="005B317A">
            <w:pPr>
              <w:rPr>
                <w:rFonts w:ascii="Arial" w:hAnsi="Arial" w:cs="Arial"/>
                <w:sz w:val="24"/>
                <w:szCs w:val="24"/>
              </w:rPr>
            </w:pPr>
          </w:p>
          <w:p w:rsidR="006A14B0" w:rsidRDefault="00EA6895" w:rsidP="005B317A">
            <w:pPr>
              <w:rPr>
                <w:rFonts w:ascii="Arial" w:hAnsi="Arial" w:cs="Arial"/>
                <w:sz w:val="24"/>
                <w:szCs w:val="24"/>
              </w:rPr>
            </w:pPr>
          </w:p>
        </w:tc>
        <w:tc>
          <w:tcPr>
            <w:tcW w:w="2835" w:type="dxa"/>
            <w:shd w:val="clear" w:color="auto" w:fill="auto"/>
          </w:tcPr>
          <w:p w:rsidR="006A14B0" w:rsidRPr="009D0138" w:rsidRDefault="008C623A" w:rsidP="005B317A">
            <w:pPr>
              <w:jc w:val="both"/>
              <w:rPr>
                <w:rFonts w:ascii="Arial" w:hAnsi="Arial" w:cs="Arial"/>
                <w:sz w:val="24"/>
                <w:szCs w:val="24"/>
              </w:rPr>
            </w:pPr>
            <w:r>
              <w:rPr>
                <w:rFonts w:ascii="Arial" w:hAnsi="Arial" w:cs="Arial"/>
                <w:sz w:val="24"/>
                <w:szCs w:val="24"/>
              </w:rPr>
              <w:t xml:space="preserve">Pre-planning </w:t>
            </w:r>
          </w:p>
        </w:tc>
        <w:tc>
          <w:tcPr>
            <w:tcW w:w="1083" w:type="dxa"/>
            <w:shd w:val="clear" w:color="auto" w:fill="EEECE1" w:themeFill="background2"/>
            <w:vAlign w:val="center"/>
          </w:tcPr>
          <w:p w:rsidR="006A14B0" w:rsidRDefault="008C623A" w:rsidP="005B317A">
            <w:pPr>
              <w:jc w:val="both"/>
              <w:rPr>
                <w:rFonts w:ascii="Arial" w:hAnsi="Arial" w:cs="Arial"/>
                <w:sz w:val="24"/>
                <w:szCs w:val="24"/>
              </w:rPr>
            </w:pPr>
            <w:r>
              <w:rPr>
                <w:rFonts w:ascii="Arial" w:hAnsi="Arial" w:cs="Arial"/>
                <w:sz w:val="24"/>
                <w:szCs w:val="24"/>
              </w:rPr>
              <w:t>n/a</w:t>
            </w:r>
          </w:p>
        </w:tc>
      </w:tr>
      <w:tr w:rsidR="00EF3BCB" w:rsidTr="005B317A">
        <w:trPr>
          <w:trHeight w:val="179"/>
        </w:trPr>
        <w:tc>
          <w:tcPr>
            <w:tcW w:w="5098" w:type="dxa"/>
          </w:tcPr>
          <w:p w:rsidR="006A14B0" w:rsidRPr="0044337A" w:rsidRDefault="008C623A" w:rsidP="005B317A">
            <w:pPr>
              <w:rPr>
                <w:rFonts w:ascii="Arial" w:eastAsia="Times New Roman" w:hAnsi="Arial" w:cs="Arial"/>
                <w:sz w:val="24"/>
                <w:szCs w:val="24"/>
                <w:lang w:eastAsia="en-GB"/>
              </w:rPr>
            </w:pPr>
            <w:r>
              <w:rPr>
                <w:rFonts w:ascii="Arial" w:hAnsi="Arial" w:cs="Arial"/>
                <w:sz w:val="24"/>
                <w:szCs w:val="24"/>
              </w:rPr>
              <w:t>Preston</w:t>
            </w:r>
            <w:r w:rsidRPr="0044337A">
              <w:rPr>
                <w:rFonts w:ascii="Arial" w:hAnsi="Arial" w:cs="Arial"/>
                <w:sz w:val="24"/>
                <w:szCs w:val="24"/>
              </w:rPr>
              <w:t xml:space="preserve"> priority corridors and local centres:</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Broughton/</w:t>
            </w:r>
            <w:proofErr w:type="spellStart"/>
            <w:r w:rsidRPr="0044337A">
              <w:rPr>
                <w:rFonts w:ascii="Arial" w:eastAsia="Times New Roman" w:hAnsi="Arial" w:cs="Arial"/>
                <w:sz w:val="24"/>
                <w:szCs w:val="24"/>
                <w:lang w:eastAsia="en-GB"/>
              </w:rPr>
              <w:t>Fulwood</w:t>
            </w:r>
            <w:proofErr w:type="spellEnd"/>
            <w:r w:rsidRPr="0044337A">
              <w:rPr>
                <w:rFonts w:ascii="Arial" w:eastAsia="Times New Roman" w:hAnsi="Arial" w:cs="Arial"/>
                <w:sz w:val="24"/>
                <w:szCs w:val="24"/>
                <w:lang w:eastAsia="en-GB"/>
              </w:rPr>
              <w:t xml:space="preserve"> (South of M55)</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NW Preston/Cottam/</w:t>
            </w:r>
            <w:proofErr w:type="spellStart"/>
            <w:r w:rsidRPr="0044337A">
              <w:rPr>
                <w:rFonts w:ascii="Arial" w:eastAsia="Times New Roman" w:hAnsi="Arial" w:cs="Arial"/>
                <w:sz w:val="24"/>
                <w:szCs w:val="24"/>
                <w:lang w:eastAsia="en-GB"/>
              </w:rPr>
              <w:t>Ingol</w:t>
            </w:r>
            <w:proofErr w:type="spellEnd"/>
            <w:r w:rsidRPr="0044337A">
              <w:rPr>
                <w:rFonts w:ascii="Arial" w:eastAsia="Times New Roman" w:hAnsi="Arial" w:cs="Arial"/>
                <w:sz w:val="24"/>
                <w:szCs w:val="24"/>
                <w:lang w:eastAsia="en-GB"/>
              </w:rPr>
              <w:t xml:space="preserve">/City Centre </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Warton to PWD – Corridor</w:t>
            </w:r>
          </w:p>
          <w:p w:rsidR="006A14B0" w:rsidRPr="0044337A" w:rsidRDefault="008C623A" w:rsidP="005B317A">
            <w:pPr>
              <w:pStyle w:val="ListParagraph"/>
              <w:numPr>
                <w:ilvl w:val="0"/>
                <w:numId w:val="5"/>
              </w:numPr>
              <w:rPr>
                <w:rFonts w:ascii="Arial" w:eastAsia="Times New Roman" w:hAnsi="Arial" w:cs="Arial"/>
                <w:sz w:val="24"/>
                <w:szCs w:val="24"/>
                <w:lang w:eastAsia="en-GB"/>
              </w:rPr>
            </w:pPr>
            <w:r w:rsidRPr="0044337A">
              <w:rPr>
                <w:rFonts w:ascii="Arial" w:eastAsia="Times New Roman" w:hAnsi="Arial" w:cs="Arial"/>
                <w:sz w:val="24"/>
                <w:szCs w:val="24"/>
                <w:lang w:eastAsia="en-GB"/>
              </w:rPr>
              <w:t>Longridge/</w:t>
            </w:r>
            <w:proofErr w:type="spellStart"/>
            <w:r w:rsidRPr="0044337A">
              <w:rPr>
                <w:rFonts w:ascii="Arial" w:eastAsia="Times New Roman" w:hAnsi="Arial" w:cs="Arial"/>
                <w:sz w:val="24"/>
                <w:szCs w:val="24"/>
                <w:lang w:eastAsia="en-GB"/>
              </w:rPr>
              <w:t>Grimsargh</w:t>
            </w:r>
            <w:proofErr w:type="spellEnd"/>
            <w:r w:rsidRPr="0044337A">
              <w:rPr>
                <w:rFonts w:ascii="Arial" w:eastAsia="Times New Roman" w:hAnsi="Arial" w:cs="Arial"/>
                <w:sz w:val="24"/>
                <w:szCs w:val="24"/>
                <w:lang w:eastAsia="en-GB"/>
              </w:rPr>
              <w:t>/</w:t>
            </w:r>
            <w:proofErr w:type="spellStart"/>
            <w:r w:rsidRPr="0044337A">
              <w:rPr>
                <w:rFonts w:ascii="Arial" w:eastAsia="Times New Roman" w:hAnsi="Arial" w:cs="Arial"/>
                <w:sz w:val="24"/>
                <w:szCs w:val="24"/>
                <w:lang w:eastAsia="en-GB"/>
              </w:rPr>
              <w:t>Ribbleton</w:t>
            </w:r>
            <w:proofErr w:type="spellEnd"/>
            <w:r w:rsidRPr="0044337A">
              <w:rPr>
                <w:rFonts w:ascii="Arial" w:eastAsia="Times New Roman" w:hAnsi="Arial" w:cs="Arial"/>
                <w:sz w:val="24"/>
                <w:szCs w:val="24"/>
                <w:lang w:eastAsia="en-GB"/>
              </w:rPr>
              <w:t xml:space="preserve">/City Centre </w:t>
            </w:r>
          </w:p>
          <w:p w:rsidR="006A14B0" w:rsidRPr="0044337A" w:rsidRDefault="008C623A" w:rsidP="005B317A">
            <w:pPr>
              <w:pStyle w:val="ListParagraph"/>
              <w:numPr>
                <w:ilvl w:val="0"/>
                <w:numId w:val="5"/>
              </w:numPr>
              <w:rPr>
                <w:rFonts w:ascii="Arial" w:hAnsi="Arial" w:cs="Arial"/>
                <w:sz w:val="24"/>
                <w:szCs w:val="24"/>
              </w:rPr>
            </w:pPr>
            <w:r w:rsidRPr="0044337A">
              <w:rPr>
                <w:rFonts w:ascii="Arial" w:eastAsia="Times New Roman" w:hAnsi="Arial" w:cs="Arial"/>
                <w:sz w:val="24"/>
                <w:szCs w:val="24"/>
                <w:lang w:eastAsia="en-GB"/>
              </w:rPr>
              <w:t xml:space="preserve">PWD to </w:t>
            </w:r>
            <w:proofErr w:type="spellStart"/>
            <w:r w:rsidRPr="0044337A">
              <w:rPr>
                <w:rFonts w:ascii="Arial" w:eastAsia="Times New Roman" w:hAnsi="Arial" w:cs="Arial"/>
                <w:sz w:val="24"/>
                <w:szCs w:val="24"/>
                <w:lang w:eastAsia="en-GB"/>
              </w:rPr>
              <w:t>Samlesbury</w:t>
            </w:r>
            <w:proofErr w:type="spellEnd"/>
            <w:r w:rsidRPr="0044337A">
              <w:rPr>
                <w:rFonts w:ascii="Arial" w:eastAsia="Times New Roman" w:hAnsi="Arial" w:cs="Arial"/>
                <w:sz w:val="24"/>
                <w:szCs w:val="24"/>
                <w:lang w:eastAsia="en-GB"/>
              </w:rPr>
              <w:t xml:space="preserve"> - Corridor </w:t>
            </w:r>
          </w:p>
        </w:tc>
        <w:tc>
          <w:tcPr>
            <w:tcW w:w="2835" w:type="dxa"/>
            <w:shd w:val="clear" w:color="auto" w:fill="auto"/>
          </w:tcPr>
          <w:p w:rsidR="006A14B0" w:rsidRDefault="008C623A" w:rsidP="005B317A">
            <w:pPr>
              <w:jc w:val="both"/>
              <w:rPr>
                <w:rFonts w:ascii="Arial" w:hAnsi="Arial" w:cs="Arial"/>
                <w:sz w:val="24"/>
                <w:szCs w:val="24"/>
              </w:rPr>
            </w:pPr>
            <w:r>
              <w:rPr>
                <w:rFonts w:ascii="Arial" w:hAnsi="Arial" w:cs="Arial"/>
                <w:sz w:val="24"/>
                <w:szCs w:val="24"/>
              </w:rPr>
              <w:t xml:space="preserve">Pre-planning </w:t>
            </w:r>
          </w:p>
        </w:tc>
        <w:tc>
          <w:tcPr>
            <w:tcW w:w="1083" w:type="dxa"/>
            <w:shd w:val="clear" w:color="auto" w:fill="EEECE1" w:themeFill="background2"/>
            <w:vAlign w:val="center"/>
          </w:tcPr>
          <w:p w:rsidR="006A14B0" w:rsidRDefault="008C623A" w:rsidP="005B317A">
            <w:pPr>
              <w:jc w:val="both"/>
              <w:rPr>
                <w:rFonts w:ascii="Arial" w:hAnsi="Arial" w:cs="Arial"/>
                <w:sz w:val="24"/>
                <w:szCs w:val="24"/>
              </w:rPr>
            </w:pPr>
            <w:r>
              <w:rPr>
                <w:rFonts w:ascii="Arial" w:hAnsi="Arial" w:cs="Arial"/>
                <w:sz w:val="24"/>
                <w:szCs w:val="24"/>
              </w:rPr>
              <w:t>n/a</w:t>
            </w:r>
          </w:p>
        </w:tc>
      </w:tr>
    </w:tbl>
    <w:p w:rsidR="006A14B0" w:rsidRDefault="00EA6895" w:rsidP="006A14B0">
      <w:pPr>
        <w:pStyle w:val="NoSpacing"/>
        <w:jc w:val="both"/>
        <w:rPr>
          <w:rFonts w:cs="Arial"/>
          <w:szCs w:val="24"/>
        </w:rPr>
      </w:pPr>
    </w:p>
    <w:p w:rsidR="008C623A" w:rsidRDefault="008C623A" w:rsidP="006A14B0">
      <w:pPr>
        <w:pStyle w:val="NoSpacing"/>
        <w:jc w:val="both"/>
        <w:rPr>
          <w:rFonts w:cs="Arial"/>
          <w:szCs w:val="24"/>
        </w:rPr>
      </w:pPr>
    </w:p>
    <w:p w:rsidR="008C623A" w:rsidRDefault="008C623A" w:rsidP="006A14B0">
      <w:pPr>
        <w:pStyle w:val="NoSpacing"/>
        <w:jc w:val="both"/>
        <w:rPr>
          <w:rFonts w:cs="Arial"/>
          <w:szCs w:val="24"/>
        </w:rPr>
      </w:pPr>
    </w:p>
    <w:p w:rsidR="008C623A" w:rsidRDefault="008C623A" w:rsidP="006A14B0">
      <w:pPr>
        <w:pStyle w:val="NoSpacing"/>
        <w:jc w:val="both"/>
        <w:rPr>
          <w:rFonts w:cs="Arial"/>
          <w:szCs w:val="24"/>
        </w:rPr>
      </w:pPr>
    </w:p>
    <w:p w:rsidR="008C623A" w:rsidRDefault="008C623A" w:rsidP="006A14B0">
      <w:pPr>
        <w:pStyle w:val="NoSpacing"/>
        <w:jc w:val="both"/>
        <w:rPr>
          <w:rFonts w:cs="Arial"/>
          <w:szCs w:val="24"/>
        </w:rPr>
      </w:pPr>
    </w:p>
    <w:p w:rsidR="008C623A" w:rsidRDefault="008C623A" w:rsidP="006A14B0">
      <w:pPr>
        <w:pStyle w:val="NoSpacing"/>
        <w:jc w:val="both"/>
        <w:rPr>
          <w:rFonts w:cs="Arial"/>
          <w:szCs w:val="24"/>
        </w:rPr>
      </w:pPr>
    </w:p>
    <w:p w:rsidR="006A14B0" w:rsidRPr="0022408A" w:rsidRDefault="008C623A" w:rsidP="006A14B0">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lastRenderedPageBreak/>
        <w:t>List of Background Papers</w:t>
      </w:r>
    </w:p>
    <w:p w:rsidR="006A14B0" w:rsidRPr="0022408A" w:rsidRDefault="00EA6895" w:rsidP="006A14B0">
      <w:pPr>
        <w:spacing w:after="5" w:line="249" w:lineRule="auto"/>
        <w:ind w:left="542" w:hanging="542"/>
        <w:rPr>
          <w:rFonts w:ascii="Arial" w:eastAsia="Calibri" w:hAnsi="Arial" w:cs="Arial"/>
          <w:color w:val="000000"/>
          <w:sz w:val="24"/>
          <w:szCs w:val="24"/>
          <w:lang w:eastAsia="en-GB"/>
        </w:rPr>
      </w:pPr>
    </w:p>
    <w:tbl>
      <w:tblPr>
        <w:tblW w:w="9180" w:type="dxa"/>
        <w:tblLayout w:type="fixed"/>
        <w:tblLook w:val="0000" w:firstRow="0" w:lastRow="0" w:firstColumn="0" w:lastColumn="0" w:noHBand="0" w:noVBand="0"/>
      </w:tblPr>
      <w:tblGrid>
        <w:gridCol w:w="3510"/>
        <w:gridCol w:w="2492"/>
        <w:gridCol w:w="3178"/>
      </w:tblGrid>
      <w:tr w:rsidR="00EF3BCB" w:rsidTr="00B95A17">
        <w:tc>
          <w:tcPr>
            <w:tcW w:w="3510" w:type="dxa"/>
          </w:tcPr>
          <w:p w:rsidR="006A14B0" w:rsidRPr="0022408A" w:rsidRDefault="008C623A" w:rsidP="005B317A">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6A14B0" w:rsidRPr="0022408A" w:rsidRDefault="008C623A" w:rsidP="005B317A">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6A14B0" w:rsidRPr="0022408A" w:rsidRDefault="008C623A" w:rsidP="005B317A">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EF3BCB" w:rsidTr="00B95A17">
        <w:tc>
          <w:tcPr>
            <w:tcW w:w="3510" w:type="dxa"/>
          </w:tcPr>
          <w:p w:rsidR="006A14B0" w:rsidRPr="0022408A" w:rsidRDefault="00EA6895" w:rsidP="005B317A">
            <w:pPr>
              <w:spacing w:after="5" w:line="249" w:lineRule="auto"/>
              <w:ind w:left="542" w:hanging="542"/>
              <w:rPr>
                <w:rFonts w:ascii="Arial" w:eastAsia="Calibri" w:hAnsi="Arial" w:cs="Arial"/>
                <w:sz w:val="24"/>
                <w:szCs w:val="24"/>
                <w:lang w:eastAsia="en-GB"/>
              </w:rPr>
            </w:pPr>
          </w:p>
          <w:p w:rsidR="006A14B0" w:rsidRPr="0022408A" w:rsidRDefault="008C623A" w:rsidP="005B317A">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6A14B0" w:rsidRPr="0022408A" w:rsidRDefault="00EA6895" w:rsidP="005B317A">
            <w:pPr>
              <w:spacing w:after="5" w:line="249" w:lineRule="auto"/>
              <w:ind w:left="542" w:hanging="542"/>
              <w:rPr>
                <w:rFonts w:ascii="Arial" w:eastAsia="Calibri" w:hAnsi="Arial" w:cs="Arial"/>
                <w:sz w:val="24"/>
                <w:szCs w:val="24"/>
                <w:lang w:eastAsia="en-GB"/>
              </w:rPr>
            </w:pPr>
          </w:p>
        </w:tc>
        <w:tc>
          <w:tcPr>
            <w:tcW w:w="2492" w:type="dxa"/>
          </w:tcPr>
          <w:p w:rsidR="006A14B0" w:rsidRPr="0022408A" w:rsidRDefault="00EA6895" w:rsidP="005B317A">
            <w:pPr>
              <w:spacing w:after="5" w:line="249" w:lineRule="auto"/>
              <w:ind w:left="542" w:hanging="542"/>
              <w:rPr>
                <w:rFonts w:ascii="Arial" w:eastAsia="Calibri" w:hAnsi="Arial" w:cs="Arial"/>
                <w:sz w:val="24"/>
                <w:szCs w:val="24"/>
                <w:lang w:eastAsia="en-GB"/>
              </w:rPr>
            </w:pPr>
          </w:p>
        </w:tc>
        <w:tc>
          <w:tcPr>
            <w:tcW w:w="3178" w:type="dxa"/>
          </w:tcPr>
          <w:p w:rsidR="006A14B0" w:rsidRPr="0022408A" w:rsidRDefault="00EA6895" w:rsidP="005B317A">
            <w:pPr>
              <w:spacing w:after="5" w:line="249" w:lineRule="auto"/>
              <w:ind w:left="542" w:hanging="542"/>
              <w:rPr>
                <w:rFonts w:ascii="Arial" w:eastAsia="Calibri" w:hAnsi="Arial" w:cs="Arial"/>
                <w:sz w:val="24"/>
                <w:szCs w:val="24"/>
                <w:lang w:eastAsia="en-GB"/>
              </w:rPr>
            </w:pPr>
          </w:p>
        </w:tc>
      </w:tr>
      <w:tr w:rsidR="009B377C" w:rsidTr="00224676">
        <w:tc>
          <w:tcPr>
            <w:tcW w:w="9180" w:type="dxa"/>
            <w:gridSpan w:val="3"/>
          </w:tcPr>
          <w:p w:rsidR="009B377C" w:rsidRDefault="009B377C" w:rsidP="005B317A">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Reason for inclusion in Part II, if appropriate</w:t>
            </w:r>
          </w:p>
          <w:p w:rsidR="009B377C" w:rsidRDefault="009B377C" w:rsidP="005B317A">
            <w:pPr>
              <w:spacing w:after="5" w:line="249" w:lineRule="auto"/>
              <w:ind w:left="542" w:hanging="542"/>
              <w:rPr>
                <w:rFonts w:ascii="Arial" w:eastAsia="Calibri" w:hAnsi="Arial" w:cs="Arial"/>
                <w:sz w:val="24"/>
                <w:szCs w:val="24"/>
                <w:lang w:eastAsia="en-GB"/>
              </w:rPr>
            </w:pPr>
          </w:p>
          <w:p w:rsidR="009B377C" w:rsidRPr="0022408A" w:rsidRDefault="009B377C" w:rsidP="005B317A">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tc>
      </w:tr>
    </w:tbl>
    <w:p w:rsidR="00EB4643" w:rsidRPr="009D435E" w:rsidRDefault="00EA6895"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0A" w:rsidRDefault="008C623A">
      <w:pPr>
        <w:spacing w:after="0" w:line="240" w:lineRule="auto"/>
      </w:pPr>
      <w:r>
        <w:separator/>
      </w:r>
    </w:p>
  </w:endnote>
  <w:endnote w:type="continuationSeparator" w:id="0">
    <w:p w:rsidR="00D40E0A" w:rsidRDefault="008C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EA6895" w:rsidP="00440F6A">
    <w:pPr>
      <w:pStyle w:val="Footer"/>
    </w:pPr>
    <w:bookmarkStart w:id="1" w:name="aliashAdvancedFooterprot1FooterEvenPages"/>
  </w:p>
  <w:bookmarkEnd w:id="1"/>
  <w:p w:rsidR="006A1583" w:rsidRDefault="00EA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EA6895" w:rsidP="00440F6A">
    <w:pPr>
      <w:pStyle w:val="Footer"/>
    </w:pPr>
    <w:bookmarkStart w:id="2" w:name="aliashAdvancedFooterprotec1FooterPrimary"/>
  </w:p>
  <w:bookmarkEnd w:id="2"/>
  <w:p w:rsidR="006A1583" w:rsidRDefault="00EA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EA6895" w:rsidP="00440F6A">
    <w:pPr>
      <w:pStyle w:val="Footer"/>
    </w:pPr>
    <w:bookmarkStart w:id="3" w:name="aliashAdvancedFooterprot1FooterFirstPage"/>
  </w:p>
  <w:bookmarkEnd w:id="3"/>
  <w:p w:rsidR="006A1583" w:rsidRDefault="00EA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0A" w:rsidRDefault="008C623A">
      <w:pPr>
        <w:spacing w:after="0" w:line="240" w:lineRule="auto"/>
      </w:pPr>
      <w:r>
        <w:separator/>
      </w:r>
    </w:p>
  </w:footnote>
  <w:footnote w:type="continuationSeparator" w:id="0">
    <w:p w:rsidR="00D40E0A" w:rsidRDefault="008C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8C623A"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37062"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B64"/>
    <w:multiLevelType w:val="hybridMultilevel"/>
    <w:tmpl w:val="C31CC5EA"/>
    <w:lvl w:ilvl="0" w:tplc="0372AE26">
      <w:start w:val="1"/>
      <w:numFmt w:val="bullet"/>
      <w:lvlText w:val=""/>
      <w:lvlJc w:val="left"/>
      <w:pPr>
        <w:ind w:left="720" w:hanging="360"/>
      </w:pPr>
      <w:rPr>
        <w:rFonts w:ascii="Symbol" w:hAnsi="Symbol" w:hint="default"/>
      </w:rPr>
    </w:lvl>
    <w:lvl w:ilvl="1" w:tplc="80E8B5D8" w:tentative="1">
      <w:start w:val="1"/>
      <w:numFmt w:val="bullet"/>
      <w:lvlText w:val="o"/>
      <w:lvlJc w:val="left"/>
      <w:pPr>
        <w:ind w:left="1440" w:hanging="360"/>
      </w:pPr>
      <w:rPr>
        <w:rFonts w:ascii="Courier New" w:hAnsi="Courier New" w:cs="Courier New" w:hint="default"/>
      </w:rPr>
    </w:lvl>
    <w:lvl w:ilvl="2" w:tplc="9CB6A1F8" w:tentative="1">
      <w:start w:val="1"/>
      <w:numFmt w:val="bullet"/>
      <w:lvlText w:val=""/>
      <w:lvlJc w:val="left"/>
      <w:pPr>
        <w:ind w:left="2160" w:hanging="360"/>
      </w:pPr>
      <w:rPr>
        <w:rFonts w:ascii="Wingdings" w:hAnsi="Wingdings" w:hint="default"/>
      </w:rPr>
    </w:lvl>
    <w:lvl w:ilvl="3" w:tplc="3A12200C" w:tentative="1">
      <w:start w:val="1"/>
      <w:numFmt w:val="bullet"/>
      <w:lvlText w:val=""/>
      <w:lvlJc w:val="left"/>
      <w:pPr>
        <w:ind w:left="2880" w:hanging="360"/>
      </w:pPr>
      <w:rPr>
        <w:rFonts w:ascii="Symbol" w:hAnsi="Symbol" w:hint="default"/>
      </w:rPr>
    </w:lvl>
    <w:lvl w:ilvl="4" w:tplc="AD202240" w:tentative="1">
      <w:start w:val="1"/>
      <w:numFmt w:val="bullet"/>
      <w:lvlText w:val="o"/>
      <w:lvlJc w:val="left"/>
      <w:pPr>
        <w:ind w:left="3600" w:hanging="360"/>
      </w:pPr>
      <w:rPr>
        <w:rFonts w:ascii="Courier New" w:hAnsi="Courier New" w:cs="Courier New" w:hint="default"/>
      </w:rPr>
    </w:lvl>
    <w:lvl w:ilvl="5" w:tplc="6270F2A8" w:tentative="1">
      <w:start w:val="1"/>
      <w:numFmt w:val="bullet"/>
      <w:lvlText w:val=""/>
      <w:lvlJc w:val="left"/>
      <w:pPr>
        <w:ind w:left="4320" w:hanging="360"/>
      </w:pPr>
      <w:rPr>
        <w:rFonts w:ascii="Wingdings" w:hAnsi="Wingdings" w:hint="default"/>
      </w:rPr>
    </w:lvl>
    <w:lvl w:ilvl="6" w:tplc="B7A83B86" w:tentative="1">
      <w:start w:val="1"/>
      <w:numFmt w:val="bullet"/>
      <w:lvlText w:val=""/>
      <w:lvlJc w:val="left"/>
      <w:pPr>
        <w:ind w:left="5040" w:hanging="360"/>
      </w:pPr>
      <w:rPr>
        <w:rFonts w:ascii="Symbol" w:hAnsi="Symbol" w:hint="default"/>
      </w:rPr>
    </w:lvl>
    <w:lvl w:ilvl="7" w:tplc="F862699A" w:tentative="1">
      <w:start w:val="1"/>
      <w:numFmt w:val="bullet"/>
      <w:lvlText w:val="o"/>
      <w:lvlJc w:val="left"/>
      <w:pPr>
        <w:ind w:left="5760" w:hanging="360"/>
      </w:pPr>
      <w:rPr>
        <w:rFonts w:ascii="Courier New" w:hAnsi="Courier New" w:cs="Courier New" w:hint="default"/>
      </w:rPr>
    </w:lvl>
    <w:lvl w:ilvl="8" w:tplc="C80AC85A"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D12AF706">
      <w:start w:val="1"/>
      <w:numFmt w:val="bullet"/>
      <w:lvlText w:val=""/>
      <w:lvlJc w:val="left"/>
      <w:pPr>
        <w:ind w:left="720" w:hanging="360"/>
      </w:pPr>
      <w:rPr>
        <w:rFonts w:ascii="Symbol" w:hAnsi="Symbol" w:hint="default"/>
      </w:rPr>
    </w:lvl>
    <w:lvl w:ilvl="1" w:tplc="6BC252AC" w:tentative="1">
      <w:start w:val="1"/>
      <w:numFmt w:val="bullet"/>
      <w:lvlText w:val="o"/>
      <w:lvlJc w:val="left"/>
      <w:pPr>
        <w:ind w:left="1440" w:hanging="360"/>
      </w:pPr>
      <w:rPr>
        <w:rFonts w:ascii="Courier New" w:hAnsi="Courier New" w:cs="Courier New" w:hint="default"/>
      </w:rPr>
    </w:lvl>
    <w:lvl w:ilvl="2" w:tplc="E1A4DFF8" w:tentative="1">
      <w:start w:val="1"/>
      <w:numFmt w:val="bullet"/>
      <w:lvlText w:val=""/>
      <w:lvlJc w:val="left"/>
      <w:pPr>
        <w:ind w:left="2160" w:hanging="360"/>
      </w:pPr>
      <w:rPr>
        <w:rFonts w:ascii="Wingdings" w:hAnsi="Wingdings" w:hint="default"/>
      </w:rPr>
    </w:lvl>
    <w:lvl w:ilvl="3" w:tplc="F1AE49F4" w:tentative="1">
      <w:start w:val="1"/>
      <w:numFmt w:val="bullet"/>
      <w:lvlText w:val=""/>
      <w:lvlJc w:val="left"/>
      <w:pPr>
        <w:ind w:left="2880" w:hanging="360"/>
      </w:pPr>
      <w:rPr>
        <w:rFonts w:ascii="Symbol" w:hAnsi="Symbol" w:hint="default"/>
      </w:rPr>
    </w:lvl>
    <w:lvl w:ilvl="4" w:tplc="6376FA68" w:tentative="1">
      <w:start w:val="1"/>
      <w:numFmt w:val="bullet"/>
      <w:lvlText w:val="o"/>
      <w:lvlJc w:val="left"/>
      <w:pPr>
        <w:ind w:left="3600" w:hanging="360"/>
      </w:pPr>
      <w:rPr>
        <w:rFonts w:ascii="Courier New" w:hAnsi="Courier New" w:cs="Courier New" w:hint="default"/>
      </w:rPr>
    </w:lvl>
    <w:lvl w:ilvl="5" w:tplc="2874518E" w:tentative="1">
      <w:start w:val="1"/>
      <w:numFmt w:val="bullet"/>
      <w:lvlText w:val=""/>
      <w:lvlJc w:val="left"/>
      <w:pPr>
        <w:ind w:left="4320" w:hanging="360"/>
      </w:pPr>
      <w:rPr>
        <w:rFonts w:ascii="Wingdings" w:hAnsi="Wingdings" w:hint="default"/>
      </w:rPr>
    </w:lvl>
    <w:lvl w:ilvl="6" w:tplc="4C7CC1B2" w:tentative="1">
      <w:start w:val="1"/>
      <w:numFmt w:val="bullet"/>
      <w:lvlText w:val=""/>
      <w:lvlJc w:val="left"/>
      <w:pPr>
        <w:ind w:left="5040" w:hanging="360"/>
      </w:pPr>
      <w:rPr>
        <w:rFonts w:ascii="Symbol" w:hAnsi="Symbol" w:hint="default"/>
      </w:rPr>
    </w:lvl>
    <w:lvl w:ilvl="7" w:tplc="6E5AE930" w:tentative="1">
      <w:start w:val="1"/>
      <w:numFmt w:val="bullet"/>
      <w:lvlText w:val="o"/>
      <w:lvlJc w:val="left"/>
      <w:pPr>
        <w:ind w:left="5760" w:hanging="360"/>
      </w:pPr>
      <w:rPr>
        <w:rFonts w:ascii="Courier New" w:hAnsi="Courier New" w:cs="Courier New" w:hint="default"/>
      </w:rPr>
    </w:lvl>
    <w:lvl w:ilvl="8" w:tplc="723ABE40"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6896E2C8">
      <w:start w:val="1"/>
      <w:numFmt w:val="bullet"/>
      <w:lvlText w:val=""/>
      <w:lvlJc w:val="left"/>
      <w:pPr>
        <w:ind w:left="720" w:hanging="360"/>
      </w:pPr>
      <w:rPr>
        <w:rFonts w:ascii="Symbol" w:hAnsi="Symbol" w:hint="default"/>
      </w:rPr>
    </w:lvl>
    <w:lvl w:ilvl="1" w:tplc="C242EC64" w:tentative="1">
      <w:start w:val="1"/>
      <w:numFmt w:val="bullet"/>
      <w:lvlText w:val="o"/>
      <w:lvlJc w:val="left"/>
      <w:pPr>
        <w:ind w:left="1440" w:hanging="360"/>
      </w:pPr>
      <w:rPr>
        <w:rFonts w:ascii="Courier New" w:hAnsi="Courier New" w:cs="Courier New" w:hint="default"/>
      </w:rPr>
    </w:lvl>
    <w:lvl w:ilvl="2" w:tplc="67128D04" w:tentative="1">
      <w:start w:val="1"/>
      <w:numFmt w:val="bullet"/>
      <w:lvlText w:val=""/>
      <w:lvlJc w:val="left"/>
      <w:pPr>
        <w:ind w:left="2160" w:hanging="360"/>
      </w:pPr>
      <w:rPr>
        <w:rFonts w:ascii="Wingdings" w:hAnsi="Wingdings" w:hint="default"/>
      </w:rPr>
    </w:lvl>
    <w:lvl w:ilvl="3" w:tplc="38BCF940" w:tentative="1">
      <w:start w:val="1"/>
      <w:numFmt w:val="bullet"/>
      <w:lvlText w:val=""/>
      <w:lvlJc w:val="left"/>
      <w:pPr>
        <w:ind w:left="2880" w:hanging="360"/>
      </w:pPr>
      <w:rPr>
        <w:rFonts w:ascii="Symbol" w:hAnsi="Symbol" w:hint="default"/>
      </w:rPr>
    </w:lvl>
    <w:lvl w:ilvl="4" w:tplc="BDEC85C4" w:tentative="1">
      <w:start w:val="1"/>
      <w:numFmt w:val="bullet"/>
      <w:lvlText w:val="o"/>
      <w:lvlJc w:val="left"/>
      <w:pPr>
        <w:ind w:left="3600" w:hanging="360"/>
      </w:pPr>
      <w:rPr>
        <w:rFonts w:ascii="Courier New" w:hAnsi="Courier New" w:cs="Courier New" w:hint="default"/>
      </w:rPr>
    </w:lvl>
    <w:lvl w:ilvl="5" w:tplc="4872AC30" w:tentative="1">
      <w:start w:val="1"/>
      <w:numFmt w:val="bullet"/>
      <w:lvlText w:val=""/>
      <w:lvlJc w:val="left"/>
      <w:pPr>
        <w:ind w:left="4320" w:hanging="360"/>
      </w:pPr>
      <w:rPr>
        <w:rFonts w:ascii="Wingdings" w:hAnsi="Wingdings" w:hint="default"/>
      </w:rPr>
    </w:lvl>
    <w:lvl w:ilvl="6" w:tplc="575CDE98" w:tentative="1">
      <w:start w:val="1"/>
      <w:numFmt w:val="bullet"/>
      <w:lvlText w:val=""/>
      <w:lvlJc w:val="left"/>
      <w:pPr>
        <w:ind w:left="5040" w:hanging="360"/>
      </w:pPr>
      <w:rPr>
        <w:rFonts w:ascii="Symbol" w:hAnsi="Symbol" w:hint="default"/>
      </w:rPr>
    </w:lvl>
    <w:lvl w:ilvl="7" w:tplc="F5DC87EC" w:tentative="1">
      <w:start w:val="1"/>
      <w:numFmt w:val="bullet"/>
      <w:lvlText w:val="o"/>
      <w:lvlJc w:val="left"/>
      <w:pPr>
        <w:ind w:left="5760" w:hanging="360"/>
      </w:pPr>
      <w:rPr>
        <w:rFonts w:ascii="Courier New" w:hAnsi="Courier New" w:cs="Courier New" w:hint="default"/>
      </w:rPr>
    </w:lvl>
    <w:lvl w:ilvl="8" w:tplc="F312855E" w:tentative="1">
      <w:start w:val="1"/>
      <w:numFmt w:val="bullet"/>
      <w:lvlText w:val=""/>
      <w:lvlJc w:val="left"/>
      <w:pPr>
        <w:ind w:left="6480" w:hanging="360"/>
      </w:pPr>
      <w:rPr>
        <w:rFonts w:ascii="Wingdings" w:hAnsi="Wingdings" w:hint="default"/>
      </w:rPr>
    </w:lvl>
  </w:abstractNum>
  <w:abstractNum w:abstractNumId="3" w15:restartNumberingAfterBreak="0">
    <w:nsid w:val="1E8A4051"/>
    <w:multiLevelType w:val="multilevel"/>
    <w:tmpl w:val="C8B43602"/>
    <w:lvl w:ilvl="0">
      <w:start w:val="1"/>
      <w:numFmt w:val="decimal"/>
      <w:lvlText w:val="%1."/>
      <w:lvlJc w:val="left"/>
      <w:pPr>
        <w:ind w:left="1080" w:hanging="72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8217E4"/>
    <w:multiLevelType w:val="hybridMultilevel"/>
    <w:tmpl w:val="7C38CEE2"/>
    <w:lvl w:ilvl="0" w:tplc="E2EC03A0">
      <w:start w:val="1"/>
      <w:numFmt w:val="bullet"/>
      <w:lvlText w:val=""/>
      <w:lvlJc w:val="left"/>
      <w:pPr>
        <w:ind w:left="720" w:hanging="360"/>
      </w:pPr>
      <w:rPr>
        <w:rFonts w:ascii="Symbol" w:hAnsi="Symbol" w:hint="default"/>
      </w:rPr>
    </w:lvl>
    <w:lvl w:ilvl="1" w:tplc="6D781556" w:tentative="1">
      <w:start w:val="1"/>
      <w:numFmt w:val="bullet"/>
      <w:lvlText w:val="o"/>
      <w:lvlJc w:val="left"/>
      <w:pPr>
        <w:ind w:left="1440" w:hanging="360"/>
      </w:pPr>
      <w:rPr>
        <w:rFonts w:ascii="Courier New" w:hAnsi="Courier New" w:cs="Courier New" w:hint="default"/>
      </w:rPr>
    </w:lvl>
    <w:lvl w:ilvl="2" w:tplc="EF04145E" w:tentative="1">
      <w:start w:val="1"/>
      <w:numFmt w:val="bullet"/>
      <w:lvlText w:val=""/>
      <w:lvlJc w:val="left"/>
      <w:pPr>
        <w:ind w:left="2160" w:hanging="360"/>
      </w:pPr>
      <w:rPr>
        <w:rFonts w:ascii="Wingdings" w:hAnsi="Wingdings" w:hint="default"/>
      </w:rPr>
    </w:lvl>
    <w:lvl w:ilvl="3" w:tplc="A4BE8482" w:tentative="1">
      <w:start w:val="1"/>
      <w:numFmt w:val="bullet"/>
      <w:lvlText w:val=""/>
      <w:lvlJc w:val="left"/>
      <w:pPr>
        <w:ind w:left="2880" w:hanging="360"/>
      </w:pPr>
      <w:rPr>
        <w:rFonts w:ascii="Symbol" w:hAnsi="Symbol" w:hint="default"/>
      </w:rPr>
    </w:lvl>
    <w:lvl w:ilvl="4" w:tplc="0D607B96" w:tentative="1">
      <w:start w:val="1"/>
      <w:numFmt w:val="bullet"/>
      <w:lvlText w:val="o"/>
      <w:lvlJc w:val="left"/>
      <w:pPr>
        <w:ind w:left="3600" w:hanging="360"/>
      </w:pPr>
      <w:rPr>
        <w:rFonts w:ascii="Courier New" w:hAnsi="Courier New" w:cs="Courier New" w:hint="default"/>
      </w:rPr>
    </w:lvl>
    <w:lvl w:ilvl="5" w:tplc="B59A503E" w:tentative="1">
      <w:start w:val="1"/>
      <w:numFmt w:val="bullet"/>
      <w:lvlText w:val=""/>
      <w:lvlJc w:val="left"/>
      <w:pPr>
        <w:ind w:left="4320" w:hanging="360"/>
      </w:pPr>
      <w:rPr>
        <w:rFonts w:ascii="Wingdings" w:hAnsi="Wingdings" w:hint="default"/>
      </w:rPr>
    </w:lvl>
    <w:lvl w:ilvl="6" w:tplc="BCA46A9C" w:tentative="1">
      <w:start w:val="1"/>
      <w:numFmt w:val="bullet"/>
      <w:lvlText w:val=""/>
      <w:lvlJc w:val="left"/>
      <w:pPr>
        <w:ind w:left="5040" w:hanging="360"/>
      </w:pPr>
      <w:rPr>
        <w:rFonts w:ascii="Symbol" w:hAnsi="Symbol" w:hint="default"/>
      </w:rPr>
    </w:lvl>
    <w:lvl w:ilvl="7" w:tplc="746CB9BE" w:tentative="1">
      <w:start w:val="1"/>
      <w:numFmt w:val="bullet"/>
      <w:lvlText w:val="o"/>
      <w:lvlJc w:val="left"/>
      <w:pPr>
        <w:ind w:left="5760" w:hanging="360"/>
      </w:pPr>
      <w:rPr>
        <w:rFonts w:ascii="Courier New" w:hAnsi="Courier New" w:cs="Courier New" w:hint="default"/>
      </w:rPr>
    </w:lvl>
    <w:lvl w:ilvl="8" w:tplc="4D704C50" w:tentative="1">
      <w:start w:val="1"/>
      <w:numFmt w:val="bullet"/>
      <w:lvlText w:val=""/>
      <w:lvlJc w:val="left"/>
      <w:pPr>
        <w:ind w:left="6480" w:hanging="360"/>
      </w:pPr>
      <w:rPr>
        <w:rFonts w:ascii="Wingdings" w:hAnsi="Wingdings" w:hint="default"/>
      </w:rPr>
    </w:lvl>
  </w:abstractNum>
  <w:abstractNum w:abstractNumId="5" w15:restartNumberingAfterBreak="0">
    <w:nsid w:val="4BDE40A9"/>
    <w:multiLevelType w:val="hybridMultilevel"/>
    <w:tmpl w:val="BFD004AA"/>
    <w:lvl w:ilvl="0" w:tplc="A19423EC">
      <w:start w:val="1"/>
      <w:numFmt w:val="bullet"/>
      <w:lvlText w:val=""/>
      <w:lvlJc w:val="left"/>
      <w:pPr>
        <w:ind w:left="1080" w:hanging="360"/>
      </w:pPr>
      <w:rPr>
        <w:rFonts w:ascii="Symbol" w:hAnsi="Symbol" w:hint="default"/>
      </w:rPr>
    </w:lvl>
    <w:lvl w:ilvl="1" w:tplc="759C4290" w:tentative="1">
      <w:start w:val="1"/>
      <w:numFmt w:val="bullet"/>
      <w:lvlText w:val="o"/>
      <w:lvlJc w:val="left"/>
      <w:pPr>
        <w:ind w:left="1800" w:hanging="360"/>
      </w:pPr>
      <w:rPr>
        <w:rFonts w:ascii="Courier New" w:hAnsi="Courier New" w:cs="Courier New" w:hint="default"/>
      </w:rPr>
    </w:lvl>
    <w:lvl w:ilvl="2" w:tplc="16F4DFF2" w:tentative="1">
      <w:start w:val="1"/>
      <w:numFmt w:val="bullet"/>
      <w:lvlText w:val=""/>
      <w:lvlJc w:val="left"/>
      <w:pPr>
        <w:ind w:left="2520" w:hanging="360"/>
      </w:pPr>
      <w:rPr>
        <w:rFonts w:ascii="Wingdings" w:hAnsi="Wingdings" w:hint="default"/>
      </w:rPr>
    </w:lvl>
    <w:lvl w:ilvl="3" w:tplc="0BBC69F6" w:tentative="1">
      <w:start w:val="1"/>
      <w:numFmt w:val="bullet"/>
      <w:lvlText w:val=""/>
      <w:lvlJc w:val="left"/>
      <w:pPr>
        <w:ind w:left="3240" w:hanging="360"/>
      </w:pPr>
      <w:rPr>
        <w:rFonts w:ascii="Symbol" w:hAnsi="Symbol" w:hint="default"/>
      </w:rPr>
    </w:lvl>
    <w:lvl w:ilvl="4" w:tplc="6D40B1E2" w:tentative="1">
      <w:start w:val="1"/>
      <w:numFmt w:val="bullet"/>
      <w:lvlText w:val="o"/>
      <w:lvlJc w:val="left"/>
      <w:pPr>
        <w:ind w:left="3960" w:hanging="360"/>
      </w:pPr>
      <w:rPr>
        <w:rFonts w:ascii="Courier New" w:hAnsi="Courier New" w:cs="Courier New" w:hint="default"/>
      </w:rPr>
    </w:lvl>
    <w:lvl w:ilvl="5" w:tplc="AB2E8884" w:tentative="1">
      <w:start w:val="1"/>
      <w:numFmt w:val="bullet"/>
      <w:lvlText w:val=""/>
      <w:lvlJc w:val="left"/>
      <w:pPr>
        <w:ind w:left="4680" w:hanging="360"/>
      </w:pPr>
      <w:rPr>
        <w:rFonts w:ascii="Wingdings" w:hAnsi="Wingdings" w:hint="default"/>
      </w:rPr>
    </w:lvl>
    <w:lvl w:ilvl="6" w:tplc="B420AD0C" w:tentative="1">
      <w:start w:val="1"/>
      <w:numFmt w:val="bullet"/>
      <w:lvlText w:val=""/>
      <w:lvlJc w:val="left"/>
      <w:pPr>
        <w:ind w:left="5400" w:hanging="360"/>
      </w:pPr>
      <w:rPr>
        <w:rFonts w:ascii="Symbol" w:hAnsi="Symbol" w:hint="default"/>
      </w:rPr>
    </w:lvl>
    <w:lvl w:ilvl="7" w:tplc="4F78291E" w:tentative="1">
      <w:start w:val="1"/>
      <w:numFmt w:val="bullet"/>
      <w:lvlText w:val="o"/>
      <w:lvlJc w:val="left"/>
      <w:pPr>
        <w:ind w:left="6120" w:hanging="360"/>
      </w:pPr>
      <w:rPr>
        <w:rFonts w:ascii="Courier New" w:hAnsi="Courier New" w:cs="Courier New" w:hint="default"/>
      </w:rPr>
    </w:lvl>
    <w:lvl w:ilvl="8" w:tplc="DE98F414" w:tentative="1">
      <w:start w:val="1"/>
      <w:numFmt w:val="bullet"/>
      <w:lvlText w:val=""/>
      <w:lvlJc w:val="left"/>
      <w:pPr>
        <w:ind w:left="6840" w:hanging="360"/>
      </w:pPr>
      <w:rPr>
        <w:rFonts w:ascii="Wingdings" w:hAnsi="Wingdings" w:hint="default"/>
      </w:rPr>
    </w:lvl>
  </w:abstractNum>
  <w:abstractNum w:abstractNumId="6" w15:restartNumberingAfterBreak="0">
    <w:nsid w:val="748E2F9B"/>
    <w:multiLevelType w:val="hybridMultilevel"/>
    <w:tmpl w:val="35DED682"/>
    <w:lvl w:ilvl="0" w:tplc="16B0B210">
      <w:start w:val="1"/>
      <w:numFmt w:val="bullet"/>
      <w:lvlText w:val=""/>
      <w:lvlJc w:val="left"/>
      <w:pPr>
        <w:ind w:left="720" w:hanging="360"/>
      </w:pPr>
      <w:rPr>
        <w:rFonts w:ascii="Symbol" w:hAnsi="Symbol" w:hint="default"/>
      </w:rPr>
    </w:lvl>
    <w:lvl w:ilvl="1" w:tplc="9A8EDF98" w:tentative="1">
      <w:start w:val="1"/>
      <w:numFmt w:val="bullet"/>
      <w:lvlText w:val="o"/>
      <w:lvlJc w:val="left"/>
      <w:pPr>
        <w:ind w:left="1440" w:hanging="360"/>
      </w:pPr>
      <w:rPr>
        <w:rFonts w:ascii="Courier New" w:hAnsi="Courier New" w:cs="Courier New" w:hint="default"/>
      </w:rPr>
    </w:lvl>
    <w:lvl w:ilvl="2" w:tplc="4FE220AA" w:tentative="1">
      <w:start w:val="1"/>
      <w:numFmt w:val="bullet"/>
      <w:lvlText w:val=""/>
      <w:lvlJc w:val="left"/>
      <w:pPr>
        <w:ind w:left="2160" w:hanging="360"/>
      </w:pPr>
      <w:rPr>
        <w:rFonts w:ascii="Wingdings" w:hAnsi="Wingdings" w:hint="default"/>
      </w:rPr>
    </w:lvl>
    <w:lvl w:ilvl="3" w:tplc="5E6837F0" w:tentative="1">
      <w:start w:val="1"/>
      <w:numFmt w:val="bullet"/>
      <w:lvlText w:val=""/>
      <w:lvlJc w:val="left"/>
      <w:pPr>
        <w:ind w:left="2880" w:hanging="360"/>
      </w:pPr>
      <w:rPr>
        <w:rFonts w:ascii="Symbol" w:hAnsi="Symbol" w:hint="default"/>
      </w:rPr>
    </w:lvl>
    <w:lvl w:ilvl="4" w:tplc="6A28FA38" w:tentative="1">
      <w:start w:val="1"/>
      <w:numFmt w:val="bullet"/>
      <w:lvlText w:val="o"/>
      <w:lvlJc w:val="left"/>
      <w:pPr>
        <w:ind w:left="3600" w:hanging="360"/>
      </w:pPr>
      <w:rPr>
        <w:rFonts w:ascii="Courier New" w:hAnsi="Courier New" w:cs="Courier New" w:hint="default"/>
      </w:rPr>
    </w:lvl>
    <w:lvl w:ilvl="5" w:tplc="E7403FBC" w:tentative="1">
      <w:start w:val="1"/>
      <w:numFmt w:val="bullet"/>
      <w:lvlText w:val=""/>
      <w:lvlJc w:val="left"/>
      <w:pPr>
        <w:ind w:left="4320" w:hanging="360"/>
      </w:pPr>
      <w:rPr>
        <w:rFonts w:ascii="Wingdings" w:hAnsi="Wingdings" w:hint="default"/>
      </w:rPr>
    </w:lvl>
    <w:lvl w:ilvl="6" w:tplc="80AA56C2" w:tentative="1">
      <w:start w:val="1"/>
      <w:numFmt w:val="bullet"/>
      <w:lvlText w:val=""/>
      <w:lvlJc w:val="left"/>
      <w:pPr>
        <w:ind w:left="5040" w:hanging="360"/>
      </w:pPr>
      <w:rPr>
        <w:rFonts w:ascii="Symbol" w:hAnsi="Symbol" w:hint="default"/>
      </w:rPr>
    </w:lvl>
    <w:lvl w:ilvl="7" w:tplc="C6CE7ACA" w:tentative="1">
      <w:start w:val="1"/>
      <w:numFmt w:val="bullet"/>
      <w:lvlText w:val="o"/>
      <w:lvlJc w:val="left"/>
      <w:pPr>
        <w:ind w:left="5760" w:hanging="360"/>
      </w:pPr>
      <w:rPr>
        <w:rFonts w:ascii="Courier New" w:hAnsi="Courier New" w:cs="Courier New" w:hint="default"/>
      </w:rPr>
    </w:lvl>
    <w:lvl w:ilvl="8" w:tplc="07BAD51A"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CB"/>
    <w:rsid w:val="008C623A"/>
    <w:rsid w:val="009B377C"/>
    <w:rsid w:val="00D40E0A"/>
    <w:rsid w:val="00EA6895"/>
    <w:rsid w:val="00EF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4028"/>
  <w15:docId w15:val="{D7939A07-B22A-40DF-A6D9-A72C061D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6A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1071"/>
    <w:rPr>
      <w:sz w:val="16"/>
      <w:szCs w:val="16"/>
    </w:rPr>
  </w:style>
  <w:style w:type="paragraph" w:styleId="CommentText">
    <w:name w:val="annotation text"/>
    <w:basedOn w:val="Normal"/>
    <w:link w:val="CommentTextChar"/>
    <w:uiPriority w:val="99"/>
    <w:semiHidden/>
    <w:unhideWhenUsed/>
    <w:rsid w:val="008B1071"/>
    <w:pPr>
      <w:spacing w:line="240" w:lineRule="auto"/>
    </w:pPr>
    <w:rPr>
      <w:sz w:val="20"/>
      <w:szCs w:val="20"/>
    </w:rPr>
  </w:style>
  <w:style w:type="character" w:customStyle="1" w:styleId="CommentTextChar">
    <w:name w:val="Comment Text Char"/>
    <w:basedOn w:val="DefaultParagraphFont"/>
    <w:link w:val="CommentText"/>
    <w:uiPriority w:val="99"/>
    <w:semiHidden/>
    <w:rsid w:val="008B1071"/>
    <w:rPr>
      <w:sz w:val="20"/>
      <w:szCs w:val="20"/>
    </w:rPr>
  </w:style>
  <w:style w:type="paragraph" w:styleId="CommentSubject">
    <w:name w:val="annotation subject"/>
    <w:basedOn w:val="CommentText"/>
    <w:next w:val="CommentText"/>
    <w:link w:val="CommentSubjectChar"/>
    <w:uiPriority w:val="99"/>
    <w:semiHidden/>
    <w:unhideWhenUsed/>
    <w:rsid w:val="008B1071"/>
    <w:rPr>
      <w:b/>
      <w:bCs/>
    </w:rPr>
  </w:style>
  <w:style w:type="character" w:customStyle="1" w:styleId="CommentSubjectChar">
    <w:name w:val="Comment Subject Char"/>
    <w:basedOn w:val="CommentTextChar"/>
    <w:link w:val="CommentSubject"/>
    <w:uiPriority w:val="99"/>
    <w:semiHidden/>
    <w:rsid w:val="008B1071"/>
    <w:rPr>
      <w:b/>
      <w:bCs/>
      <w:sz w:val="20"/>
      <w:szCs w:val="20"/>
    </w:rPr>
  </w:style>
  <w:style w:type="paragraph" w:styleId="BalloonText">
    <w:name w:val="Balloon Text"/>
    <w:basedOn w:val="Normal"/>
    <w:link w:val="BalloonTextChar"/>
    <w:uiPriority w:val="99"/>
    <w:semiHidden/>
    <w:unhideWhenUsed/>
    <w:rsid w:val="008B1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1CF4-E723-4087-A9FA-8EC448DD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18</cp:revision>
  <cp:lastPrinted>2015-01-28T14:27:00Z</cp:lastPrinted>
  <dcterms:created xsi:type="dcterms:W3CDTF">2015-03-30T10:11:00Z</dcterms:created>
  <dcterms:modified xsi:type="dcterms:W3CDTF">2020-09-30T08:44:00Z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Infrastructure Delivery Performance Monitoring Report - Quarter 1 April - June 20</vt:lpwstr>
  </property>
  <property fmtid="{D5CDD505-2E9C-101B-9397-08002B2CF9AE}" pid="4" name="LeadOfficer">
    <vt:lpwstr>Homairah Sheth</vt:lpwstr>
  </property>
  <property fmtid="{D5CDD505-2E9C-101B-9397-08002B2CF9AE}" pid="5" name="LeadOfficerEmail">
    <vt:lpwstr>homairah.sheth@lancashire.gov.uk</vt:lpwstr>
  </property>
  <property fmtid="{D5CDD505-2E9C-101B-9397-08002B2CF9AE}" pid="6" name="LeadOfficerTel">
    <vt:lpwstr>Tel: 01772 536556</vt:lpwstr>
  </property>
  <property fmtid="{D5CDD505-2E9C-101B-9397-08002B2CF9AE}" pid="7" name="MeetingDate">
    <vt:lpwstr>Tuesday, 6 October 2020</vt:lpwstr>
  </property>
  <property fmtid="{D5CDD505-2E9C-101B-9397-08002B2CF9AE}" pid="8" name="TitusGUID">
    <vt:lpwstr>b16076df-281e-485b-ac3b-6fbc29115d7d</vt:lpwstr>
  </property>
</Properties>
</file>