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A5E9" w14:textId="697B32AE" w:rsidR="00BE163D" w:rsidRDefault="00AA27FD" w:rsidP="00F74A90">
      <w:pPr>
        <w:jc w:val="both"/>
        <w:rPr>
          <w:b/>
        </w:rPr>
      </w:pPr>
      <w:r>
        <w:rPr>
          <w:b/>
        </w:rPr>
        <w:t xml:space="preserve">Report to the Cabinet </w:t>
      </w:r>
    </w:p>
    <w:p w14:paraId="5B7A0067" w14:textId="558EBB64" w:rsidR="00BE163D" w:rsidRDefault="00AA27FD" w:rsidP="00F74A90">
      <w:pPr>
        <w:jc w:val="both"/>
        <w:rPr>
          <w:b/>
        </w:rPr>
      </w:pPr>
      <w:r>
        <w:rPr>
          <w:b/>
        </w:rPr>
        <w:t>Meeting to be held on</w:t>
      </w:r>
      <w:r w:rsidR="004757EC" w:rsidRPr="00D85CA4">
        <w:rPr>
          <w:b/>
        </w:rPr>
        <w:t xml:space="preserve"> </w:t>
      </w:r>
      <w:r w:rsidR="00F76B51">
        <w:rPr>
          <w:b/>
        </w:rPr>
        <w:t xml:space="preserve">Thursday, </w:t>
      </w:r>
      <w:r w:rsidR="00A3284F" w:rsidRPr="00D85CA4">
        <w:rPr>
          <w:b/>
        </w:rPr>
        <w:t>2</w:t>
      </w:r>
      <w:r w:rsidR="00A3284F" w:rsidRPr="00F93A91">
        <w:rPr>
          <w:b/>
          <w:vertAlign w:val="superscript"/>
        </w:rPr>
        <w:t>nd</w:t>
      </w:r>
      <w:r w:rsidR="00A3284F" w:rsidRPr="00D85CA4">
        <w:rPr>
          <w:b/>
        </w:rPr>
        <w:t xml:space="preserve"> December 2021</w:t>
      </w:r>
    </w:p>
    <w:p w14:paraId="77DF97DE" w14:textId="57D21AAE" w:rsidR="00272FCB" w:rsidRDefault="00272FCB" w:rsidP="00F74A90">
      <w:pPr>
        <w:jc w:val="both"/>
        <w:rPr>
          <w:b/>
        </w:rPr>
      </w:pPr>
    </w:p>
    <w:p w14:paraId="325668F1" w14:textId="13327EE6" w:rsidR="00272FCB" w:rsidRDefault="00AA27FD" w:rsidP="00F74A90">
      <w:pPr>
        <w:jc w:val="both"/>
        <w:rPr>
          <w:b/>
        </w:rPr>
      </w:pPr>
      <w:r>
        <w:rPr>
          <w:b/>
        </w:rPr>
        <w:t>Report of the Head of Asset Management</w:t>
      </w:r>
    </w:p>
    <w:p w14:paraId="726E55FE" w14:textId="5757706A" w:rsidR="00BE163D" w:rsidRDefault="00BE163D" w:rsidP="00F74A90">
      <w:pPr>
        <w:jc w:val="both"/>
      </w:pPr>
    </w:p>
    <w:p w14:paraId="50806D2C" w14:textId="77777777" w:rsidR="00272FCB" w:rsidRDefault="00272FCB" w:rsidP="00F74A90">
      <w:pPr>
        <w:jc w:val="both"/>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D93A4B" w14:paraId="47821D1B" w14:textId="77777777" w:rsidTr="0036642C">
        <w:tc>
          <w:tcPr>
            <w:tcW w:w="3402" w:type="dxa"/>
          </w:tcPr>
          <w:p w14:paraId="0DE5E4AB" w14:textId="782529AE" w:rsidR="00BE163D" w:rsidRDefault="00AA27FD" w:rsidP="000048BA">
            <w:pPr>
              <w:jc w:val="both"/>
            </w:pPr>
            <w:r>
              <w:rPr>
                <w:b/>
                <w:sz w:val="28"/>
              </w:rPr>
              <w:t xml:space="preserve">Part </w:t>
            </w:r>
            <w:r w:rsidR="000048BA">
              <w:rPr>
                <w:b/>
                <w:sz w:val="28"/>
              </w:rPr>
              <w:t>I</w:t>
            </w:r>
          </w:p>
        </w:tc>
      </w:tr>
    </w:tbl>
    <w:p w14:paraId="65A37C5C" w14:textId="77777777" w:rsidR="00BE163D" w:rsidRDefault="00BE163D" w:rsidP="00F74A90">
      <w:pPr>
        <w:pStyle w:val="Header"/>
        <w:jc w:val="both"/>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D93A4B" w14:paraId="510062D2" w14:textId="77777777" w:rsidTr="0036642C">
        <w:tc>
          <w:tcPr>
            <w:tcW w:w="3402" w:type="dxa"/>
          </w:tcPr>
          <w:p w14:paraId="4BE6B04F" w14:textId="7362418A" w:rsidR="00BE163D" w:rsidRPr="00C97278" w:rsidRDefault="00AA27FD" w:rsidP="00F74A90">
            <w:pPr>
              <w:pStyle w:val="BodyText"/>
              <w:jc w:val="both"/>
              <w:rPr>
                <w:b/>
              </w:rPr>
            </w:pPr>
            <w:bookmarkStart w:id="0" w:name="_Hlk88128517"/>
            <w:r w:rsidRPr="00C97278">
              <w:rPr>
                <w:b/>
              </w:rPr>
              <w:t>Electoral Division</w:t>
            </w:r>
            <w:r>
              <w:rPr>
                <w:b/>
              </w:rPr>
              <w:t>s</w:t>
            </w:r>
            <w:r w:rsidRPr="00C97278">
              <w:rPr>
                <w:b/>
              </w:rPr>
              <w:t xml:space="preserve"> affected: </w:t>
            </w:r>
          </w:p>
          <w:p w14:paraId="06F935F0" w14:textId="77777777" w:rsidR="002505E5" w:rsidRDefault="00AA27FD" w:rsidP="002505E5">
            <w:pPr>
              <w:pStyle w:val="BodyText"/>
            </w:pPr>
            <w:r>
              <w:t>Clitheroe</w:t>
            </w:r>
          </w:p>
          <w:p w14:paraId="5247FA84" w14:textId="5C43B4D1" w:rsidR="00D85B3B" w:rsidRDefault="00AA27FD" w:rsidP="002505E5">
            <w:pPr>
              <w:pStyle w:val="BodyText"/>
            </w:pPr>
            <w:r>
              <w:t>Ribble Valley North East</w:t>
            </w:r>
          </w:p>
          <w:p w14:paraId="572F69F3" w14:textId="4279F89F" w:rsidR="00D85B3B" w:rsidRPr="00C97278" w:rsidRDefault="00AA27FD" w:rsidP="002505E5">
            <w:pPr>
              <w:pStyle w:val="BodyText"/>
            </w:pPr>
            <w:r>
              <w:t>Ribble Valley South West</w:t>
            </w:r>
          </w:p>
        </w:tc>
      </w:tr>
      <w:bookmarkEnd w:id="0"/>
    </w:tbl>
    <w:p w14:paraId="11097C9E" w14:textId="77777777" w:rsidR="00BE163D" w:rsidRPr="00272FCB" w:rsidRDefault="00BE163D" w:rsidP="00E75183">
      <w:pPr>
        <w:ind w:left="709" w:hanging="709"/>
        <w:jc w:val="right"/>
        <w:rPr>
          <w:b/>
          <w:bCs/>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D93A4B" w14:paraId="6F809E7C" w14:textId="77777777" w:rsidTr="000D5A1B">
        <w:tc>
          <w:tcPr>
            <w:tcW w:w="3402" w:type="dxa"/>
          </w:tcPr>
          <w:p w14:paraId="749FB053" w14:textId="77777777" w:rsidR="00272FCB" w:rsidRDefault="00AA27FD" w:rsidP="000D5A1B">
            <w:pPr>
              <w:pStyle w:val="BodyText"/>
              <w:rPr>
                <w:b/>
                <w:bCs/>
              </w:rPr>
            </w:pPr>
            <w:r w:rsidRPr="00E75183">
              <w:rPr>
                <w:b/>
                <w:bCs/>
              </w:rPr>
              <w:t>Corporate Priorities:</w:t>
            </w:r>
          </w:p>
          <w:p w14:paraId="1B74EBA3" w14:textId="413778B4" w:rsidR="00272FCB" w:rsidRPr="000A5160" w:rsidRDefault="00AA27FD" w:rsidP="000D5A1B">
            <w:pPr>
              <w:pStyle w:val="BodyText"/>
            </w:pPr>
            <w:r w:rsidRPr="000A5160">
              <w:t xml:space="preserve">Caring for the </w:t>
            </w:r>
            <w:r w:rsidR="00F76B51">
              <w:t>v</w:t>
            </w:r>
            <w:r w:rsidRPr="000A5160">
              <w:t>ulnerable</w:t>
            </w:r>
            <w:r w:rsidR="00F76B51">
              <w:t>;</w:t>
            </w:r>
          </w:p>
        </w:tc>
      </w:tr>
    </w:tbl>
    <w:p w14:paraId="161A16ED" w14:textId="77777777" w:rsidR="00272FCB" w:rsidRDefault="00272FCB" w:rsidP="00F74A90">
      <w:pPr>
        <w:jc w:val="both"/>
        <w:rPr>
          <w:b/>
        </w:rPr>
      </w:pPr>
    </w:p>
    <w:p w14:paraId="2E7B0CAF" w14:textId="77777777" w:rsidR="00272FCB" w:rsidRDefault="00272FCB" w:rsidP="00F74A90">
      <w:pPr>
        <w:jc w:val="both"/>
        <w:rPr>
          <w:b/>
        </w:rPr>
      </w:pPr>
    </w:p>
    <w:p w14:paraId="33FE6828" w14:textId="1CDBCF46" w:rsidR="00BE163D" w:rsidRDefault="00AA27FD" w:rsidP="00F74A90">
      <w:pPr>
        <w:jc w:val="both"/>
        <w:rPr>
          <w:b/>
        </w:rPr>
      </w:pPr>
      <w:r>
        <w:rPr>
          <w:b/>
        </w:rPr>
        <w:t xml:space="preserve">Proposal to </w:t>
      </w:r>
      <w:r w:rsidR="00272FCB">
        <w:rPr>
          <w:b/>
        </w:rPr>
        <w:t>E</w:t>
      </w:r>
      <w:r w:rsidR="00F77267">
        <w:rPr>
          <w:b/>
        </w:rPr>
        <w:t xml:space="preserve">xtend the </w:t>
      </w:r>
      <w:r w:rsidR="00272FCB">
        <w:rPr>
          <w:b/>
        </w:rPr>
        <w:t>A</w:t>
      </w:r>
      <w:r w:rsidR="00F77267">
        <w:rPr>
          <w:b/>
        </w:rPr>
        <w:t xml:space="preserve">ge </w:t>
      </w:r>
      <w:r w:rsidR="00272FCB">
        <w:rPr>
          <w:b/>
        </w:rPr>
        <w:t>R</w:t>
      </w:r>
      <w:r w:rsidR="00F77267">
        <w:rPr>
          <w:b/>
        </w:rPr>
        <w:t xml:space="preserve">ange </w:t>
      </w:r>
      <w:r w:rsidR="00272FCB">
        <w:rPr>
          <w:b/>
        </w:rPr>
        <w:t>at</w:t>
      </w:r>
      <w:r w:rsidR="00F77267">
        <w:rPr>
          <w:b/>
        </w:rPr>
        <w:t xml:space="preserve"> Ribblesdale High School</w:t>
      </w:r>
      <w:r w:rsidR="005E254A">
        <w:rPr>
          <w:b/>
        </w:rPr>
        <w:t xml:space="preserve">, </w:t>
      </w:r>
      <w:r w:rsidR="00F77267">
        <w:rPr>
          <w:b/>
        </w:rPr>
        <w:t>Clitheroe</w:t>
      </w:r>
    </w:p>
    <w:p w14:paraId="41EE8732" w14:textId="14E4CFAB" w:rsidR="00BE163D" w:rsidRDefault="00AA27FD" w:rsidP="00F74A90">
      <w:pPr>
        <w:jc w:val="both"/>
      </w:pPr>
      <w:r>
        <w:t>(</w:t>
      </w:r>
      <w:r w:rsidRPr="00F05E28">
        <w:t>Appendi</w:t>
      </w:r>
      <w:r w:rsidR="0036070B">
        <w:t>ces</w:t>
      </w:r>
      <w:r w:rsidR="003904BF" w:rsidRPr="00F05E28">
        <w:t xml:space="preserve"> </w:t>
      </w:r>
      <w:r w:rsidRPr="00F05E28">
        <w:t>'A</w:t>
      </w:r>
      <w:r>
        <w:t>'</w:t>
      </w:r>
      <w:r w:rsidR="0036070B">
        <w:t xml:space="preserve"> and </w:t>
      </w:r>
      <w:r>
        <w:t>'</w:t>
      </w:r>
      <w:r w:rsidR="0036070B">
        <w:t>B</w:t>
      </w:r>
      <w:r w:rsidRPr="00F05E28">
        <w:t>'</w:t>
      </w:r>
      <w:r>
        <w:t xml:space="preserve"> refer)</w:t>
      </w:r>
    </w:p>
    <w:p w14:paraId="76C559A2" w14:textId="77777777" w:rsidR="00BE163D" w:rsidRPr="00B63B52" w:rsidRDefault="00BE163D" w:rsidP="00F74A90">
      <w:pPr>
        <w:jc w:val="both"/>
      </w:pPr>
    </w:p>
    <w:p w14:paraId="7A42B125" w14:textId="77777777" w:rsidR="004157F6" w:rsidRDefault="00AA27FD" w:rsidP="00F74A90">
      <w:pPr>
        <w:jc w:val="both"/>
      </w:pPr>
      <w:r>
        <w:t xml:space="preserve">Contacts for further information: </w:t>
      </w:r>
    </w:p>
    <w:p w14:paraId="2321AB95" w14:textId="77777777" w:rsidR="004157F6" w:rsidRDefault="00AA27FD" w:rsidP="00F74A90">
      <w:pPr>
        <w:jc w:val="both"/>
      </w:pPr>
      <w:r>
        <w:t>Lynn MacDonald</w:t>
      </w:r>
      <w:r w:rsidR="00272FCB">
        <w:t xml:space="preserve">, </w:t>
      </w:r>
      <w:r>
        <w:t xml:space="preserve">Tel: </w:t>
      </w:r>
      <w:r w:rsidR="00272FCB">
        <w:t xml:space="preserve">(01772) 532402, School Planning Manager, </w:t>
      </w:r>
    </w:p>
    <w:p w14:paraId="78A2A54F" w14:textId="5E5800D7" w:rsidR="004157F6" w:rsidRPr="00D343A0" w:rsidRDefault="0000099C" w:rsidP="00F74A90">
      <w:pPr>
        <w:jc w:val="both"/>
        <w:rPr>
          <w:color w:val="0000FF"/>
          <w:u w:val="single"/>
        </w:rPr>
      </w:pPr>
      <w:hyperlink r:id="rId8" w:history="1">
        <w:r w:rsidR="00AA27FD">
          <w:rPr>
            <w:rStyle w:val="Hyperlink"/>
          </w:rPr>
          <w:t>l</w:t>
        </w:r>
        <w:r w:rsidR="00AA27FD" w:rsidRPr="00EC3B70">
          <w:rPr>
            <w:rStyle w:val="Hyperlink"/>
          </w:rPr>
          <w:t>ynn.macdonald@lancashire.gov.uk</w:t>
        </w:r>
      </w:hyperlink>
    </w:p>
    <w:p w14:paraId="0C0C9F34" w14:textId="375C86FD" w:rsidR="00BE163D" w:rsidRDefault="00AA27FD" w:rsidP="00F74A90">
      <w:pPr>
        <w:jc w:val="both"/>
      </w:pPr>
      <w:r>
        <w:t>Ben Terry</w:t>
      </w:r>
      <w:r w:rsidR="00272FCB">
        <w:t xml:space="preserve">, </w:t>
      </w:r>
      <w:r w:rsidR="004157F6">
        <w:t xml:space="preserve">Tel: </w:t>
      </w:r>
      <w:r w:rsidR="00272FCB">
        <w:t>(01772) 531774, School Provision Planning Manager</w:t>
      </w:r>
    </w:p>
    <w:p w14:paraId="584BABC0" w14:textId="39198CAC" w:rsidR="00483A98" w:rsidRDefault="0000099C" w:rsidP="00F74A90">
      <w:pPr>
        <w:jc w:val="both"/>
        <w:rPr>
          <w:rStyle w:val="Hyperlink"/>
        </w:rPr>
      </w:pPr>
      <w:hyperlink r:id="rId9" w:history="1"/>
      <w:hyperlink r:id="rId10" w:history="1">
        <w:r w:rsidR="00AA27FD" w:rsidRPr="00642498">
          <w:rPr>
            <w:rStyle w:val="Hyperlink"/>
          </w:rPr>
          <w:t>ben.terry@lancashire.gov.uk</w:t>
        </w:r>
      </w:hyperlink>
    </w:p>
    <w:p w14:paraId="6435D25C" w14:textId="79B2E62B" w:rsidR="00CB1EBB" w:rsidRDefault="00CB1EBB" w:rsidP="00F74A90">
      <w:pPr>
        <w:jc w:val="both"/>
      </w:pPr>
    </w:p>
    <w:tbl>
      <w:tblPr>
        <w:tblStyle w:val="TableGrid"/>
        <w:tblW w:w="0" w:type="auto"/>
        <w:tblLook w:val="04A0" w:firstRow="1" w:lastRow="0" w:firstColumn="1" w:lastColumn="0" w:noHBand="0" w:noVBand="1"/>
      </w:tblPr>
      <w:tblGrid>
        <w:gridCol w:w="9017"/>
      </w:tblGrid>
      <w:tr w:rsidR="00D93A4B" w14:paraId="3B55929B" w14:textId="77777777" w:rsidTr="00F76B51">
        <w:tc>
          <w:tcPr>
            <w:tcW w:w="9017" w:type="dxa"/>
          </w:tcPr>
          <w:p w14:paraId="62E5E5D2" w14:textId="77777777" w:rsidR="00F76B51" w:rsidRDefault="00F76B51" w:rsidP="00F76B51">
            <w:pPr>
              <w:pStyle w:val="Heading6"/>
              <w:jc w:val="both"/>
              <w:rPr>
                <w:rFonts w:ascii="Arial" w:hAnsi="Arial"/>
              </w:rPr>
            </w:pPr>
          </w:p>
          <w:p w14:paraId="37E8F56A" w14:textId="24E0E60A" w:rsidR="00F76B51" w:rsidRPr="00C97278" w:rsidRDefault="00AA27FD" w:rsidP="00F76B51">
            <w:pPr>
              <w:pStyle w:val="Heading6"/>
              <w:jc w:val="both"/>
              <w:rPr>
                <w:rFonts w:ascii="Arial" w:hAnsi="Arial"/>
              </w:rPr>
            </w:pPr>
            <w:r>
              <w:rPr>
                <w:rFonts w:ascii="Arial" w:hAnsi="Arial"/>
              </w:rPr>
              <w:t xml:space="preserve">Brief </w:t>
            </w:r>
            <w:r w:rsidRPr="00C97278">
              <w:rPr>
                <w:rFonts w:ascii="Arial" w:hAnsi="Arial"/>
              </w:rPr>
              <w:t>Summary</w:t>
            </w:r>
          </w:p>
          <w:p w14:paraId="7F1BB8D9" w14:textId="77777777" w:rsidR="00F76B51" w:rsidRPr="00813B65" w:rsidRDefault="00F76B51" w:rsidP="00F76B51">
            <w:pPr>
              <w:jc w:val="both"/>
            </w:pPr>
          </w:p>
          <w:p w14:paraId="658F58C3" w14:textId="77777777" w:rsidR="00F76B51" w:rsidRDefault="00AA27FD" w:rsidP="00F76B51">
            <w:pPr>
              <w:jc w:val="both"/>
            </w:pPr>
            <w:r w:rsidRPr="00813B65">
              <w:t>Between</w:t>
            </w:r>
            <w:r>
              <w:t xml:space="preserve"> 28</w:t>
            </w:r>
            <w:r w:rsidRPr="00F93A91">
              <w:rPr>
                <w:vertAlign w:val="superscript"/>
              </w:rPr>
              <w:t>th</w:t>
            </w:r>
            <w:r>
              <w:t xml:space="preserve"> June and 23</w:t>
            </w:r>
            <w:r w:rsidRPr="00F93A91">
              <w:rPr>
                <w:vertAlign w:val="superscript"/>
              </w:rPr>
              <w:t>rd</w:t>
            </w:r>
            <w:r>
              <w:t xml:space="preserve"> July 2021, Lancashire County Council</w:t>
            </w:r>
            <w:r w:rsidRPr="00813B65">
              <w:t xml:space="preserve"> consulted on a proposal to </w:t>
            </w:r>
            <w:r>
              <w:t>extend the age range at Ribblesdale High School, Clitheroe by providing primary age places on the neighbouring Higher Standen Farm site.</w:t>
            </w:r>
          </w:p>
          <w:p w14:paraId="474D1B76" w14:textId="77777777" w:rsidR="00F76B51" w:rsidRDefault="00F76B51" w:rsidP="00F76B51">
            <w:pPr>
              <w:jc w:val="both"/>
            </w:pPr>
          </w:p>
          <w:p w14:paraId="742369E9" w14:textId="77777777" w:rsidR="00F76B51" w:rsidRDefault="00AA27FD" w:rsidP="00F76B51">
            <w:pPr>
              <w:jc w:val="both"/>
            </w:pPr>
            <w:r>
              <w:t>After considering the outcome of the informal consultation and Cabinet's decision on 2</w:t>
            </w:r>
            <w:r w:rsidRPr="00F93A91">
              <w:rPr>
                <w:vertAlign w:val="superscript"/>
              </w:rPr>
              <w:t>nd</w:t>
            </w:r>
            <w:r>
              <w:t xml:space="preserve"> September 2021 to proceed with the proposal, the authority published a statutory notice on 30</w:t>
            </w:r>
            <w:r w:rsidRPr="00F93A91">
              <w:rPr>
                <w:vertAlign w:val="superscript"/>
              </w:rPr>
              <w:t>th</w:t>
            </w:r>
            <w:r>
              <w:t xml:space="preserve"> September 2021. T</w:t>
            </w:r>
            <w:r w:rsidRPr="00B76CDB">
              <w:t>he Notice invited representations from 30</w:t>
            </w:r>
            <w:r w:rsidRPr="00B76CDB">
              <w:rPr>
                <w:vertAlign w:val="superscript"/>
              </w:rPr>
              <w:t>th</w:t>
            </w:r>
            <w:r w:rsidRPr="00B76CDB">
              <w:t xml:space="preserve"> September to 4</w:t>
            </w:r>
            <w:r w:rsidRPr="00B76CDB">
              <w:rPr>
                <w:vertAlign w:val="superscript"/>
              </w:rPr>
              <w:t>th</w:t>
            </w:r>
            <w:r w:rsidRPr="00B76CDB">
              <w:t xml:space="preserve"> November 2021.</w:t>
            </w:r>
          </w:p>
          <w:p w14:paraId="0DA30D01" w14:textId="77777777" w:rsidR="00F76B51" w:rsidRDefault="00F76B51" w:rsidP="00F76B51">
            <w:pPr>
              <w:jc w:val="both"/>
            </w:pPr>
          </w:p>
          <w:p w14:paraId="43368E7E" w14:textId="77777777" w:rsidR="00F76B51" w:rsidRDefault="00AA27FD" w:rsidP="00F76B51">
            <w:pPr>
              <w:jc w:val="both"/>
            </w:pPr>
            <w:r>
              <w:t>Under the statutory school expansion process, a decision should now be taken about the proposal. If the authority fails to decide the proposal within two months from the end of the representation period, the proposal and any representations about the proposals must be passed to the schools' adjudicator for decision.</w:t>
            </w:r>
          </w:p>
          <w:p w14:paraId="1F055B48" w14:textId="77777777" w:rsidR="00F76B51" w:rsidRDefault="00F76B51" w:rsidP="00F76B51">
            <w:pPr>
              <w:jc w:val="both"/>
            </w:pPr>
          </w:p>
          <w:p w14:paraId="2B8B9507" w14:textId="77777777" w:rsidR="00F76B51" w:rsidRDefault="00AA27FD" w:rsidP="00F76B51">
            <w:pPr>
              <w:jc w:val="both"/>
            </w:pPr>
            <w:r>
              <w:t>This is deemed to be a Key Decision and the provisions of Standing Order C19 have been complied with.</w:t>
            </w:r>
          </w:p>
          <w:p w14:paraId="2E45803E" w14:textId="77777777" w:rsidR="00F76B51" w:rsidRDefault="00F76B51" w:rsidP="00F74A90">
            <w:pPr>
              <w:jc w:val="both"/>
            </w:pPr>
          </w:p>
        </w:tc>
      </w:tr>
    </w:tbl>
    <w:p w14:paraId="5F34F183" w14:textId="77777777" w:rsidR="00F76B51" w:rsidRDefault="00F76B51" w:rsidP="00F74A9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0"/>
      </w:tblGrid>
      <w:tr w:rsidR="00D93A4B" w14:paraId="53C3A77E" w14:textId="77777777" w:rsidTr="00F76B51">
        <w:trPr>
          <w:trHeight w:val="3818"/>
        </w:trPr>
        <w:tc>
          <w:tcPr>
            <w:tcW w:w="8970" w:type="dxa"/>
          </w:tcPr>
          <w:p w14:paraId="10344A21" w14:textId="77777777" w:rsidR="000048BA" w:rsidRPr="00813B65" w:rsidRDefault="000048BA" w:rsidP="00F74A90">
            <w:pPr>
              <w:jc w:val="both"/>
            </w:pPr>
          </w:p>
          <w:p w14:paraId="410C80CC" w14:textId="77777777" w:rsidR="00E75840" w:rsidRPr="00D304EE" w:rsidRDefault="00AA27FD" w:rsidP="00F74A90">
            <w:pPr>
              <w:pStyle w:val="Heading5"/>
              <w:jc w:val="both"/>
              <w:rPr>
                <w:rFonts w:ascii="Arial" w:hAnsi="Arial"/>
                <w:u w:val="none"/>
              </w:rPr>
            </w:pPr>
            <w:r w:rsidRPr="00D304EE">
              <w:rPr>
                <w:rFonts w:ascii="Arial" w:hAnsi="Arial"/>
                <w:u w:val="none"/>
              </w:rPr>
              <w:t>Recommendation</w:t>
            </w:r>
          </w:p>
          <w:p w14:paraId="17B5DD6A" w14:textId="77777777" w:rsidR="00E75840" w:rsidRPr="00813B65" w:rsidRDefault="00E75840" w:rsidP="00F74A90">
            <w:pPr>
              <w:jc w:val="both"/>
            </w:pPr>
          </w:p>
          <w:p w14:paraId="7ACDF6E0" w14:textId="65EB8D05" w:rsidR="0022159C" w:rsidRPr="00813B65" w:rsidRDefault="00AA27FD" w:rsidP="00F74A90">
            <w:pPr>
              <w:jc w:val="both"/>
            </w:pPr>
            <w:r w:rsidRPr="00813B65">
              <w:t xml:space="preserve"> Cabinet is </w:t>
            </w:r>
            <w:r w:rsidR="00272FCB">
              <w:t>asked</w:t>
            </w:r>
            <w:r w:rsidR="008D46C0">
              <w:t xml:space="preserve"> to</w:t>
            </w:r>
            <w:r w:rsidRPr="00813B65">
              <w:t>:</w:t>
            </w:r>
          </w:p>
          <w:p w14:paraId="67C57FA6" w14:textId="77777777" w:rsidR="0036642C" w:rsidRDefault="0036642C" w:rsidP="00F93A91">
            <w:pPr>
              <w:jc w:val="both"/>
            </w:pPr>
          </w:p>
          <w:p w14:paraId="1EBEE4DD" w14:textId="51A8DA8B" w:rsidR="00E75840" w:rsidRDefault="00AA27FD" w:rsidP="00D83B77">
            <w:pPr>
              <w:pStyle w:val="ListParagraph"/>
              <w:numPr>
                <w:ilvl w:val="0"/>
                <w:numId w:val="1"/>
              </w:numPr>
              <w:jc w:val="both"/>
            </w:pPr>
            <w:r>
              <w:t>A</w:t>
            </w:r>
            <w:r w:rsidR="008D46C0">
              <w:t xml:space="preserve">pprove the proposal to </w:t>
            </w:r>
            <w:r w:rsidR="00642763">
              <w:t>ex</w:t>
            </w:r>
            <w:r w:rsidR="00E9534D">
              <w:t>t</w:t>
            </w:r>
            <w:r w:rsidR="00642763">
              <w:t xml:space="preserve">end the age range </w:t>
            </w:r>
            <w:r w:rsidR="00272FCB">
              <w:t>at</w:t>
            </w:r>
            <w:r w:rsidR="00642763">
              <w:t xml:space="preserve"> Ribblesdale High School</w:t>
            </w:r>
            <w:r>
              <w:t>, Clitheroe</w:t>
            </w:r>
            <w:r w:rsidR="001734AE" w:rsidRPr="001734AE">
              <w:t xml:space="preserve"> </w:t>
            </w:r>
            <w:r w:rsidR="00E9534D">
              <w:t xml:space="preserve">to </w:t>
            </w:r>
            <w:r w:rsidR="00475572">
              <w:t xml:space="preserve">provide aged </w:t>
            </w:r>
            <w:r w:rsidR="001F13B8">
              <w:t>4-16</w:t>
            </w:r>
            <w:r w:rsidR="00475572">
              <w:t xml:space="preserve"> places</w:t>
            </w:r>
            <w:r w:rsidR="009341B0">
              <w:t>. This will be achieved by providing</w:t>
            </w:r>
            <w:r w:rsidR="00962F56">
              <w:t xml:space="preserve"> 210 primary places on the neighbouring Higher Standen Farm site</w:t>
            </w:r>
            <w:r w:rsidR="00CA56BE">
              <w:t xml:space="preserve"> in a new building, commencing with an intake of 30 reception pupils for September 2023</w:t>
            </w:r>
            <w:r w:rsidR="00272FCB">
              <w:t>.</w:t>
            </w:r>
          </w:p>
          <w:p w14:paraId="1C5EB8CC" w14:textId="77777777" w:rsidR="008D46C0" w:rsidRDefault="008D46C0" w:rsidP="008D46C0">
            <w:pPr>
              <w:pStyle w:val="ListParagraph"/>
            </w:pPr>
          </w:p>
          <w:p w14:paraId="1F37FBA3" w14:textId="40A7B9C1" w:rsidR="0000099C" w:rsidRDefault="00AA27FD" w:rsidP="0000099C">
            <w:pPr>
              <w:pStyle w:val="ListParagraph"/>
              <w:numPr>
                <w:ilvl w:val="0"/>
                <w:numId w:val="1"/>
              </w:numPr>
              <w:jc w:val="both"/>
            </w:pPr>
            <w:r>
              <w:t>Approve that an appropriate statutory decision letter be sent out</w:t>
            </w:r>
            <w:r w:rsidR="00272FCB">
              <w:t>,</w:t>
            </w:r>
            <w:r>
              <w:t xml:space="preserve"> as specified under legal requirements</w:t>
            </w:r>
            <w:r w:rsidR="00272FCB">
              <w:t>,</w:t>
            </w:r>
            <w:r>
              <w:t xml:space="preserve"> to give the reasons for the decision to those who are to be informed of them.</w:t>
            </w:r>
          </w:p>
          <w:p w14:paraId="5EF763FC" w14:textId="57782150" w:rsidR="0000099C" w:rsidRDefault="0000099C" w:rsidP="0000099C">
            <w:pPr>
              <w:jc w:val="both"/>
            </w:pPr>
          </w:p>
        </w:tc>
      </w:tr>
    </w:tbl>
    <w:p w14:paraId="13FD6AA9" w14:textId="77777777" w:rsidR="009674C8" w:rsidRDefault="009674C8" w:rsidP="00F74A90">
      <w:pPr>
        <w:jc w:val="both"/>
        <w:rPr>
          <w:b/>
        </w:rPr>
      </w:pPr>
    </w:p>
    <w:p w14:paraId="7BF19FB8" w14:textId="104DE9BB" w:rsidR="00E75840" w:rsidRDefault="00AA27FD" w:rsidP="00F74A90">
      <w:pPr>
        <w:jc w:val="both"/>
        <w:rPr>
          <w:b/>
        </w:rPr>
      </w:pPr>
      <w:r>
        <w:rPr>
          <w:b/>
        </w:rPr>
        <w:t>Detail</w:t>
      </w:r>
    </w:p>
    <w:p w14:paraId="7F895D3C" w14:textId="77777777" w:rsidR="000F78B9" w:rsidRDefault="000F78B9" w:rsidP="00F74A90">
      <w:pPr>
        <w:jc w:val="both"/>
        <w:rPr>
          <w:b/>
        </w:rPr>
      </w:pPr>
    </w:p>
    <w:p w14:paraId="45E0A710" w14:textId="4B3E8EC0" w:rsidR="009674C8" w:rsidRPr="00D23268" w:rsidRDefault="00AA27FD" w:rsidP="009674C8">
      <w:pPr>
        <w:jc w:val="both"/>
      </w:pPr>
      <w:r w:rsidRPr="001A40EC">
        <w:t>The proposal to ex</w:t>
      </w:r>
      <w:r w:rsidR="0053691E">
        <w:t xml:space="preserve">tend the age range </w:t>
      </w:r>
      <w:r w:rsidR="00272FCB">
        <w:t>at</w:t>
      </w:r>
      <w:r w:rsidR="0053691E">
        <w:t xml:space="preserve"> Ribblesdale High </w:t>
      </w:r>
      <w:r w:rsidR="001F79B7">
        <w:t xml:space="preserve">School </w:t>
      </w:r>
      <w:r w:rsidRPr="001A40EC">
        <w:t>arises from the projected rise in pupil numbers</w:t>
      </w:r>
      <w:r w:rsidR="00D325D8">
        <w:t>. This is</w:t>
      </w:r>
      <w:r w:rsidRPr="001A40EC">
        <w:t xml:space="preserve"> as a result of </w:t>
      </w:r>
      <w:r w:rsidR="002C2E29">
        <w:t>significant housing development both delivered and planned in the Clitheroe area.</w:t>
      </w:r>
      <w:r w:rsidR="009510D9" w:rsidRPr="001A40EC">
        <w:t xml:space="preserve"> </w:t>
      </w:r>
      <w:r w:rsidRPr="00D23268">
        <w:t xml:space="preserve">It is proposed to </w:t>
      </w:r>
      <w:r w:rsidR="00706314">
        <w:t>extend the age range to 4-16</w:t>
      </w:r>
      <w:r w:rsidR="001F79B7">
        <w:t xml:space="preserve"> years</w:t>
      </w:r>
      <w:r w:rsidR="00706314">
        <w:t>, admitting 30 Reception pupils from September 2023. The primary phase will grow incrementally to 210 pupils over subsequent years</w:t>
      </w:r>
      <w:r w:rsidR="007656DB">
        <w:t>, enabled by a new primary phase building on the Higher Standen Farm site.</w:t>
      </w:r>
      <w:r w:rsidRPr="00D23268">
        <w:t xml:space="preserve"> </w:t>
      </w:r>
    </w:p>
    <w:p w14:paraId="031FACB5" w14:textId="77777777" w:rsidR="009674C8" w:rsidRPr="00BF3369" w:rsidRDefault="009674C8" w:rsidP="009674C8">
      <w:pPr>
        <w:jc w:val="both"/>
        <w:rPr>
          <w:rFonts w:cs="Arial"/>
          <w:color w:val="FF0000"/>
          <w:szCs w:val="24"/>
        </w:rPr>
      </w:pPr>
    </w:p>
    <w:p w14:paraId="71315885" w14:textId="77777777" w:rsidR="009674C8" w:rsidRPr="00522C3B" w:rsidRDefault="00AA27FD" w:rsidP="009674C8">
      <w:pPr>
        <w:jc w:val="both"/>
        <w:rPr>
          <w:rFonts w:cs="Arial"/>
          <w:szCs w:val="24"/>
        </w:rPr>
      </w:pPr>
      <w:r w:rsidRPr="00522C3B">
        <w:rPr>
          <w:rFonts w:cs="Arial"/>
          <w:szCs w:val="24"/>
        </w:rPr>
        <w:t>This report aims to provide sufficient information on:</w:t>
      </w:r>
    </w:p>
    <w:p w14:paraId="0D1DCC13" w14:textId="77777777" w:rsidR="00D12369" w:rsidRPr="00BF3369" w:rsidRDefault="00D12369" w:rsidP="009674C8">
      <w:pPr>
        <w:jc w:val="both"/>
        <w:rPr>
          <w:rFonts w:cs="Arial"/>
          <w:color w:val="FF0000"/>
          <w:szCs w:val="24"/>
        </w:rPr>
      </w:pPr>
    </w:p>
    <w:p w14:paraId="4B2AB2B8" w14:textId="0DE73937" w:rsidR="009674C8" w:rsidRPr="009E4214" w:rsidRDefault="00AA27FD" w:rsidP="00D83B77">
      <w:pPr>
        <w:numPr>
          <w:ilvl w:val="0"/>
          <w:numId w:val="2"/>
        </w:numPr>
        <w:jc w:val="both"/>
        <w:rPr>
          <w:rFonts w:cs="Arial"/>
          <w:szCs w:val="24"/>
        </w:rPr>
      </w:pPr>
      <w:r w:rsidRPr="009E4214">
        <w:rPr>
          <w:rFonts w:cs="Arial"/>
          <w:szCs w:val="24"/>
        </w:rPr>
        <w:t xml:space="preserve">the proposal to </w:t>
      </w:r>
      <w:r w:rsidR="007656DB">
        <w:t xml:space="preserve">extend the age range of Ribblesdale High School </w:t>
      </w:r>
      <w:r w:rsidRPr="009E4214">
        <w:t>to reflect current and future numbers on roll</w:t>
      </w:r>
      <w:r w:rsidRPr="009E4214">
        <w:rPr>
          <w:rFonts w:cs="Arial"/>
          <w:szCs w:val="24"/>
        </w:rPr>
        <w:t>;</w:t>
      </w:r>
    </w:p>
    <w:p w14:paraId="40171110" w14:textId="77777777" w:rsidR="00D12369" w:rsidRPr="009E4214" w:rsidRDefault="00AA27FD" w:rsidP="00D83B77">
      <w:pPr>
        <w:numPr>
          <w:ilvl w:val="0"/>
          <w:numId w:val="2"/>
        </w:numPr>
        <w:jc w:val="both"/>
        <w:rPr>
          <w:rFonts w:cs="Arial"/>
          <w:szCs w:val="24"/>
        </w:rPr>
      </w:pPr>
      <w:r w:rsidRPr="009E4214">
        <w:rPr>
          <w:rFonts w:cs="Arial"/>
          <w:szCs w:val="24"/>
        </w:rPr>
        <w:t>the responses received during the statutory notice period;</w:t>
      </w:r>
      <w:r w:rsidR="00656108" w:rsidRPr="009E4214">
        <w:rPr>
          <w:rFonts w:cs="Arial"/>
          <w:szCs w:val="24"/>
        </w:rPr>
        <w:t xml:space="preserve"> </w:t>
      </w:r>
    </w:p>
    <w:p w14:paraId="4FF672F2" w14:textId="77777777" w:rsidR="00656108" w:rsidRPr="009E4214" w:rsidRDefault="00AA27FD" w:rsidP="009E4214">
      <w:pPr>
        <w:numPr>
          <w:ilvl w:val="0"/>
          <w:numId w:val="2"/>
        </w:numPr>
        <w:jc w:val="both"/>
        <w:rPr>
          <w:rFonts w:cs="Arial"/>
          <w:szCs w:val="24"/>
        </w:rPr>
      </w:pPr>
      <w:r w:rsidRPr="009E4214">
        <w:rPr>
          <w:rFonts w:cs="Arial"/>
          <w:szCs w:val="24"/>
        </w:rPr>
        <w:t>factors that the decision maker must take into consideration when determining the proposals</w:t>
      </w:r>
      <w:r w:rsidR="009E4214" w:rsidRPr="009E4214">
        <w:rPr>
          <w:rFonts w:cs="Arial"/>
          <w:szCs w:val="24"/>
        </w:rPr>
        <w:t>; and</w:t>
      </w:r>
      <w:r w:rsidRPr="009E4214">
        <w:rPr>
          <w:rFonts w:cs="Arial"/>
          <w:szCs w:val="24"/>
        </w:rPr>
        <w:t xml:space="preserve"> </w:t>
      </w:r>
    </w:p>
    <w:p w14:paraId="3CA4897A" w14:textId="77777777" w:rsidR="009674C8" w:rsidRPr="009E4214" w:rsidRDefault="00AA27FD" w:rsidP="009E4214">
      <w:pPr>
        <w:numPr>
          <w:ilvl w:val="0"/>
          <w:numId w:val="2"/>
        </w:numPr>
        <w:jc w:val="both"/>
        <w:rPr>
          <w:rFonts w:cs="Arial"/>
          <w:szCs w:val="24"/>
        </w:rPr>
      </w:pPr>
      <w:r w:rsidRPr="009E4214">
        <w:rPr>
          <w:rFonts w:cs="Arial"/>
          <w:szCs w:val="24"/>
        </w:rPr>
        <w:t>commentary on how the proposal relates to these factors in order for the decision maker to make a determination in respect of the proposals</w:t>
      </w:r>
      <w:r w:rsidR="003904BF" w:rsidRPr="009E4214">
        <w:rPr>
          <w:rFonts w:cs="Arial"/>
          <w:szCs w:val="24"/>
        </w:rPr>
        <w:t>.</w:t>
      </w:r>
    </w:p>
    <w:p w14:paraId="0F3AE5D0" w14:textId="77777777" w:rsidR="009674C8" w:rsidRPr="00BF3369" w:rsidRDefault="009674C8" w:rsidP="009674C8">
      <w:pPr>
        <w:jc w:val="both"/>
        <w:rPr>
          <w:rFonts w:cs="Arial"/>
          <w:color w:val="FF0000"/>
          <w:szCs w:val="24"/>
        </w:rPr>
      </w:pPr>
    </w:p>
    <w:p w14:paraId="69911BA2" w14:textId="77777777" w:rsidR="00F0726E" w:rsidRDefault="00AA27FD" w:rsidP="00412A83">
      <w:pPr>
        <w:jc w:val="both"/>
        <w:rPr>
          <w:b/>
        </w:rPr>
      </w:pPr>
      <w:r w:rsidRPr="00D32D8B">
        <w:rPr>
          <w:b/>
        </w:rPr>
        <w:t>Factors that the decision maker must take into consideration when determining the proposal</w:t>
      </w:r>
    </w:p>
    <w:p w14:paraId="7EDE09EA" w14:textId="77777777" w:rsidR="00A11B16" w:rsidRDefault="00A11B16" w:rsidP="00412A83">
      <w:pPr>
        <w:jc w:val="both"/>
        <w:rPr>
          <w:b/>
        </w:rPr>
      </w:pPr>
    </w:p>
    <w:p w14:paraId="272F54B7" w14:textId="19095664" w:rsidR="00A11B16" w:rsidRPr="003541B9" w:rsidRDefault="00AA27FD" w:rsidP="00412A83">
      <w:pPr>
        <w:pStyle w:val="Default"/>
        <w:jc w:val="both"/>
        <w:rPr>
          <w:i/>
          <w:color w:val="auto"/>
        </w:rPr>
      </w:pPr>
      <w:r w:rsidRPr="003541B9">
        <w:rPr>
          <w:b/>
          <w:color w:val="auto"/>
        </w:rPr>
        <w:t xml:space="preserve">Consideration of consultation and representation period: </w:t>
      </w:r>
      <w:r w:rsidRPr="000B2B5E">
        <w:rPr>
          <w:iCs/>
          <w:color w:val="auto"/>
        </w:rPr>
        <w:t xml:space="preserve">The decision-maker will need to be satisfied that the appropriate consultation and/or representation period has been carried out and that the proposer has had regard to the responses received. If the proposer has failed to meet the statutory requirements, a proposal may be deemed invalid and therefore should be rejected. The decision-maker must consider all the views submitted, including all support for, objections to and comments on the proposal. </w:t>
      </w:r>
    </w:p>
    <w:p w14:paraId="5DD1A9F3" w14:textId="77777777" w:rsidR="00A11B16" w:rsidRDefault="00A11B16" w:rsidP="00412A83">
      <w:pPr>
        <w:jc w:val="both"/>
        <w:rPr>
          <w:b/>
          <w:color w:val="FF0000"/>
        </w:rPr>
      </w:pPr>
    </w:p>
    <w:p w14:paraId="4F71B554" w14:textId="39F73511" w:rsidR="00A11B16" w:rsidRPr="00F93A91" w:rsidRDefault="00AA27FD" w:rsidP="00412A83">
      <w:pPr>
        <w:jc w:val="both"/>
        <w:rPr>
          <w:color w:val="FF0000"/>
        </w:rPr>
      </w:pPr>
      <w:r w:rsidRPr="00813B65">
        <w:t xml:space="preserve">Between </w:t>
      </w:r>
      <w:r w:rsidR="00E96F49">
        <w:t>28</w:t>
      </w:r>
      <w:r w:rsidR="00E96F49" w:rsidRPr="00F93A91">
        <w:rPr>
          <w:vertAlign w:val="superscript"/>
        </w:rPr>
        <w:t>th</w:t>
      </w:r>
      <w:r w:rsidR="00E96F49">
        <w:t xml:space="preserve"> June and 23</w:t>
      </w:r>
      <w:r w:rsidR="00E96F49" w:rsidRPr="00F93A91">
        <w:rPr>
          <w:vertAlign w:val="superscript"/>
        </w:rPr>
        <w:t>rd</w:t>
      </w:r>
      <w:r w:rsidR="00E96F49">
        <w:t xml:space="preserve"> July 2021</w:t>
      </w:r>
      <w:r w:rsidR="000E7285">
        <w:t>,</w:t>
      </w:r>
      <w:r w:rsidR="00C65710" w:rsidRPr="00813B65">
        <w:t xml:space="preserve"> </w:t>
      </w:r>
      <w:r w:rsidRPr="00813B65">
        <w:t xml:space="preserve">the authority consulted on a proposal to </w:t>
      </w:r>
      <w:r w:rsidR="00C65710">
        <w:t xml:space="preserve">extend the age range of Ribblesdale High </w:t>
      </w:r>
      <w:r w:rsidR="00272FCB">
        <w:t>S</w:t>
      </w:r>
      <w:r w:rsidR="00C65710">
        <w:t>chool</w:t>
      </w:r>
      <w:r w:rsidRPr="001734AE">
        <w:t xml:space="preserve"> with</w:t>
      </w:r>
      <w:r w:rsidRPr="00813B65">
        <w:t xml:space="preserve"> effect from September 2</w:t>
      </w:r>
      <w:r w:rsidR="00C65710">
        <w:t>023</w:t>
      </w:r>
      <w:r w:rsidRPr="00813B65">
        <w:t xml:space="preserve">. </w:t>
      </w:r>
      <w:r w:rsidR="00A3402F" w:rsidRPr="00A11B16">
        <w:t xml:space="preserve">Full details of the consultation process are set out </w:t>
      </w:r>
      <w:r w:rsidR="007F2263">
        <w:t>with</w:t>
      </w:r>
      <w:r w:rsidR="00A3402F" w:rsidRPr="00A11B16">
        <w:t xml:space="preserve">in Appendix </w:t>
      </w:r>
      <w:r w:rsidR="00A3402F" w:rsidRPr="00A34C9A">
        <w:t>'A'.</w:t>
      </w:r>
      <w:r w:rsidR="00A3402F">
        <w:rPr>
          <w:color w:val="FF0000"/>
        </w:rPr>
        <w:t xml:space="preserve">  </w:t>
      </w:r>
    </w:p>
    <w:p w14:paraId="5846407D" w14:textId="77777777" w:rsidR="00A11B16" w:rsidRDefault="00A11B16" w:rsidP="00412A83">
      <w:pPr>
        <w:jc w:val="both"/>
      </w:pPr>
    </w:p>
    <w:p w14:paraId="1A24E79C" w14:textId="0F3860E1" w:rsidR="00A11B16" w:rsidRDefault="00AA27FD" w:rsidP="00412A83">
      <w:pPr>
        <w:jc w:val="both"/>
      </w:pPr>
      <w:r>
        <w:t xml:space="preserve">After </w:t>
      </w:r>
      <w:r w:rsidR="00272FCB">
        <w:t xml:space="preserve">Cabinet </w:t>
      </w:r>
      <w:r>
        <w:t>consider</w:t>
      </w:r>
      <w:r w:rsidR="00272FCB">
        <w:t>ed</w:t>
      </w:r>
      <w:r>
        <w:t xml:space="preserve"> the outcome of the consultation </w:t>
      </w:r>
      <w:r w:rsidR="0043594E">
        <w:t>on 2</w:t>
      </w:r>
      <w:r w:rsidR="0043594E" w:rsidRPr="00F93A91">
        <w:rPr>
          <w:vertAlign w:val="superscript"/>
        </w:rPr>
        <w:t>nd</w:t>
      </w:r>
      <w:r w:rsidR="0043594E">
        <w:t xml:space="preserve"> September 2021, </w:t>
      </w:r>
      <w:r>
        <w:t>and agree</w:t>
      </w:r>
      <w:r w:rsidR="0043594E">
        <w:t>d</w:t>
      </w:r>
      <w:r w:rsidR="000E7285">
        <w:t xml:space="preserve"> , </w:t>
      </w:r>
      <w:r>
        <w:t>to proceed with the proposal, the authority published a statutory notice</w:t>
      </w:r>
      <w:r w:rsidR="0036070B">
        <w:t xml:space="preserve"> </w:t>
      </w:r>
      <w:r>
        <w:t>on</w:t>
      </w:r>
      <w:r w:rsidR="00E96F49">
        <w:t xml:space="preserve"> 30</w:t>
      </w:r>
      <w:r w:rsidR="00E96F49" w:rsidRPr="00F93A91">
        <w:rPr>
          <w:vertAlign w:val="superscript"/>
        </w:rPr>
        <w:t>th</w:t>
      </w:r>
      <w:r w:rsidR="00E96F49">
        <w:t xml:space="preserve"> September 2021</w:t>
      </w:r>
      <w:r w:rsidR="0043594E">
        <w:t xml:space="preserve">. The Notice is set out at </w:t>
      </w:r>
      <w:r w:rsidR="000E7285">
        <w:t xml:space="preserve">Appendix </w:t>
      </w:r>
      <w:r w:rsidR="0043594E">
        <w:t>'</w:t>
      </w:r>
      <w:r w:rsidR="000E7285">
        <w:t>B</w:t>
      </w:r>
      <w:r w:rsidR="0043594E">
        <w:t>'</w:t>
      </w:r>
      <w:r>
        <w:t>. In accordance with the statutory process</w:t>
      </w:r>
      <w:r w:rsidR="0043594E">
        <w:t>,</w:t>
      </w:r>
      <w:r>
        <w:t xml:space="preserve"> the Notice invited representations</w:t>
      </w:r>
      <w:r w:rsidR="000E7285">
        <w:t xml:space="preserve">, </w:t>
      </w:r>
      <w:r>
        <w:t>objections or comments</w:t>
      </w:r>
      <w:r w:rsidR="000E7285">
        <w:t>,</w:t>
      </w:r>
      <w:r>
        <w:t xml:space="preserve"> within </w:t>
      </w:r>
      <w:r>
        <w:lastRenderedPageBreak/>
        <w:t>the statutory notice period</w:t>
      </w:r>
      <w:r w:rsidR="00B06BFE">
        <w:t xml:space="preserve"> </w:t>
      </w:r>
      <w:r w:rsidR="000E7285">
        <w:t xml:space="preserve">which was </w:t>
      </w:r>
      <w:r w:rsidR="00B06BFE">
        <w:t>extended by one week to allow for half term break</w:t>
      </w:r>
      <w:r>
        <w:t>, i.e.</w:t>
      </w:r>
      <w:r w:rsidR="00564F79">
        <w:t xml:space="preserve"> </w:t>
      </w:r>
      <w:r>
        <w:t xml:space="preserve">from </w:t>
      </w:r>
      <w:r w:rsidR="00E96F49">
        <w:t>30</w:t>
      </w:r>
      <w:r w:rsidR="00E96F49" w:rsidRPr="00F93A91">
        <w:rPr>
          <w:vertAlign w:val="superscript"/>
        </w:rPr>
        <w:t>th</w:t>
      </w:r>
      <w:r w:rsidR="00E96F49">
        <w:t xml:space="preserve"> September </w:t>
      </w:r>
      <w:r>
        <w:t xml:space="preserve">to </w:t>
      </w:r>
      <w:r w:rsidR="00E96F49">
        <w:t>4</w:t>
      </w:r>
      <w:r w:rsidR="00E96F49" w:rsidRPr="00F93A91">
        <w:rPr>
          <w:vertAlign w:val="superscript"/>
        </w:rPr>
        <w:t>th</w:t>
      </w:r>
      <w:r w:rsidR="00E96F49">
        <w:t xml:space="preserve"> November 2021.</w:t>
      </w:r>
    </w:p>
    <w:p w14:paraId="2F0B8C77" w14:textId="1CAEA93E" w:rsidR="000E7285" w:rsidRDefault="000E7285" w:rsidP="00412A83">
      <w:pPr>
        <w:jc w:val="both"/>
      </w:pPr>
    </w:p>
    <w:p w14:paraId="739F7DE5" w14:textId="1123C335" w:rsidR="000E7285" w:rsidRPr="000B2B5E" w:rsidRDefault="00AA27FD" w:rsidP="00412A83">
      <w:pPr>
        <w:jc w:val="both"/>
        <w:rPr>
          <w:b/>
          <w:bCs/>
        </w:rPr>
      </w:pPr>
      <w:r w:rsidRPr="000B2B5E">
        <w:rPr>
          <w:b/>
          <w:bCs/>
        </w:rPr>
        <w:t>Responses to the consultation</w:t>
      </w:r>
    </w:p>
    <w:p w14:paraId="14D60A3D" w14:textId="77777777" w:rsidR="00A11B16" w:rsidRDefault="00A11B16" w:rsidP="00412A83">
      <w:pPr>
        <w:jc w:val="both"/>
        <w:rPr>
          <w:color w:val="FF0000"/>
        </w:rPr>
      </w:pPr>
    </w:p>
    <w:p w14:paraId="72539355" w14:textId="5D31BD77" w:rsidR="00A11B16" w:rsidRDefault="00AA27FD" w:rsidP="00412A83">
      <w:pPr>
        <w:jc w:val="both"/>
      </w:pPr>
      <w:bookmarkStart w:id="1" w:name="_Hlk87279687"/>
      <w:r w:rsidRPr="00DC7C78">
        <w:t xml:space="preserve">In response to the published proposal, </w:t>
      </w:r>
      <w:r w:rsidR="000E7285">
        <w:t>two</w:t>
      </w:r>
      <w:r w:rsidR="00653468">
        <w:t xml:space="preserve"> responses</w:t>
      </w:r>
      <w:r w:rsidR="000E7285">
        <w:t xml:space="preserve"> were received. O</w:t>
      </w:r>
      <w:r w:rsidR="00653468">
        <w:t xml:space="preserve">ne </w:t>
      </w:r>
      <w:r w:rsidR="000E7285">
        <w:t xml:space="preserve">being </w:t>
      </w:r>
      <w:r w:rsidR="00653468">
        <w:t xml:space="preserve">in support of the proposal and one </w:t>
      </w:r>
      <w:r w:rsidR="000E7285">
        <w:t xml:space="preserve">in opposition. </w:t>
      </w:r>
    </w:p>
    <w:p w14:paraId="28BD173D" w14:textId="5142E624" w:rsidR="007236AC" w:rsidRDefault="007236AC" w:rsidP="00412A83">
      <w:pPr>
        <w:jc w:val="both"/>
      </w:pPr>
    </w:p>
    <w:p w14:paraId="0E83E725" w14:textId="4C0D8D41" w:rsidR="00653468" w:rsidRPr="000B2B5E" w:rsidRDefault="00AA27FD" w:rsidP="000B2B5E">
      <w:pPr>
        <w:pStyle w:val="ListParagraph"/>
        <w:numPr>
          <w:ilvl w:val="0"/>
          <w:numId w:val="8"/>
        </w:numPr>
        <w:jc w:val="both"/>
      </w:pPr>
      <w:r>
        <w:t>In</w:t>
      </w:r>
      <w:r w:rsidR="00F03CE6" w:rsidRPr="000B2B5E">
        <w:t xml:space="preserve"> </w:t>
      </w:r>
      <w:r w:rsidR="001149EE" w:rsidRPr="000B2B5E">
        <w:t>s</w:t>
      </w:r>
      <w:r w:rsidR="00F03CE6" w:rsidRPr="000B2B5E">
        <w:t>upport</w:t>
      </w:r>
      <w:r>
        <w:t xml:space="preserve"> </w:t>
      </w:r>
      <w:r w:rsidR="00F03CE6" w:rsidRPr="000B2B5E">
        <w:t>– Ribble Valley Borough Council (Head of Regeneration and Planning)</w:t>
      </w:r>
    </w:p>
    <w:p w14:paraId="26EE3A84" w14:textId="77777777" w:rsidR="001149EE" w:rsidRDefault="001149EE" w:rsidP="00653468"/>
    <w:p w14:paraId="518145FC" w14:textId="696D959E" w:rsidR="00653468" w:rsidRDefault="00AA27FD" w:rsidP="00E75183">
      <w:pPr>
        <w:jc w:val="both"/>
        <w:rPr>
          <w:rFonts w:ascii="Calibri" w:hAnsi="Calibri"/>
          <w:sz w:val="22"/>
        </w:rPr>
      </w:pPr>
      <w:r>
        <w:t>The respondent state</w:t>
      </w:r>
      <w:r w:rsidR="001149EE">
        <w:t>d</w:t>
      </w:r>
      <w:r>
        <w:t xml:space="preserve"> that </w:t>
      </w:r>
      <w:r w:rsidR="00C573F0">
        <w:t>'</w:t>
      </w:r>
      <w:r>
        <w:t>the scheme is consistent with the provisions of the Council’s adopted Development Plan for the area in relation to the delivery of additional Primary places through a new school at the Standen Strategic site</w:t>
      </w:r>
      <w:r w:rsidR="000E7285">
        <w:t>'</w:t>
      </w:r>
      <w:r>
        <w:t xml:space="preserve">. </w:t>
      </w:r>
      <w:r w:rsidR="001149EE">
        <w:t xml:space="preserve">The respondent also commented that the </w:t>
      </w:r>
      <w:r>
        <w:t>proposed scheme will help deliver the necessary additional school places and raises no issues in that regard for the Council.</w:t>
      </w:r>
      <w:r w:rsidR="00C573F0">
        <w:t>'</w:t>
      </w:r>
    </w:p>
    <w:p w14:paraId="65FA9D2A" w14:textId="6766C816" w:rsidR="00653468" w:rsidRDefault="00653468" w:rsidP="00412A83">
      <w:pPr>
        <w:jc w:val="both"/>
      </w:pPr>
    </w:p>
    <w:p w14:paraId="04003D72" w14:textId="374AAEE2" w:rsidR="00653468" w:rsidRPr="000B2B5E" w:rsidRDefault="00AA27FD" w:rsidP="000B2B5E">
      <w:pPr>
        <w:pStyle w:val="ListParagraph"/>
        <w:numPr>
          <w:ilvl w:val="0"/>
          <w:numId w:val="8"/>
        </w:numPr>
        <w:jc w:val="both"/>
      </w:pPr>
      <w:r>
        <w:t>In</w:t>
      </w:r>
      <w:r w:rsidR="00F03CE6" w:rsidRPr="000B2B5E">
        <w:t xml:space="preserve"> opposition</w:t>
      </w:r>
      <w:r>
        <w:t xml:space="preserve"> </w:t>
      </w:r>
      <w:r w:rsidR="00F03CE6" w:rsidRPr="000B2B5E">
        <w:t xml:space="preserve">– </w:t>
      </w:r>
      <w:r>
        <w:t>Anonymous</w:t>
      </w:r>
    </w:p>
    <w:p w14:paraId="4833B61E" w14:textId="77777777" w:rsidR="00653468" w:rsidRDefault="00653468" w:rsidP="00412A83">
      <w:pPr>
        <w:jc w:val="both"/>
      </w:pPr>
    </w:p>
    <w:p w14:paraId="1F36D6EB" w14:textId="6963A8BD" w:rsidR="007236AC" w:rsidRDefault="00AA27FD" w:rsidP="007236AC">
      <w:pPr>
        <w:jc w:val="both"/>
      </w:pPr>
      <w:r>
        <w:t xml:space="preserve">The respondent provided specific concerns relating </w:t>
      </w:r>
      <w:bookmarkEnd w:id="1"/>
      <w:r>
        <w:t>to:</w:t>
      </w:r>
    </w:p>
    <w:p w14:paraId="15DFA840" w14:textId="77777777" w:rsidR="007236AC" w:rsidRDefault="007236AC" w:rsidP="007236AC">
      <w:pPr>
        <w:jc w:val="both"/>
      </w:pPr>
    </w:p>
    <w:p w14:paraId="40465F8A" w14:textId="77777777" w:rsidR="007236AC" w:rsidRPr="000B2B5E" w:rsidRDefault="00AA27FD" w:rsidP="00A001CE">
      <w:pPr>
        <w:pStyle w:val="ListParagraph"/>
        <w:numPr>
          <w:ilvl w:val="0"/>
          <w:numId w:val="7"/>
        </w:numPr>
        <w:jc w:val="both"/>
        <w:rPr>
          <w:b/>
          <w:bCs/>
        </w:rPr>
      </w:pPr>
      <w:r w:rsidRPr="000B2B5E">
        <w:rPr>
          <w:b/>
          <w:bCs/>
        </w:rPr>
        <w:t>Low demand for additional places</w:t>
      </w:r>
    </w:p>
    <w:p w14:paraId="66CC0520" w14:textId="2C11AE29" w:rsidR="007236AC" w:rsidRDefault="00AA27FD" w:rsidP="00A001CE">
      <w:pPr>
        <w:ind w:left="360"/>
        <w:jc w:val="both"/>
      </w:pPr>
      <w:bookmarkStart w:id="2" w:name="_Hlk87272576"/>
      <w:r w:rsidRPr="000B2B5E">
        <w:t>Response</w:t>
      </w:r>
      <w:r w:rsidRPr="00BA117A">
        <w:t>:</w:t>
      </w:r>
      <w:r>
        <w:t xml:space="preserve">  </w:t>
      </w:r>
      <w:bookmarkEnd w:id="2"/>
      <w:r>
        <w:t>The respondent refer</w:t>
      </w:r>
      <w:r w:rsidR="0043594E">
        <w:t>red</w:t>
      </w:r>
      <w:r>
        <w:t xml:space="preserve"> to current pupil numbers but the demand for additional places has not been identified to address current demand, it has been identified to address future need.</w:t>
      </w:r>
    </w:p>
    <w:p w14:paraId="3BED8E38" w14:textId="77777777" w:rsidR="007236AC" w:rsidRDefault="007236AC" w:rsidP="007236AC">
      <w:pPr>
        <w:jc w:val="both"/>
      </w:pPr>
    </w:p>
    <w:p w14:paraId="5D934886" w14:textId="37245B22" w:rsidR="00F0423C" w:rsidRPr="000E7285" w:rsidRDefault="00AA27FD" w:rsidP="00B76CDB">
      <w:pPr>
        <w:pStyle w:val="ListParagraph"/>
        <w:numPr>
          <w:ilvl w:val="0"/>
          <w:numId w:val="7"/>
        </w:numPr>
        <w:jc w:val="both"/>
      </w:pPr>
      <w:r w:rsidRPr="000B2B5E">
        <w:rPr>
          <w:b/>
          <w:bCs/>
        </w:rPr>
        <w:t>Low demand for places from pupils residing at the Higher Standen Development</w:t>
      </w:r>
      <w:r w:rsidRPr="000E7285">
        <w:t xml:space="preserve"> </w:t>
      </w:r>
    </w:p>
    <w:p w14:paraId="100C667B" w14:textId="51565267" w:rsidR="000B7B11" w:rsidRDefault="00AA27FD" w:rsidP="000B2B5E">
      <w:pPr>
        <w:ind w:left="360"/>
        <w:jc w:val="both"/>
      </w:pPr>
      <w:r>
        <w:t>The respondent suggest</w:t>
      </w:r>
      <w:r w:rsidR="00297CFD">
        <w:t>ed</w:t>
      </w:r>
      <w:r>
        <w:t xml:space="preserve"> that, based on the housing delivery figures they ha</w:t>
      </w:r>
      <w:r w:rsidR="00297CFD">
        <w:t>d</w:t>
      </w:r>
      <w:r>
        <w:t xml:space="preserve"> provided, there w</w:t>
      </w:r>
      <w:r w:rsidR="00297CFD">
        <w:t>ould</w:t>
      </w:r>
      <w:r>
        <w:t xml:space="preserve"> not be support for new primary school provision.</w:t>
      </w:r>
    </w:p>
    <w:p w14:paraId="6235B4D9" w14:textId="77777777" w:rsidR="00BA117A" w:rsidRDefault="00BA117A" w:rsidP="00BA117A">
      <w:pPr>
        <w:ind w:left="360"/>
        <w:jc w:val="both"/>
      </w:pPr>
    </w:p>
    <w:p w14:paraId="7F6696E5" w14:textId="77A42A55" w:rsidR="007236AC" w:rsidRPr="007236AC" w:rsidRDefault="00AA27FD" w:rsidP="000B2B5E">
      <w:pPr>
        <w:ind w:left="360"/>
        <w:jc w:val="both"/>
      </w:pPr>
      <w:r w:rsidRPr="000B2B5E">
        <w:t>Response</w:t>
      </w:r>
      <w:r w:rsidRPr="00BA117A">
        <w:t>:</w:t>
      </w:r>
      <w:r>
        <w:t xml:space="preserve">  </w:t>
      </w:r>
      <w:r w:rsidR="006549EB" w:rsidRPr="00A001CE">
        <w:t>The respondent argues that the current level of demand from Higher Standen can be used to determine the scale of demand in the future. However, the pupil projections consider pupil place demand</w:t>
      </w:r>
      <w:r w:rsidR="00297CFD">
        <w:t>,</w:t>
      </w:r>
      <w:r w:rsidR="006549EB" w:rsidRPr="00A001CE">
        <w:t xml:space="preserve"> based on pupil yield per dwelling research</w:t>
      </w:r>
      <w:r w:rsidR="00297CFD">
        <w:t>,</w:t>
      </w:r>
      <w:r w:rsidR="006549EB" w:rsidRPr="00A001CE">
        <w:t xml:space="preserve"> and this suggest</w:t>
      </w:r>
      <w:r w:rsidR="006549EB">
        <w:t>s</w:t>
      </w:r>
      <w:r w:rsidR="006549EB" w:rsidRPr="00A001CE">
        <w:t xml:space="preserve"> that additional places are required.  The respondent</w:t>
      </w:r>
      <w:r w:rsidR="006549EB">
        <w:t xml:space="preserve">'s data in relation to the development does not </w:t>
      </w:r>
      <w:r w:rsidR="006549EB" w:rsidRPr="007236AC">
        <w:t xml:space="preserve">reflect the information provided </w:t>
      </w:r>
      <w:r w:rsidR="006549EB">
        <w:t xml:space="preserve">to us </w:t>
      </w:r>
      <w:r w:rsidR="006549EB" w:rsidRPr="007236AC">
        <w:t>by Ribble Valley Borough Council</w:t>
      </w:r>
      <w:r w:rsidR="006549EB">
        <w:t xml:space="preserve"> for school planning purposes.</w:t>
      </w:r>
      <w:r w:rsidR="006549EB" w:rsidRPr="007236AC">
        <w:t xml:space="preserve"> </w:t>
      </w:r>
    </w:p>
    <w:p w14:paraId="1DB7BE63" w14:textId="77777777" w:rsidR="007236AC" w:rsidRDefault="007236AC" w:rsidP="007236AC">
      <w:pPr>
        <w:jc w:val="both"/>
        <w:rPr>
          <w:color w:val="FF0000"/>
        </w:rPr>
      </w:pPr>
    </w:p>
    <w:p w14:paraId="2D0FA4B9" w14:textId="225F28DC" w:rsidR="007236AC" w:rsidRPr="000B2B5E" w:rsidRDefault="00AA27FD" w:rsidP="00A001CE">
      <w:pPr>
        <w:pStyle w:val="ListParagraph"/>
        <w:numPr>
          <w:ilvl w:val="0"/>
          <w:numId w:val="7"/>
        </w:numPr>
        <w:jc w:val="both"/>
        <w:rPr>
          <w:b/>
          <w:bCs/>
        </w:rPr>
      </w:pPr>
      <w:r w:rsidRPr="000B2B5E">
        <w:rPr>
          <w:b/>
          <w:bCs/>
        </w:rPr>
        <w:t>156 of the 1040 dwellings are to be Over 55 provision</w:t>
      </w:r>
    </w:p>
    <w:p w14:paraId="37AF3C9D" w14:textId="7D27884D" w:rsidR="0036070B" w:rsidRPr="00A001CE" w:rsidRDefault="00AA27FD" w:rsidP="000B2B5E">
      <w:pPr>
        <w:ind w:left="360"/>
        <w:jc w:val="both"/>
      </w:pPr>
      <w:r w:rsidRPr="000B2B5E">
        <w:t>Response:</w:t>
      </w:r>
      <w:r w:rsidRPr="00A001CE">
        <w:rPr>
          <w:i/>
          <w:iCs/>
        </w:rPr>
        <w:t xml:space="preserve"> </w:t>
      </w:r>
      <w:r w:rsidRPr="00A001CE">
        <w:t xml:space="preserve">The </w:t>
      </w:r>
      <w:r w:rsidR="000B2B5E">
        <w:t>c</w:t>
      </w:r>
      <w:r w:rsidR="00BA117A">
        <w:t xml:space="preserve">ounty </w:t>
      </w:r>
      <w:r w:rsidR="000B2B5E">
        <w:t>c</w:t>
      </w:r>
      <w:r w:rsidRPr="00A001CE">
        <w:t xml:space="preserve">ouncil is aware of this part of the development </w:t>
      </w:r>
      <w:r w:rsidR="00BA117A">
        <w:t>and has taken this into account when forecasting pupil numbers.</w:t>
      </w:r>
    </w:p>
    <w:p w14:paraId="4C2F0EFE" w14:textId="77777777" w:rsidR="007236AC" w:rsidRPr="0036070B" w:rsidRDefault="007236AC" w:rsidP="007236AC">
      <w:pPr>
        <w:jc w:val="both"/>
        <w:rPr>
          <w:color w:val="FF0000"/>
        </w:rPr>
      </w:pPr>
    </w:p>
    <w:p w14:paraId="445F128B" w14:textId="77777777" w:rsidR="007236AC" w:rsidRPr="004D0755" w:rsidRDefault="00AA27FD" w:rsidP="00A001CE">
      <w:pPr>
        <w:pStyle w:val="ListParagraph"/>
        <w:numPr>
          <w:ilvl w:val="0"/>
          <w:numId w:val="7"/>
        </w:numPr>
        <w:jc w:val="both"/>
        <w:rPr>
          <w:b/>
          <w:bCs/>
        </w:rPr>
      </w:pPr>
      <w:r w:rsidRPr="004D0755">
        <w:rPr>
          <w:b/>
          <w:bCs/>
        </w:rPr>
        <w:t>It is not accepted that Lancashire figures for how many primary school places are currently available is correct</w:t>
      </w:r>
    </w:p>
    <w:p w14:paraId="0E574A65" w14:textId="3244983E" w:rsidR="007236AC" w:rsidRDefault="00AA27FD" w:rsidP="004D0755">
      <w:pPr>
        <w:ind w:left="360"/>
        <w:jc w:val="both"/>
        <w:rPr>
          <w:color w:val="FF0000"/>
        </w:rPr>
      </w:pPr>
      <w:r w:rsidRPr="004D0755">
        <w:t>Response</w:t>
      </w:r>
      <w:r w:rsidRPr="00BA117A">
        <w:t>:</w:t>
      </w:r>
      <w:r w:rsidRPr="00A001CE">
        <w:t xml:space="preserve"> </w:t>
      </w:r>
      <w:r w:rsidR="00677562">
        <w:t xml:space="preserve">The </w:t>
      </w:r>
      <w:r w:rsidR="004D0755">
        <w:t>c</w:t>
      </w:r>
      <w:r w:rsidR="00677562">
        <w:t xml:space="preserve">ounty </w:t>
      </w:r>
      <w:r w:rsidR="004D0755">
        <w:t>c</w:t>
      </w:r>
      <w:r w:rsidR="00677562">
        <w:t>ouncil's</w:t>
      </w:r>
      <w:r w:rsidRPr="00A001CE">
        <w:t xml:space="preserve"> pupil projections are reported to and evaluated by the D</w:t>
      </w:r>
      <w:r w:rsidR="00BA117A">
        <w:t>epartment for Education</w:t>
      </w:r>
      <w:r w:rsidR="00677562">
        <w:t>.</w:t>
      </w:r>
      <w:r w:rsidRPr="00677562">
        <w:t xml:space="preserve">  The pupil projections are considered to have a good level of accuracy</w:t>
      </w:r>
      <w:r w:rsidR="00297CFD">
        <w:t>,</w:t>
      </w:r>
      <w:r w:rsidR="00BA117A">
        <w:t xml:space="preserve"> and n</w:t>
      </w:r>
      <w:r w:rsidRPr="00677562">
        <w:t>o evidence has been provided to support the position that they are incorrect</w:t>
      </w:r>
      <w:r>
        <w:rPr>
          <w:color w:val="FF0000"/>
        </w:rPr>
        <w:t>.</w:t>
      </w:r>
    </w:p>
    <w:p w14:paraId="45CDCDBF" w14:textId="77777777" w:rsidR="007236AC" w:rsidRDefault="007236AC" w:rsidP="007236AC">
      <w:pPr>
        <w:jc w:val="both"/>
        <w:rPr>
          <w:color w:val="FF0000"/>
        </w:rPr>
      </w:pPr>
    </w:p>
    <w:p w14:paraId="035AF60D" w14:textId="35597B79" w:rsidR="007236AC" w:rsidRPr="004D0755" w:rsidRDefault="00AA27FD" w:rsidP="00A001CE">
      <w:pPr>
        <w:pStyle w:val="ListParagraph"/>
        <w:numPr>
          <w:ilvl w:val="0"/>
          <w:numId w:val="7"/>
        </w:numPr>
        <w:jc w:val="both"/>
        <w:rPr>
          <w:b/>
          <w:bCs/>
        </w:rPr>
      </w:pPr>
      <w:r w:rsidRPr="004D0755">
        <w:rPr>
          <w:b/>
          <w:bCs/>
        </w:rPr>
        <w:t xml:space="preserve">The High Standen school site should be used for the provision </w:t>
      </w:r>
      <w:r w:rsidR="00677562" w:rsidRPr="004D0755">
        <w:rPr>
          <w:b/>
          <w:bCs/>
        </w:rPr>
        <w:t>o</w:t>
      </w:r>
      <w:r w:rsidRPr="004D0755">
        <w:rPr>
          <w:b/>
          <w:bCs/>
        </w:rPr>
        <w:t>f secondary school places</w:t>
      </w:r>
    </w:p>
    <w:p w14:paraId="705EA6D6" w14:textId="6FF8F4D0" w:rsidR="007236AC" w:rsidRPr="00A001CE" w:rsidRDefault="00AA27FD" w:rsidP="004D0755">
      <w:pPr>
        <w:ind w:left="360"/>
        <w:jc w:val="both"/>
      </w:pPr>
      <w:r w:rsidRPr="004D0755">
        <w:t>Response:</w:t>
      </w:r>
      <w:r w:rsidRPr="00A001CE">
        <w:t xml:space="preserve">  The school site has been secured as part of a Section 106 agreement.  The requirement to seek the land was based on </w:t>
      </w:r>
      <w:r w:rsidR="00BA117A">
        <w:t xml:space="preserve">evidence of need for </w:t>
      </w:r>
      <w:r w:rsidRPr="00A001CE">
        <w:t xml:space="preserve">primary </w:t>
      </w:r>
      <w:r w:rsidRPr="00A001CE">
        <w:lastRenderedPageBreak/>
        <w:t xml:space="preserve">school </w:t>
      </w:r>
      <w:r w:rsidR="00BA117A">
        <w:t>places</w:t>
      </w:r>
      <w:r w:rsidRPr="00A001CE">
        <w:t xml:space="preserve">. </w:t>
      </w:r>
      <w:r w:rsidR="00677562">
        <w:t>Additional secondary places have already been provided at Ribblesdale High School</w:t>
      </w:r>
      <w:r w:rsidR="00297CFD">
        <w:t>,</w:t>
      </w:r>
      <w:r w:rsidR="00677562">
        <w:t xml:space="preserve"> via an expansion of the school building</w:t>
      </w:r>
      <w:r w:rsidR="00297CFD">
        <w:t>,</w:t>
      </w:r>
      <w:r w:rsidR="00677562">
        <w:t xml:space="preserve"> which created 30 additional places per year from September 2019.</w:t>
      </w:r>
      <w:r w:rsidRPr="00A001CE">
        <w:t xml:space="preserve"> </w:t>
      </w:r>
      <w:r w:rsidR="00BA117A">
        <w:t xml:space="preserve">Proposals </w:t>
      </w:r>
      <w:r w:rsidRPr="00A001CE">
        <w:t xml:space="preserve">are currently being developed to provide additional secondary school places </w:t>
      </w:r>
      <w:r w:rsidR="00BA117A">
        <w:t xml:space="preserve">in the Ribble Valley </w:t>
      </w:r>
      <w:r w:rsidRPr="00A001CE">
        <w:t>from September 2023.</w:t>
      </w:r>
    </w:p>
    <w:p w14:paraId="6DEF1B61" w14:textId="77777777" w:rsidR="00A001CE" w:rsidRPr="00A001CE" w:rsidRDefault="00A001CE" w:rsidP="00A001CE">
      <w:pPr>
        <w:jc w:val="both"/>
        <w:rPr>
          <w:b/>
          <w:bCs/>
          <w:color w:val="FF0000"/>
        </w:rPr>
      </w:pPr>
    </w:p>
    <w:p w14:paraId="1B544DF2" w14:textId="6C0A9B27" w:rsidR="007236AC" w:rsidRPr="00BA117A" w:rsidRDefault="00AA27FD" w:rsidP="00A001CE">
      <w:pPr>
        <w:pStyle w:val="ListParagraph"/>
        <w:numPr>
          <w:ilvl w:val="0"/>
          <w:numId w:val="7"/>
        </w:numPr>
        <w:jc w:val="both"/>
        <w:rPr>
          <w:b/>
          <w:bCs/>
          <w:color w:val="FF0000"/>
        </w:rPr>
      </w:pPr>
      <w:r w:rsidRPr="004D0755">
        <w:rPr>
          <w:b/>
          <w:bCs/>
        </w:rPr>
        <w:t>Ribble</w:t>
      </w:r>
      <w:r w:rsidR="00A001CE" w:rsidRPr="004D0755">
        <w:rPr>
          <w:b/>
          <w:bCs/>
        </w:rPr>
        <w:t>s</w:t>
      </w:r>
      <w:r w:rsidRPr="004D0755">
        <w:rPr>
          <w:b/>
          <w:bCs/>
        </w:rPr>
        <w:t>dale</w:t>
      </w:r>
      <w:r w:rsidR="00677562" w:rsidRPr="004D0755">
        <w:rPr>
          <w:b/>
          <w:bCs/>
        </w:rPr>
        <w:t>,</w:t>
      </w:r>
      <w:r w:rsidRPr="004D0755">
        <w:rPr>
          <w:b/>
          <w:bCs/>
        </w:rPr>
        <w:t xml:space="preserve"> as a provider of primary places will affect other school's ability to attract new pupils, with pupils applying to Ribblesdale in order to have access to secondary provision</w:t>
      </w:r>
      <w:r w:rsidRPr="00BA117A">
        <w:rPr>
          <w:b/>
          <w:bCs/>
        </w:rPr>
        <w:t>.</w:t>
      </w:r>
    </w:p>
    <w:p w14:paraId="0C3F00E1" w14:textId="1E536AAA" w:rsidR="007236AC" w:rsidRPr="00A001CE" w:rsidRDefault="00AA27FD" w:rsidP="004D0755">
      <w:pPr>
        <w:ind w:left="360"/>
        <w:jc w:val="both"/>
      </w:pPr>
      <w:r w:rsidRPr="004D0755">
        <w:t>Response</w:t>
      </w:r>
      <w:r w:rsidR="00677562" w:rsidRPr="004D0755">
        <w:t>:</w:t>
      </w:r>
      <w:r w:rsidR="00677562" w:rsidRPr="00A001CE">
        <w:t xml:space="preserve"> </w:t>
      </w:r>
      <w:r w:rsidRPr="00A001CE">
        <w:t xml:space="preserve">This </w:t>
      </w:r>
      <w:r w:rsidR="00677562">
        <w:t>c</w:t>
      </w:r>
      <w:r w:rsidRPr="00A001CE">
        <w:t>ould be the case</w:t>
      </w:r>
      <w:r w:rsidR="00297CFD">
        <w:t>,</w:t>
      </w:r>
      <w:r w:rsidRPr="00A001CE">
        <w:t xml:space="preserve"> regardless of whether the additional places were provided at the Ribblesdale all through school or by establishing a new school</w:t>
      </w:r>
      <w:r w:rsidR="00297CFD">
        <w:t>.</w:t>
      </w:r>
    </w:p>
    <w:p w14:paraId="6811618C" w14:textId="77777777" w:rsidR="007236AC" w:rsidRDefault="007236AC" w:rsidP="007236AC">
      <w:pPr>
        <w:jc w:val="both"/>
        <w:rPr>
          <w:color w:val="FF0000"/>
        </w:rPr>
      </w:pPr>
    </w:p>
    <w:p w14:paraId="7DD81F55" w14:textId="77777777" w:rsidR="007236AC" w:rsidRPr="004D0755" w:rsidRDefault="00AA27FD" w:rsidP="00A001CE">
      <w:pPr>
        <w:pStyle w:val="ListParagraph"/>
        <w:numPr>
          <w:ilvl w:val="0"/>
          <w:numId w:val="7"/>
        </w:numPr>
        <w:jc w:val="both"/>
        <w:rPr>
          <w:b/>
          <w:bCs/>
        </w:rPr>
      </w:pPr>
      <w:r w:rsidRPr="004D0755">
        <w:rPr>
          <w:b/>
          <w:bCs/>
        </w:rPr>
        <w:t>The all through school would not only provide places in reception but also provide some places in higher year groups to address demand from siblings or reception pupils.</w:t>
      </w:r>
    </w:p>
    <w:p w14:paraId="4327E185" w14:textId="2CAD4EEC" w:rsidR="007236AC" w:rsidRPr="00F93A91" w:rsidRDefault="00AA27FD" w:rsidP="004D0755">
      <w:pPr>
        <w:ind w:left="360"/>
        <w:jc w:val="both"/>
      </w:pPr>
      <w:r w:rsidRPr="004D0755">
        <w:t>Response</w:t>
      </w:r>
      <w:r w:rsidRPr="00BA117A">
        <w:t>:</w:t>
      </w:r>
      <w:r w:rsidRPr="00F93A91">
        <w:t xml:space="preserve"> Admission and operating arrangements are currently being considered in partnership with Ribble</w:t>
      </w:r>
      <w:r>
        <w:t>s</w:t>
      </w:r>
      <w:r w:rsidRPr="00F93A91">
        <w:t>dale High School, although these arrangements are yet to be finalised.</w:t>
      </w:r>
    </w:p>
    <w:p w14:paraId="4D0CBCDE" w14:textId="77777777" w:rsidR="00F0423C" w:rsidRDefault="00F0423C" w:rsidP="00412A83">
      <w:pPr>
        <w:jc w:val="both"/>
        <w:rPr>
          <w:b/>
          <w:bCs/>
        </w:rPr>
      </w:pPr>
    </w:p>
    <w:p w14:paraId="76A7D7B6" w14:textId="0A7FF156" w:rsidR="007236AC" w:rsidRPr="004D0755" w:rsidRDefault="00AA27FD" w:rsidP="00412A83">
      <w:pPr>
        <w:jc w:val="both"/>
      </w:pPr>
      <w:r w:rsidRPr="004D0755">
        <w:t xml:space="preserve">The following are </w:t>
      </w:r>
      <w:r w:rsidR="00A001CE" w:rsidRPr="004D0755">
        <w:t xml:space="preserve">other </w:t>
      </w:r>
      <w:r w:rsidRPr="004D0755">
        <w:t xml:space="preserve">matters which </w:t>
      </w:r>
      <w:r w:rsidR="00BA117A">
        <w:t>Cabinet is asked to</w:t>
      </w:r>
      <w:r w:rsidRPr="004D0755">
        <w:t xml:space="preserve"> consider when making the decision on the proposal.</w:t>
      </w:r>
    </w:p>
    <w:p w14:paraId="0B482788" w14:textId="77777777" w:rsidR="00A11B16" w:rsidRPr="00F93A91" w:rsidRDefault="00A11B16" w:rsidP="00412A83">
      <w:pPr>
        <w:jc w:val="both"/>
        <w:rPr>
          <w:b/>
          <w:bCs/>
          <w:color w:val="FF0000"/>
        </w:rPr>
      </w:pPr>
    </w:p>
    <w:p w14:paraId="19714935" w14:textId="1E315929" w:rsidR="008D5E76" w:rsidRPr="004D0755" w:rsidRDefault="00AA27FD" w:rsidP="00412A83">
      <w:pPr>
        <w:pStyle w:val="Default"/>
        <w:jc w:val="both"/>
      </w:pPr>
      <w:r w:rsidRPr="003541B9">
        <w:rPr>
          <w:b/>
          <w:bCs/>
          <w:color w:val="auto"/>
        </w:rPr>
        <w:t>Education standards and diversity of provision</w:t>
      </w:r>
      <w:r w:rsidRPr="003541B9">
        <w:rPr>
          <w:bCs/>
          <w:color w:val="auto"/>
        </w:rPr>
        <w:t xml:space="preserve">: </w:t>
      </w:r>
      <w:r w:rsidRPr="004D0755">
        <w:t>Education standards and diversity of provision Decision-makers should consider the quality and diversity of schools in the relevant area</w:t>
      </w:r>
      <w:r w:rsidR="00297CFD">
        <w:t>,</w:t>
      </w:r>
      <w:r w:rsidRPr="004D0755">
        <w:t xml:space="preserve"> and whether the proposal will meet or affect the needs of parents, raise local standards and narrow attainment gaps.</w:t>
      </w:r>
    </w:p>
    <w:p w14:paraId="0DF96AB9" w14:textId="77777777" w:rsidR="008F4168" w:rsidRPr="00F93A91" w:rsidRDefault="008F4168" w:rsidP="00412A83">
      <w:pPr>
        <w:pStyle w:val="Default"/>
        <w:jc w:val="both"/>
        <w:rPr>
          <w:i/>
          <w:iCs/>
          <w:color w:val="FF0000"/>
        </w:rPr>
      </w:pPr>
    </w:p>
    <w:p w14:paraId="16113A06" w14:textId="3CD4CC2B" w:rsidR="00640C27" w:rsidRDefault="00AA27FD" w:rsidP="00E96F49">
      <w:pPr>
        <w:jc w:val="both"/>
        <w:rPr>
          <w:rFonts w:cs="Arial"/>
          <w:szCs w:val="24"/>
        </w:rPr>
      </w:pPr>
      <w:r>
        <w:t xml:space="preserve">Ribblesdale High </w:t>
      </w:r>
      <w:r w:rsidR="00BA117A">
        <w:t xml:space="preserve">School </w:t>
      </w:r>
      <w:r w:rsidR="00F03CE6" w:rsidRPr="00E96F49">
        <w:rPr>
          <w:rFonts w:cs="Arial"/>
          <w:szCs w:val="24"/>
        </w:rPr>
        <w:t xml:space="preserve">is a successful and popular community </w:t>
      </w:r>
      <w:r w:rsidR="00A34C9A">
        <w:rPr>
          <w:rFonts w:cs="Arial"/>
          <w:szCs w:val="24"/>
        </w:rPr>
        <w:t>s</w:t>
      </w:r>
      <w:r w:rsidRPr="00F93A91">
        <w:rPr>
          <w:rFonts w:cs="Arial"/>
          <w:szCs w:val="24"/>
        </w:rPr>
        <w:t xml:space="preserve">econdary </w:t>
      </w:r>
      <w:r w:rsidR="00F03CE6" w:rsidRPr="00E96F49">
        <w:rPr>
          <w:rFonts w:cs="Arial"/>
          <w:szCs w:val="24"/>
        </w:rPr>
        <w:t>school</w:t>
      </w:r>
      <w:r w:rsidR="00297CFD">
        <w:rPr>
          <w:rFonts w:cs="Arial"/>
          <w:szCs w:val="24"/>
        </w:rPr>
        <w:t>,</w:t>
      </w:r>
      <w:r w:rsidR="00F03CE6" w:rsidRPr="00E96F49">
        <w:rPr>
          <w:rFonts w:cs="Arial"/>
          <w:szCs w:val="24"/>
        </w:rPr>
        <w:t xml:space="preserve"> serving its particular community as well as attracting pupils from a wider area</w:t>
      </w:r>
      <w:r w:rsidRPr="00F93A91">
        <w:rPr>
          <w:rFonts w:cs="Arial"/>
          <w:szCs w:val="24"/>
        </w:rPr>
        <w:t>.</w:t>
      </w:r>
      <w:r w:rsidR="00F03CE6" w:rsidRPr="00E96F49">
        <w:rPr>
          <w:rFonts w:cs="Arial"/>
          <w:szCs w:val="24"/>
        </w:rPr>
        <w:t xml:space="preserve"> </w:t>
      </w:r>
      <w:r w:rsidRPr="00F93A91">
        <w:rPr>
          <w:rFonts w:cs="Arial"/>
          <w:szCs w:val="24"/>
        </w:rPr>
        <w:t xml:space="preserve">The school has successfully expanded its offer to additional secondary pupils via a </w:t>
      </w:r>
      <w:r w:rsidR="00BA117A">
        <w:rPr>
          <w:rFonts w:cs="Arial"/>
          <w:szCs w:val="24"/>
        </w:rPr>
        <w:t>B</w:t>
      </w:r>
      <w:r w:rsidRPr="00F93A91">
        <w:rPr>
          <w:rFonts w:cs="Arial"/>
          <w:szCs w:val="24"/>
        </w:rPr>
        <w:t xml:space="preserve">asic </w:t>
      </w:r>
      <w:r w:rsidR="00BA117A">
        <w:rPr>
          <w:rFonts w:cs="Arial"/>
          <w:szCs w:val="24"/>
        </w:rPr>
        <w:t>N</w:t>
      </w:r>
      <w:r w:rsidRPr="00F93A91">
        <w:rPr>
          <w:rFonts w:cs="Arial"/>
          <w:szCs w:val="24"/>
        </w:rPr>
        <w:t>eed</w:t>
      </w:r>
      <w:r w:rsidR="00BA117A">
        <w:rPr>
          <w:rFonts w:cs="Arial"/>
          <w:szCs w:val="24"/>
        </w:rPr>
        <w:t xml:space="preserve"> Programme</w:t>
      </w:r>
      <w:r w:rsidRPr="00F93A91">
        <w:rPr>
          <w:rFonts w:cs="Arial"/>
          <w:szCs w:val="24"/>
        </w:rPr>
        <w:t xml:space="preserve"> expansion</w:t>
      </w:r>
      <w:r w:rsidR="00297CFD">
        <w:rPr>
          <w:rFonts w:cs="Arial"/>
          <w:szCs w:val="24"/>
        </w:rPr>
        <w:t>,</w:t>
      </w:r>
      <w:r w:rsidRPr="00F93A91">
        <w:rPr>
          <w:rFonts w:cs="Arial"/>
          <w:szCs w:val="24"/>
        </w:rPr>
        <w:t xml:space="preserve"> which increased its admission number from 255 to 285 per year from 2019</w:t>
      </w:r>
      <w:r w:rsidR="00297CFD">
        <w:rPr>
          <w:rFonts w:cs="Arial"/>
          <w:szCs w:val="24"/>
        </w:rPr>
        <w:t>. I</w:t>
      </w:r>
      <w:r w:rsidRPr="00F93A91">
        <w:rPr>
          <w:rFonts w:cs="Arial"/>
          <w:szCs w:val="24"/>
        </w:rPr>
        <w:t xml:space="preserve">ts popularity sees these places fill. </w:t>
      </w:r>
    </w:p>
    <w:p w14:paraId="6DFFD781" w14:textId="77777777" w:rsidR="000B7B11" w:rsidRDefault="000B7B11" w:rsidP="00E96F49">
      <w:pPr>
        <w:jc w:val="both"/>
        <w:rPr>
          <w:rFonts w:cs="Arial"/>
          <w:szCs w:val="24"/>
        </w:rPr>
      </w:pPr>
    </w:p>
    <w:p w14:paraId="76951409" w14:textId="414BBE66" w:rsidR="009E4614" w:rsidRPr="00994F18" w:rsidRDefault="00AA27FD" w:rsidP="00E75183">
      <w:pPr>
        <w:jc w:val="both"/>
        <w:rPr>
          <w:rFonts w:cs="Arial"/>
          <w:color w:val="000000" w:themeColor="text1"/>
          <w:szCs w:val="24"/>
        </w:rPr>
      </w:pPr>
      <w:r w:rsidRPr="00893092">
        <w:t xml:space="preserve">The </w:t>
      </w:r>
      <w:r w:rsidR="00A001CE">
        <w:t>la</w:t>
      </w:r>
      <w:r w:rsidR="00BA117A">
        <w:t>test</w:t>
      </w:r>
      <w:r w:rsidR="00A001CE">
        <w:t xml:space="preserve"> </w:t>
      </w:r>
      <w:r w:rsidRPr="00893092">
        <w:t xml:space="preserve">Ofsted Inspection in </w:t>
      </w:r>
      <w:r w:rsidRPr="00D02FBD">
        <w:t>February 2020</w:t>
      </w:r>
      <w:r w:rsidRPr="00893092">
        <w:t xml:space="preserve"> graded the school as 'good.' </w:t>
      </w:r>
      <w:r>
        <w:t xml:space="preserve">The school also performs above both national and Lancashire averages when measured against </w:t>
      </w:r>
      <w:r w:rsidRPr="00994F18">
        <w:rPr>
          <w:rFonts w:cs="Arial"/>
          <w:color w:val="000000" w:themeColor="text1"/>
          <w:szCs w:val="24"/>
        </w:rPr>
        <w:t>Attainment 8</w:t>
      </w:r>
      <w:r>
        <w:rPr>
          <w:rFonts w:cs="Arial"/>
          <w:color w:val="000000" w:themeColor="text1"/>
          <w:szCs w:val="24"/>
        </w:rPr>
        <w:t xml:space="preserve">; </w:t>
      </w:r>
      <w:r w:rsidRPr="00994F18">
        <w:rPr>
          <w:rFonts w:cs="Arial"/>
          <w:color w:val="000000" w:themeColor="text1"/>
          <w:szCs w:val="24"/>
        </w:rPr>
        <w:t>Basics grade 5+ (combined English and mathematics</w:t>
      </w:r>
      <w:r>
        <w:rPr>
          <w:rFonts w:cs="Arial"/>
          <w:color w:val="000000" w:themeColor="text1"/>
          <w:szCs w:val="24"/>
        </w:rPr>
        <w:t xml:space="preserve">); and </w:t>
      </w:r>
      <w:r w:rsidRPr="00994F18">
        <w:rPr>
          <w:rFonts w:cs="Arial"/>
          <w:color w:val="000000" w:themeColor="text1"/>
          <w:szCs w:val="24"/>
        </w:rPr>
        <w:t>EBacc average points score</w:t>
      </w:r>
      <w:r>
        <w:rPr>
          <w:rFonts w:cs="Arial"/>
          <w:color w:val="000000" w:themeColor="text1"/>
          <w:szCs w:val="24"/>
        </w:rPr>
        <w:t>.</w:t>
      </w:r>
      <w:r w:rsidRPr="00994F18">
        <w:rPr>
          <w:rFonts w:cs="Arial"/>
          <w:color w:val="000000" w:themeColor="text1"/>
          <w:szCs w:val="24"/>
        </w:rPr>
        <w:t xml:space="preserve"> </w:t>
      </w:r>
    </w:p>
    <w:p w14:paraId="54173A04" w14:textId="77777777" w:rsidR="00E96F49" w:rsidRPr="00E96F49" w:rsidRDefault="00E96F49" w:rsidP="00F93A91">
      <w:pPr>
        <w:jc w:val="both"/>
      </w:pPr>
    </w:p>
    <w:p w14:paraId="2DEBA583" w14:textId="2F3B26B5" w:rsidR="00E948E2" w:rsidRDefault="00AA27FD" w:rsidP="00412A83">
      <w:pPr>
        <w:pStyle w:val="Default"/>
        <w:jc w:val="both"/>
        <w:rPr>
          <w:color w:val="auto"/>
        </w:rPr>
      </w:pPr>
      <w:r w:rsidRPr="00E96F49">
        <w:rPr>
          <w:color w:val="auto"/>
        </w:rPr>
        <w:t>This is a proposed expansion of a community school</w:t>
      </w:r>
      <w:r w:rsidR="000B7B11">
        <w:rPr>
          <w:color w:val="auto"/>
        </w:rPr>
        <w:t xml:space="preserve"> and</w:t>
      </w:r>
      <w:r w:rsidRPr="00E96F49">
        <w:rPr>
          <w:color w:val="auto"/>
        </w:rPr>
        <w:t xml:space="preserve"> does not fall under the academy presumption.</w:t>
      </w:r>
    </w:p>
    <w:p w14:paraId="2F07A409" w14:textId="21E49C2A" w:rsidR="0036070B" w:rsidRDefault="0036070B" w:rsidP="00412A83">
      <w:pPr>
        <w:pStyle w:val="Default"/>
        <w:jc w:val="both"/>
        <w:rPr>
          <w:color w:val="auto"/>
        </w:rPr>
      </w:pPr>
    </w:p>
    <w:p w14:paraId="5A47C050" w14:textId="08AF7CF0" w:rsidR="0036070B" w:rsidRPr="00E96F49" w:rsidRDefault="00AA27FD" w:rsidP="00412A83">
      <w:pPr>
        <w:pStyle w:val="Default"/>
        <w:jc w:val="both"/>
        <w:rPr>
          <w:color w:val="auto"/>
        </w:rPr>
      </w:pPr>
      <w:r>
        <w:rPr>
          <w:color w:val="auto"/>
        </w:rPr>
        <w:t>The expansion of Ribblesdale's age range to provide a</w:t>
      </w:r>
      <w:r w:rsidR="00A51A3C">
        <w:rPr>
          <w:color w:val="auto"/>
        </w:rPr>
        <w:t>n</w:t>
      </w:r>
      <w:r>
        <w:rPr>
          <w:color w:val="auto"/>
        </w:rPr>
        <w:t xml:space="preserve"> all through school will also provide an alternative offer to increase the diversity of provision</w:t>
      </w:r>
      <w:r w:rsidR="00C12FDE">
        <w:rPr>
          <w:color w:val="auto"/>
        </w:rPr>
        <w:t xml:space="preserve"> in the area</w:t>
      </w:r>
      <w:r>
        <w:rPr>
          <w:color w:val="auto"/>
        </w:rPr>
        <w:t>.</w:t>
      </w:r>
    </w:p>
    <w:p w14:paraId="4439684F" w14:textId="77777777" w:rsidR="00640C27" w:rsidRPr="00F93A91" w:rsidRDefault="00640C27" w:rsidP="00412A83">
      <w:pPr>
        <w:pStyle w:val="Default"/>
        <w:jc w:val="both"/>
        <w:rPr>
          <w:color w:val="FF0000"/>
          <w:highlight w:val="yellow"/>
        </w:rPr>
      </w:pPr>
    </w:p>
    <w:p w14:paraId="696370BE" w14:textId="01D7D342" w:rsidR="00CB3A88" w:rsidRPr="00E96F49" w:rsidRDefault="00AA27FD" w:rsidP="00412A83">
      <w:pPr>
        <w:pStyle w:val="Default"/>
        <w:jc w:val="both"/>
        <w:rPr>
          <w:i/>
          <w:color w:val="auto"/>
        </w:rPr>
      </w:pPr>
      <w:r w:rsidRPr="00E96F49">
        <w:rPr>
          <w:b/>
          <w:bCs/>
          <w:color w:val="auto"/>
        </w:rPr>
        <w:t>Demand</w:t>
      </w:r>
      <w:r w:rsidR="00BA117A">
        <w:rPr>
          <w:b/>
          <w:bCs/>
          <w:color w:val="auto"/>
        </w:rPr>
        <w:t xml:space="preserve"> for school places</w:t>
      </w:r>
      <w:r w:rsidRPr="00E96F49">
        <w:rPr>
          <w:b/>
          <w:bCs/>
          <w:color w:val="auto"/>
        </w:rPr>
        <w:t xml:space="preserve">: </w:t>
      </w:r>
      <w:r w:rsidRPr="004D0755">
        <w:rPr>
          <w:bCs/>
          <w:iCs/>
          <w:color w:val="auto"/>
        </w:rPr>
        <w:t>In assessing the demand for new school places</w:t>
      </w:r>
      <w:r w:rsidR="00297CFD">
        <w:rPr>
          <w:bCs/>
          <w:iCs/>
          <w:color w:val="auto"/>
        </w:rPr>
        <w:t>,</w:t>
      </w:r>
      <w:r w:rsidRPr="004D0755">
        <w:rPr>
          <w:bCs/>
          <w:iCs/>
          <w:color w:val="auto"/>
        </w:rPr>
        <w:t xml:space="preserve"> the d</w:t>
      </w:r>
      <w:r w:rsidRPr="004D0755">
        <w:rPr>
          <w:iCs/>
          <w:color w:val="auto"/>
        </w:rPr>
        <w:t xml:space="preserve">ecision-makers should consider the evidence presented for any projected increase in pupil population (such as planned housing developments) and any new provision opening in the area (including free schools). The decision-maker should take into account the quality and popularity of the schools in which spare capacity exists and evidence of parents’ aspirations for a new school or for places in a school proposed for expansion. The existence of surplus capacity in neighbouring less popular schools should not in itself prevent the addition of new places. Reducing surplus places is not </w:t>
      </w:r>
      <w:r w:rsidRPr="004D0755">
        <w:rPr>
          <w:iCs/>
          <w:color w:val="auto"/>
        </w:rPr>
        <w:lastRenderedPageBreak/>
        <w:t xml:space="preserve">a priority (unless running at very high levels). For parental choice to work effectively there may be some surplus capacity in the system as a whole. Competition from additional schools and places in the system will lead to pressure on existing schools to improve standards. </w:t>
      </w:r>
    </w:p>
    <w:p w14:paraId="26E92542" w14:textId="77777777" w:rsidR="00CB3A88" w:rsidRPr="00F93A91" w:rsidRDefault="00CB3A88" w:rsidP="00412A83">
      <w:pPr>
        <w:pStyle w:val="Default"/>
        <w:jc w:val="both"/>
        <w:rPr>
          <w:color w:val="FF0000"/>
          <w:highlight w:val="yellow"/>
        </w:rPr>
      </w:pPr>
    </w:p>
    <w:p w14:paraId="59470E98" w14:textId="0E6987B6" w:rsidR="00D50216" w:rsidRDefault="00AA27FD" w:rsidP="00412A83">
      <w:pPr>
        <w:jc w:val="both"/>
        <w:rPr>
          <w:rFonts w:cs="Arial"/>
          <w:szCs w:val="24"/>
        </w:rPr>
      </w:pPr>
      <w:r w:rsidRPr="00BA117A">
        <w:rPr>
          <w:rFonts w:cs="Arial"/>
          <w:szCs w:val="24"/>
        </w:rPr>
        <w:t>A</w:t>
      </w:r>
      <w:r w:rsidRPr="00F93A91">
        <w:rPr>
          <w:rFonts w:cs="Arial"/>
          <w:szCs w:val="24"/>
        </w:rPr>
        <w:t xml:space="preserve"> sustained increase in the number of births in the </w:t>
      </w:r>
      <w:r w:rsidR="00E96F49" w:rsidRPr="00F93A91">
        <w:rPr>
          <w:rFonts w:cs="Arial"/>
          <w:szCs w:val="24"/>
        </w:rPr>
        <w:t xml:space="preserve">Clitheroe area as a result of significant housing development </w:t>
      </w:r>
      <w:r w:rsidRPr="00F93A91">
        <w:rPr>
          <w:rFonts w:cs="Arial"/>
          <w:szCs w:val="24"/>
        </w:rPr>
        <w:t>means that, as local children reach statutory school age, there may not be sufficient places in this area to meet the demand for September 20</w:t>
      </w:r>
      <w:r w:rsidR="00E96F49" w:rsidRPr="00F93A91">
        <w:rPr>
          <w:rFonts w:cs="Arial"/>
          <w:szCs w:val="24"/>
        </w:rPr>
        <w:t>23</w:t>
      </w:r>
      <w:r w:rsidRPr="00F93A91">
        <w:rPr>
          <w:rFonts w:cs="Arial"/>
          <w:szCs w:val="24"/>
        </w:rPr>
        <w:t xml:space="preserve"> and beyond.</w:t>
      </w:r>
    </w:p>
    <w:p w14:paraId="0938B67F" w14:textId="77777777" w:rsidR="00640C27" w:rsidRPr="00F93A91" w:rsidRDefault="00640C27" w:rsidP="00412A83">
      <w:pPr>
        <w:pStyle w:val="Default"/>
        <w:jc w:val="both"/>
        <w:rPr>
          <w:color w:val="FF0000"/>
          <w:highlight w:val="yellow"/>
        </w:rPr>
      </w:pPr>
    </w:p>
    <w:p w14:paraId="5FBDDDA8" w14:textId="0B48B77D" w:rsidR="00CB3A88" w:rsidRPr="00893092" w:rsidRDefault="00AA27FD" w:rsidP="00412A83">
      <w:pPr>
        <w:pStyle w:val="Default"/>
        <w:jc w:val="both"/>
        <w:rPr>
          <w:i/>
          <w:color w:val="auto"/>
        </w:rPr>
      </w:pPr>
      <w:r w:rsidRPr="00893092">
        <w:rPr>
          <w:b/>
          <w:bCs/>
          <w:color w:val="auto"/>
        </w:rPr>
        <w:t xml:space="preserve">School size: </w:t>
      </w:r>
      <w:r w:rsidRPr="004D0755">
        <w:rPr>
          <w:iCs/>
          <w:color w:val="auto"/>
        </w:rPr>
        <w:t>Decision-makers should not make blanket assumptions that schools should be of a certain size to be good schools, although the viability and cost-effectiveness of a proposal is an important factor for consideration. The decision-maker should also consider the impact on the</w:t>
      </w:r>
      <w:r w:rsidR="00297CFD">
        <w:rPr>
          <w:iCs/>
          <w:color w:val="auto"/>
        </w:rPr>
        <w:t xml:space="preserve"> local authority's</w:t>
      </w:r>
      <w:r w:rsidRPr="004D0755">
        <w:rPr>
          <w:iCs/>
          <w:color w:val="auto"/>
        </w:rPr>
        <w:t xml:space="preserve"> budget</w:t>
      </w:r>
      <w:r w:rsidR="00297CFD">
        <w:rPr>
          <w:iCs/>
          <w:color w:val="auto"/>
        </w:rPr>
        <w:t>,</w:t>
      </w:r>
      <w:r w:rsidRPr="004D0755">
        <w:rPr>
          <w:iCs/>
          <w:color w:val="auto"/>
        </w:rPr>
        <w:t xml:space="preserve"> of the need to provide additional funding to a small school to compensate for its size.</w:t>
      </w:r>
      <w:r w:rsidRPr="00893092">
        <w:rPr>
          <w:i/>
          <w:color w:val="auto"/>
        </w:rPr>
        <w:t xml:space="preserve"> </w:t>
      </w:r>
    </w:p>
    <w:p w14:paraId="11ED66BA" w14:textId="77777777" w:rsidR="008D5E76" w:rsidRPr="00893092" w:rsidRDefault="008D5E76" w:rsidP="00412A83">
      <w:pPr>
        <w:pStyle w:val="ListParagraph"/>
        <w:ind w:left="360" w:hanging="360"/>
        <w:jc w:val="both"/>
        <w:rPr>
          <w:b/>
          <w:bCs/>
          <w:color w:val="FF0000"/>
          <w:szCs w:val="24"/>
        </w:rPr>
      </w:pPr>
    </w:p>
    <w:p w14:paraId="4283C761" w14:textId="18F9BDC8" w:rsidR="009A3163" w:rsidRPr="00F93A91" w:rsidRDefault="00AA27FD" w:rsidP="00F93A91">
      <w:pPr>
        <w:autoSpaceDE w:val="0"/>
        <w:autoSpaceDN w:val="0"/>
        <w:adjustRightInd w:val="0"/>
        <w:jc w:val="both"/>
        <w:rPr>
          <w:rFonts w:cs="Arial"/>
          <w:szCs w:val="24"/>
        </w:rPr>
      </w:pPr>
      <w:r>
        <w:rPr>
          <w:rFonts w:cs="Arial"/>
          <w:szCs w:val="24"/>
        </w:rPr>
        <w:t>The primary phase of the school (with a capacity of 210</w:t>
      </w:r>
      <w:r w:rsidR="00AB744A">
        <w:rPr>
          <w:rFonts w:cs="Arial"/>
          <w:szCs w:val="24"/>
        </w:rPr>
        <w:t xml:space="preserve"> places</w:t>
      </w:r>
      <w:r>
        <w:rPr>
          <w:rFonts w:cs="Arial"/>
          <w:szCs w:val="24"/>
        </w:rPr>
        <w:t xml:space="preserve">) </w:t>
      </w:r>
      <w:r w:rsidR="00005611">
        <w:rPr>
          <w:rFonts w:cs="Arial"/>
          <w:szCs w:val="24"/>
        </w:rPr>
        <w:t>will be similar in size to many schools across Lancashire. The provision of places as part of Ribble</w:t>
      </w:r>
      <w:r w:rsidR="00283FD3">
        <w:rPr>
          <w:rFonts w:cs="Arial"/>
          <w:szCs w:val="24"/>
        </w:rPr>
        <w:t>s</w:t>
      </w:r>
      <w:r w:rsidR="00005611">
        <w:rPr>
          <w:rFonts w:cs="Arial"/>
          <w:szCs w:val="24"/>
        </w:rPr>
        <w:t>dale High School should provide greater stability for the new provision during a period of growth than would be provided in a new school.</w:t>
      </w:r>
    </w:p>
    <w:p w14:paraId="5484B379" w14:textId="77777777" w:rsidR="00A674D0" w:rsidRPr="00F93A91" w:rsidRDefault="00A674D0" w:rsidP="00412A83">
      <w:pPr>
        <w:pStyle w:val="ListParagraph"/>
        <w:ind w:left="360" w:hanging="360"/>
        <w:jc w:val="both"/>
        <w:rPr>
          <w:rFonts w:ascii="TT1ACDBFo00" w:hAnsi="TT1ACDBFo00" w:cs="TT1ACDBFo00"/>
          <w:szCs w:val="24"/>
          <w:highlight w:val="yellow"/>
        </w:rPr>
      </w:pPr>
    </w:p>
    <w:p w14:paraId="7CB6D097" w14:textId="7FB3DFB1" w:rsidR="00CB3A88" w:rsidRPr="00B22EC8" w:rsidRDefault="00AA27FD" w:rsidP="00412A83">
      <w:pPr>
        <w:pStyle w:val="Default"/>
        <w:jc w:val="both"/>
        <w:rPr>
          <w:i/>
          <w:color w:val="auto"/>
        </w:rPr>
      </w:pPr>
      <w:r w:rsidRPr="00B22EC8">
        <w:rPr>
          <w:b/>
          <w:bCs/>
          <w:color w:val="auto"/>
        </w:rPr>
        <w:t xml:space="preserve">Proposed admission arrangements (including post-16 provision): </w:t>
      </w:r>
      <w:r w:rsidRPr="004D0755">
        <w:rPr>
          <w:iCs/>
          <w:color w:val="auto"/>
        </w:rPr>
        <w:t xml:space="preserve">In assessing demand the decision-maker should consider all expected admission applications, not only those from the area of the </w:t>
      </w:r>
      <w:r w:rsidR="00297CFD">
        <w:rPr>
          <w:iCs/>
          <w:color w:val="auto"/>
        </w:rPr>
        <w:t>local authority</w:t>
      </w:r>
      <w:r w:rsidRPr="004D0755">
        <w:rPr>
          <w:iCs/>
          <w:color w:val="auto"/>
        </w:rPr>
        <w:t xml:space="preserve"> in which the school is situated. Before approving a proposal that is likely to affect admissions to the school</w:t>
      </w:r>
      <w:r w:rsidR="00297CFD">
        <w:rPr>
          <w:iCs/>
          <w:color w:val="auto"/>
        </w:rPr>
        <w:t>,</w:t>
      </w:r>
      <w:r w:rsidRPr="004D0755">
        <w:rPr>
          <w:iCs/>
          <w:color w:val="auto"/>
        </w:rPr>
        <w:t xml:space="preserve"> the decision-maker should confirm that the admission arrangements of the school are compliant with the School Admissions Code. Although the decision-maker cannot modify proposed admission arrangements, the decision-maker should inform the proposer where arrangements seem unsatisfactory</w:t>
      </w:r>
      <w:r w:rsidR="00AB744A">
        <w:rPr>
          <w:iCs/>
          <w:color w:val="auto"/>
        </w:rPr>
        <w:t>,</w:t>
      </w:r>
      <w:r w:rsidRPr="004D0755">
        <w:rPr>
          <w:iCs/>
          <w:color w:val="auto"/>
        </w:rPr>
        <w:t xml:space="preserve"> and the admission authority should be given the opportunity to revise them. </w:t>
      </w:r>
    </w:p>
    <w:p w14:paraId="0C6D22AD" w14:textId="77777777" w:rsidR="00CB3A88" w:rsidRPr="00B22EC8" w:rsidRDefault="00CB3A88" w:rsidP="00412A83">
      <w:pPr>
        <w:pStyle w:val="Default"/>
        <w:jc w:val="both"/>
        <w:rPr>
          <w:color w:val="auto"/>
        </w:rPr>
      </w:pPr>
    </w:p>
    <w:p w14:paraId="51D7F707" w14:textId="22A52FE0" w:rsidR="00D24146" w:rsidRPr="00B22EC8" w:rsidRDefault="00AA27FD" w:rsidP="00D24146">
      <w:pPr>
        <w:jc w:val="both"/>
        <w:rPr>
          <w:rFonts w:cs="Arial"/>
          <w:iCs/>
          <w:szCs w:val="24"/>
        </w:rPr>
      </w:pPr>
      <w:r w:rsidRPr="00B22EC8">
        <w:rPr>
          <w:rFonts w:cs="Arial"/>
          <w:iCs/>
          <w:szCs w:val="24"/>
        </w:rPr>
        <w:t>When considering future need for school places</w:t>
      </w:r>
      <w:r w:rsidR="00297CFD">
        <w:rPr>
          <w:rFonts w:cs="Arial"/>
          <w:iCs/>
          <w:szCs w:val="24"/>
        </w:rPr>
        <w:t>,</w:t>
      </w:r>
      <w:r w:rsidRPr="00B22EC8">
        <w:rPr>
          <w:rFonts w:cs="Arial"/>
          <w:iCs/>
          <w:szCs w:val="24"/>
        </w:rPr>
        <w:t xml:space="preserve"> one element of the statistical analysis involves examining the historic popularity of the school and of other establishments in the area. The data which details parental applications refers to all which have been received for annual intakes</w:t>
      </w:r>
      <w:r w:rsidR="00297CFD">
        <w:rPr>
          <w:rFonts w:cs="Arial"/>
          <w:iCs/>
          <w:szCs w:val="24"/>
        </w:rPr>
        <w:t>,</w:t>
      </w:r>
      <w:r w:rsidRPr="00B22EC8">
        <w:rPr>
          <w:rFonts w:cs="Arial"/>
          <w:iCs/>
          <w:szCs w:val="24"/>
        </w:rPr>
        <w:t xml:space="preserve"> including any from non</w:t>
      </w:r>
      <w:r w:rsidR="00C20D1C">
        <w:rPr>
          <w:rFonts w:cs="Arial"/>
          <w:iCs/>
          <w:szCs w:val="24"/>
        </w:rPr>
        <w:t>-</w:t>
      </w:r>
      <w:r w:rsidRPr="00B22EC8">
        <w:rPr>
          <w:rFonts w:cs="Arial"/>
          <w:iCs/>
          <w:szCs w:val="24"/>
        </w:rPr>
        <w:t>Lancashire residents. For community and voluntary controlled schools</w:t>
      </w:r>
      <w:r w:rsidR="00893092">
        <w:rPr>
          <w:rFonts w:cs="Arial"/>
          <w:iCs/>
          <w:szCs w:val="24"/>
        </w:rPr>
        <w:t>,</w:t>
      </w:r>
      <w:r w:rsidRPr="00B22EC8">
        <w:rPr>
          <w:rFonts w:cs="Arial"/>
          <w:iCs/>
          <w:szCs w:val="24"/>
        </w:rPr>
        <w:t xml:space="preserve"> the </w:t>
      </w:r>
      <w:r w:rsidR="00297CFD">
        <w:rPr>
          <w:rFonts w:cs="Arial"/>
          <w:iCs/>
          <w:szCs w:val="24"/>
        </w:rPr>
        <w:t>a</w:t>
      </w:r>
      <w:r w:rsidRPr="00B22EC8">
        <w:rPr>
          <w:rFonts w:cs="Arial"/>
          <w:iCs/>
          <w:szCs w:val="24"/>
        </w:rPr>
        <w:t>uthority is the admission authority</w:t>
      </w:r>
      <w:r w:rsidR="00297CFD">
        <w:rPr>
          <w:rFonts w:cs="Arial"/>
          <w:iCs/>
          <w:szCs w:val="24"/>
        </w:rPr>
        <w:t>,</w:t>
      </w:r>
      <w:r w:rsidRPr="00B22EC8">
        <w:rPr>
          <w:rFonts w:cs="Arial"/>
          <w:iCs/>
          <w:szCs w:val="24"/>
        </w:rPr>
        <w:t xml:space="preserve"> and proposes and determines the admission arrangements and the published admission number for each establishment. These are reviewed and consulted upon annually within the statutory process required by the Schools Admission Code and associated regulations. </w:t>
      </w:r>
    </w:p>
    <w:p w14:paraId="652C9983" w14:textId="77777777" w:rsidR="00D24146" w:rsidRPr="00B22EC8" w:rsidRDefault="00D24146" w:rsidP="00D24146">
      <w:pPr>
        <w:jc w:val="both"/>
        <w:rPr>
          <w:rFonts w:cs="Arial"/>
          <w:iCs/>
          <w:szCs w:val="24"/>
        </w:rPr>
      </w:pPr>
    </w:p>
    <w:p w14:paraId="7B0A2BD9" w14:textId="7E34F110" w:rsidR="00D24146" w:rsidRDefault="00AA27FD" w:rsidP="00D24146">
      <w:pPr>
        <w:pStyle w:val="Default"/>
        <w:jc w:val="both"/>
        <w:rPr>
          <w:iCs/>
          <w:color w:val="auto"/>
        </w:rPr>
      </w:pPr>
      <w:r w:rsidRPr="00B22EC8">
        <w:rPr>
          <w:iCs/>
          <w:color w:val="auto"/>
        </w:rPr>
        <w:t>Policies and admission number</w:t>
      </w:r>
      <w:r w:rsidR="00297CFD">
        <w:rPr>
          <w:iCs/>
          <w:color w:val="auto"/>
        </w:rPr>
        <w:t>s</w:t>
      </w:r>
      <w:r w:rsidRPr="00B22EC8">
        <w:rPr>
          <w:iCs/>
          <w:color w:val="auto"/>
        </w:rPr>
        <w:t xml:space="preserve"> are therefore reviewed every year and, following consultation and determination by Cabinet, there is a formal objection period for concerns to be referred to the Office of the Schools Adjudicator by any interested party (deadline date 30th June in the year of determination).</w:t>
      </w:r>
    </w:p>
    <w:p w14:paraId="4D2C34E9" w14:textId="77777777" w:rsidR="000B7B11" w:rsidRDefault="000B7B11" w:rsidP="00D24146">
      <w:pPr>
        <w:pStyle w:val="Default"/>
        <w:jc w:val="both"/>
        <w:rPr>
          <w:iCs/>
          <w:color w:val="auto"/>
        </w:rPr>
      </w:pPr>
    </w:p>
    <w:p w14:paraId="5D55953D" w14:textId="21F8F279" w:rsidR="00B22EC8" w:rsidRPr="00B22EC8" w:rsidRDefault="00AA27FD" w:rsidP="00D24146">
      <w:pPr>
        <w:pStyle w:val="Default"/>
        <w:jc w:val="both"/>
        <w:rPr>
          <w:b/>
          <w:color w:val="auto"/>
        </w:rPr>
      </w:pPr>
      <w:r>
        <w:rPr>
          <w:iCs/>
          <w:color w:val="auto"/>
        </w:rPr>
        <w:t>Ribblesdale High School is a popular school which already receives a high level of first preferences for secondary places and was recently expanded to meet increasing demand.</w:t>
      </w:r>
    </w:p>
    <w:p w14:paraId="50412E4D" w14:textId="77777777" w:rsidR="00272741" w:rsidRPr="00F93A91" w:rsidRDefault="00272741" w:rsidP="00412A83">
      <w:pPr>
        <w:pStyle w:val="Default"/>
        <w:jc w:val="both"/>
        <w:rPr>
          <w:color w:val="auto"/>
          <w:highlight w:val="yellow"/>
        </w:rPr>
      </w:pPr>
    </w:p>
    <w:p w14:paraId="03FA27F7" w14:textId="0F8CCFD1" w:rsidR="00CB3A88" w:rsidRPr="00F93A91" w:rsidRDefault="00AA27FD" w:rsidP="004D0755">
      <w:pPr>
        <w:pStyle w:val="Default"/>
        <w:jc w:val="both"/>
        <w:rPr>
          <w:b/>
          <w:bCs/>
          <w:color w:val="FF0000"/>
        </w:rPr>
      </w:pPr>
      <w:r w:rsidRPr="00F93A91">
        <w:rPr>
          <w:b/>
          <w:bCs/>
          <w:color w:val="auto"/>
        </w:rPr>
        <w:t xml:space="preserve">National Curriculum: </w:t>
      </w:r>
      <w:r w:rsidRPr="004D0755">
        <w:rPr>
          <w:iCs/>
        </w:rPr>
        <w:t>All maintained schools must follow the National Curriculum unless they have secured an exemption for groups of pupils or the school community.</w:t>
      </w:r>
      <w:r w:rsidRPr="00F93A91">
        <w:rPr>
          <w:color w:val="auto"/>
          <w:sz w:val="23"/>
          <w:szCs w:val="23"/>
        </w:rPr>
        <w:t xml:space="preserve"> </w:t>
      </w:r>
    </w:p>
    <w:p w14:paraId="2EDBE3B5" w14:textId="0DBC99EC" w:rsidR="00272741" w:rsidRPr="00F93A91" w:rsidRDefault="00AA27FD" w:rsidP="00412A83">
      <w:pPr>
        <w:pStyle w:val="ListParagraph"/>
        <w:ind w:left="360" w:hanging="360"/>
        <w:jc w:val="both"/>
        <w:rPr>
          <w:b/>
          <w:bCs/>
          <w:szCs w:val="24"/>
        </w:rPr>
      </w:pPr>
      <w:r w:rsidRPr="00F93A91">
        <w:rPr>
          <w:bCs/>
          <w:szCs w:val="24"/>
        </w:rPr>
        <w:t xml:space="preserve">Ribblesdale High </w:t>
      </w:r>
      <w:r w:rsidR="00D434E5" w:rsidRPr="00F93A91">
        <w:rPr>
          <w:bCs/>
          <w:szCs w:val="24"/>
        </w:rPr>
        <w:t>School follows the National Curriculum.</w:t>
      </w:r>
    </w:p>
    <w:p w14:paraId="44BB5A57" w14:textId="77777777" w:rsidR="00272741" w:rsidRPr="00F93A91" w:rsidRDefault="00272741" w:rsidP="00412A83">
      <w:pPr>
        <w:pStyle w:val="ListParagraph"/>
        <w:ind w:left="360" w:hanging="360"/>
        <w:jc w:val="both"/>
        <w:rPr>
          <w:b/>
          <w:bCs/>
          <w:color w:val="FF0000"/>
          <w:szCs w:val="24"/>
        </w:rPr>
      </w:pPr>
    </w:p>
    <w:p w14:paraId="463F3283" w14:textId="77777777" w:rsidR="005E6CE9" w:rsidRPr="00B22EC8" w:rsidRDefault="00AA27FD" w:rsidP="00412A83">
      <w:pPr>
        <w:pStyle w:val="Default"/>
        <w:jc w:val="both"/>
        <w:rPr>
          <w:i/>
          <w:color w:val="auto"/>
        </w:rPr>
      </w:pPr>
      <w:r w:rsidRPr="00B22EC8">
        <w:rPr>
          <w:b/>
          <w:bCs/>
          <w:color w:val="auto"/>
        </w:rPr>
        <w:t xml:space="preserve">Community cohesion: </w:t>
      </w:r>
      <w:r w:rsidRPr="004D0755">
        <w:rPr>
          <w:iCs/>
          <w:color w:val="auto"/>
        </w:rPr>
        <w:t>Schools have a key part to play in providing opportunities for young people from different backgrounds to learn with, from and about each other; by encouraging, through their teaching, an understanding of, and respect for, other cultures, faiths and communities. When considering a proposal, the decision-maker must consider its impact on community cohesion. This will need to be considered on a case-by-case basis, taking account of the community served by the school and the views of different sections within the community.</w:t>
      </w:r>
      <w:r w:rsidRPr="00B22EC8">
        <w:rPr>
          <w:i/>
          <w:color w:val="auto"/>
        </w:rPr>
        <w:t xml:space="preserve"> </w:t>
      </w:r>
    </w:p>
    <w:p w14:paraId="01819938" w14:textId="77777777" w:rsidR="00D24146" w:rsidRPr="00B22EC8" w:rsidRDefault="00D24146" w:rsidP="00412A83">
      <w:pPr>
        <w:pStyle w:val="ListParagraph"/>
        <w:ind w:left="360" w:hanging="360"/>
        <w:jc w:val="both"/>
        <w:rPr>
          <w:b/>
          <w:bCs/>
          <w:color w:val="FF0000"/>
          <w:szCs w:val="24"/>
        </w:rPr>
      </w:pPr>
    </w:p>
    <w:p w14:paraId="63DFB3B6" w14:textId="5010FA95" w:rsidR="008D5E76" w:rsidRPr="00B22EC8" w:rsidRDefault="00AA27FD" w:rsidP="00114ED7">
      <w:pPr>
        <w:pStyle w:val="ListParagraph"/>
        <w:ind w:left="0"/>
        <w:jc w:val="both"/>
        <w:rPr>
          <w:bCs/>
          <w:szCs w:val="24"/>
        </w:rPr>
      </w:pPr>
      <w:r w:rsidRPr="00B22EC8">
        <w:rPr>
          <w:bCs/>
          <w:szCs w:val="24"/>
        </w:rPr>
        <w:t xml:space="preserve">The proposal to </w:t>
      </w:r>
      <w:r w:rsidR="00B22EC8" w:rsidRPr="00F93A91">
        <w:rPr>
          <w:bCs/>
          <w:szCs w:val="24"/>
        </w:rPr>
        <w:t>extend the age range of Ribblesdale High School</w:t>
      </w:r>
      <w:r w:rsidRPr="00B22EC8">
        <w:rPr>
          <w:bCs/>
          <w:szCs w:val="24"/>
        </w:rPr>
        <w:t xml:space="preserve"> is to meet the needs of an increased birth rate and the yield from new housing in the surrounding area.  The school has </w:t>
      </w:r>
      <w:r w:rsidR="00AB744A">
        <w:rPr>
          <w:bCs/>
          <w:szCs w:val="24"/>
        </w:rPr>
        <w:t xml:space="preserve">existing </w:t>
      </w:r>
      <w:r w:rsidRPr="00B22EC8">
        <w:rPr>
          <w:bCs/>
          <w:szCs w:val="24"/>
        </w:rPr>
        <w:t>close links with its surrounding community</w:t>
      </w:r>
      <w:r w:rsidR="00297CFD">
        <w:rPr>
          <w:bCs/>
          <w:szCs w:val="24"/>
        </w:rPr>
        <w:t>,</w:t>
      </w:r>
      <w:r w:rsidRPr="00B22EC8">
        <w:rPr>
          <w:bCs/>
          <w:szCs w:val="24"/>
        </w:rPr>
        <w:t xml:space="preserve"> </w:t>
      </w:r>
      <w:r w:rsidR="00AB744A">
        <w:rPr>
          <w:bCs/>
          <w:szCs w:val="24"/>
        </w:rPr>
        <w:t xml:space="preserve">with whom consultation was carried out </w:t>
      </w:r>
      <w:r w:rsidRPr="00B22EC8">
        <w:rPr>
          <w:bCs/>
          <w:szCs w:val="24"/>
        </w:rPr>
        <w:t>as part of this process.</w:t>
      </w:r>
      <w:r w:rsidR="00B22EC8">
        <w:rPr>
          <w:bCs/>
          <w:szCs w:val="24"/>
        </w:rPr>
        <w:t xml:space="preserve"> The school</w:t>
      </w:r>
      <w:r w:rsidR="00AB744A">
        <w:rPr>
          <w:bCs/>
          <w:szCs w:val="24"/>
        </w:rPr>
        <w:t xml:space="preserve"> </w:t>
      </w:r>
      <w:r w:rsidR="00B22EC8">
        <w:rPr>
          <w:bCs/>
          <w:szCs w:val="24"/>
        </w:rPr>
        <w:t>is located in close proximity to where the growing community from new housing is located.</w:t>
      </w:r>
    </w:p>
    <w:p w14:paraId="17FE3A11" w14:textId="77777777" w:rsidR="00272741" w:rsidRPr="00F93A91" w:rsidRDefault="00272741" w:rsidP="00412A83">
      <w:pPr>
        <w:pStyle w:val="ListParagraph"/>
        <w:ind w:left="360" w:hanging="360"/>
        <w:jc w:val="both"/>
        <w:rPr>
          <w:b/>
          <w:bCs/>
          <w:szCs w:val="24"/>
          <w:highlight w:val="yellow"/>
        </w:rPr>
      </w:pPr>
    </w:p>
    <w:p w14:paraId="0F06612A" w14:textId="00DF113D" w:rsidR="005E6CE9" w:rsidRPr="00F93A91" w:rsidRDefault="00AA27FD" w:rsidP="00412A83">
      <w:pPr>
        <w:pStyle w:val="Default"/>
        <w:jc w:val="both"/>
        <w:rPr>
          <w:i/>
          <w:color w:val="auto"/>
        </w:rPr>
      </w:pPr>
      <w:r w:rsidRPr="00F93A91">
        <w:rPr>
          <w:b/>
          <w:bCs/>
          <w:color w:val="auto"/>
        </w:rPr>
        <w:t xml:space="preserve">Travel and accessibility: </w:t>
      </w:r>
      <w:r w:rsidRPr="004D0755">
        <w:rPr>
          <w:iCs/>
          <w:color w:val="auto"/>
        </w:rPr>
        <w:t>Decision-makers should satisfy themselves</w:t>
      </w:r>
      <w:r w:rsidR="00AB744A">
        <w:rPr>
          <w:iCs/>
          <w:color w:val="auto"/>
        </w:rPr>
        <w:t xml:space="preserve"> </w:t>
      </w:r>
      <w:r w:rsidRPr="004D0755">
        <w:rPr>
          <w:iCs/>
          <w:color w:val="auto"/>
        </w:rPr>
        <w:t>that accessibility planning has been properly taken into account and the proposed changes should not adversely impact on disadvantaged groups. The decision-maker should bear in mind that a proposal should not unreasonably extend journey times or increase transport costs,</w:t>
      </w:r>
      <w:r w:rsidR="00AB744A">
        <w:rPr>
          <w:iCs/>
          <w:color w:val="auto"/>
        </w:rPr>
        <w:t xml:space="preserve"> </w:t>
      </w:r>
      <w:r w:rsidRPr="004D0755">
        <w:rPr>
          <w:iCs/>
          <w:color w:val="auto"/>
        </w:rPr>
        <w:t>or result in too many children being prevented from travelling sustainably due to unsuitable walking or cycling routes</w:t>
      </w:r>
      <w:r w:rsidRPr="00AB744A">
        <w:rPr>
          <w:iCs/>
          <w:color w:val="auto"/>
        </w:rPr>
        <w:t xml:space="preserve">. </w:t>
      </w:r>
      <w:r w:rsidRPr="004D0755">
        <w:rPr>
          <w:iCs/>
          <w:color w:val="auto"/>
        </w:rPr>
        <w:t>A proposal should also be considered on the basis of how it will support and contribute to the L</w:t>
      </w:r>
      <w:r w:rsidR="00AB744A">
        <w:rPr>
          <w:iCs/>
          <w:color w:val="auto"/>
        </w:rPr>
        <w:t xml:space="preserve">ocal </w:t>
      </w:r>
      <w:r w:rsidRPr="004D0755">
        <w:rPr>
          <w:iCs/>
          <w:color w:val="auto"/>
        </w:rPr>
        <w:t>A</w:t>
      </w:r>
      <w:r w:rsidR="00AB744A">
        <w:rPr>
          <w:iCs/>
          <w:color w:val="auto"/>
        </w:rPr>
        <w:t>uthority</w:t>
      </w:r>
      <w:r w:rsidRPr="004D0755">
        <w:rPr>
          <w:iCs/>
          <w:color w:val="auto"/>
        </w:rPr>
        <w:t>’s duty to promote the use of sustainable travel and transport to school.</w:t>
      </w:r>
      <w:r w:rsidRPr="00F93A91">
        <w:rPr>
          <w:i/>
          <w:color w:val="auto"/>
        </w:rPr>
        <w:t xml:space="preserve"> </w:t>
      </w:r>
    </w:p>
    <w:p w14:paraId="02CA4A93" w14:textId="77777777" w:rsidR="00640C27" w:rsidRPr="00F93A91" w:rsidRDefault="00640C27" w:rsidP="00412A83">
      <w:pPr>
        <w:pStyle w:val="Default"/>
        <w:jc w:val="both"/>
        <w:rPr>
          <w:b/>
          <w:bCs/>
          <w:color w:val="auto"/>
        </w:rPr>
      </w:pPr>
    </w:p>
    <w:p w14:paraId="259B935D" w14:textId="10CB4205" w:rsidR="00E64084" w:rsidRPr="00F93A91" w:rsidRDefault="00AA27FD" w:rsidP="00412A83">
      <w:pPr>
        <w:jc w:val="both"/>
        <w:rPr>
          <w:rFonts w:cs="Arial"/>
          <w:szCs w:val="24"/>
        </w:rPr>
      </w:pPr>
      <w:r w:rsidRPr="00F93A91">
        <w:rPr>
          <w:rFonts w:cs="Arial"/>
          <w:szCs w:val="24"/>
        </w:rPr>
        <w:t>The proposed expansion will provide additional</w:t>
      </w:r>
      <w:r w:rsidR="00B22EC8" w:rsidRPr="00F93A91">
        <w:rPr>
          <w:rFonts w:cs="Arial"/>
          <w:szCs w:val="24"/>
        </w:rPr>
        <w:t xml:space="preserve"> places in close proximity to the significant development of new housing and will also provide both primary and secondary places close to each other for families with children of different ages</w:t>
      </w:r>
      <w:r w:rsidR="00196BD2" w:rsidRPr="00F93A91">
        <w:rPr>
          <w:rFonts w:cs="Arial"/>
          <w:szCs w:val="24"/>
        </w:rPr>
        <w:t xml:space="preserve">, which should reduce </w:t>
      </w:r>
      <w:r w:rsidR="00196BD2">
        <w:rPr>
          <w:rFonts w:cs="Arial"/>
          <w:szCs w:val="24"/>
        </w:rPr>
        <w:t xml:space="preserve">the impact of the new housing on </w:t>
      </w:r>
      <w:r w:rsidR="00196BD2" w:rsidRPr="00F93A91">
        <w:rPr>
          <w:rFonts w:cs="Arial"/>
          <w:szCs w:val="24"/>
        </w:rPr>
        <w:t>home to school travel journeys</w:t>
      </w:r>
      <w:r w:rsidRPr="00F93A91">
        <w:rPr>
          <w:rFonts w:cs="Arial"/>
          <w:szCs w:val="24"/>
        </w:rPr>
        <w:t>. The provision will not adversely impact upon disadvantaged groups as additional pupils will be able to access a local school place.</w:t>
      </w:r>
    </w:p>
    <w:p w14:paraId="5C7125D6" w14:textId="77777777" w:rsidR="00E64084" w:rsidRPr="00196BD2" w:rsidRDefault="00E64084" w:rsidP="00412A83">
      <w:pPr>
        <w:pStyle w:val="Default"/>
        <w:jc w:val="both"/>
        <w:rPr>
          <w:b/>
          <w:bCs/>
          <w:color w:val="FF0000"/>
          <w:highlight w:val="yellow"/>
        </w:rPr>
      </w:pPr>
    </w:p>
    <w:p w14:paraId="7BC5656B" w14:textId="56F388DA" w:rsidR="005E6CE9" w:rsidRPr="004D0755" w:rsidRDefault="00AA27FD" w:rsidP="00412A83">
      <w:pPr>
        <w:pStyle w:val="Default"/>
        <w:jc w:val="both"/>
        <w:rPr>
          <w:iCs/>
          <w:color w:val="auto"/>
        </w:rPr>
      </w:pPr>
      <w:r w:rsidRPr="00196BD2">
        <w:rPr>
          <w:b/>
          <w:bCs/>
          <w:color w:val="auto"/>
        </w:rPr>
        <w:t xml:space="preserve">Capital: </w:t>
      </w:r>
      <w:r w:rsidRPr="004D0755">
        <w:rPr>
          <w:iCs/>
          <w:color w:val="auto"/>
        </w:rPr>
        <w:t>The decision-maker should be satisfied that any land, premises or capital required to implement the proposal will be available and that all relevant local parties (e.g. trustees or religious authority) have given their agreement. A proposal cannot be approved conditionally upon funding being made available.</w:t>
      </w:r>
      <w:r w:rsidRPr="00AB744A">
        <w:rPr>
          <w:iCs/>
          <w:color w:val="auto"/>
          <w:sz w:val="23"/>
          <w:szCs w:val="23"/>
        </w:rPr>
        <w:t xml:space="preserve"> </w:t>
      </w:r>
      <w:r w:rsidRPr="004D0755">
        <w:rPr>
          <w:iCs/>
          <w:color w:val="auto"/>
        </w:rPr>
        <w:t xml:space="preserve">Where proposers are relying on the department as the source of capital funding, there can be no assumption that the approval of a proposal will trigger the release of capital funds from the department, unless the department has previously confirmed in writing that such resources will be available; nor can any allocation ‘in principle’ be increased. In such circumstances the proposal should be rejected, or consideration deferred until it is clear that the capital necessary to implement the proposal will be provided. </w:t>
      </w:r>
    </w:p>
    <w:p w14:paraId="5ED0C28A" w14:textId="77777777" w:rsidR="005E6CE9" w:rsidRPr="00F93A91" w:rsidRDefault="005E6CE9" w:rsidP="00412A83">
      <w:pPr>
        <w:pStyle w:val="ListParagraph"/>
        <w:ind w:left="360" w:hanging="360"/>
        <w:jc w:val="both"/>
        <w:rPr>
          <w:b/>
          <w:bCs/>
          <w:szCs w:val="24"/>
          <w:highlight w:val="yellow"/>
        </w:rPr>
      </w:pPr>
    </w:p>
    <w:p w14:paraId="5077DBCF" w14:textId="220C493B" w:rsidR="006A7D17" w:rsidRDefault="00AA27FD" w:rsidP="00412A83">
      <w:pPr>
        <w:jc w:val="both"/>
      </w:pPr>
      <w:r>
        <w:t>The site is currently owned by the Trustees of the Higher Standen Estate. The Trustees have agreed to transfer the land for the new building to Lancashire County Council complete with road access in June 2022. Taylor Wimpey, who are constructing the housing, ha</w:t>
      </w:r>
      <w:r w:rsidR="00283FD3">
        <w:t>s</w:t>
      </w:r>
      <w:r>
        <w:t xml:space="preserve"> agreed to construct the road and install the services to agreed programme dates in accordance with </w:t>
      </w:r>
      <w:r w:rsidR="00AB744A">
        <w:t xml:space="preserve">the </w:t>
      </w:r>
      <w:r w:rsidR="004D0755">
        <w:t>c</w:t>
      </w:r>
      <w:r w:rsidR="00AB744A">
        <w:t xml:space="preserve">ounty </w:t>
      </w:r>
      <w:r w:rsidR="004D0755">
        <w:t>c</w:t>
      </w:r>
      <w:r w:rsidR="00AB744A">
        <w:t>ouncil</w:t>
      </w:r>
      <w:r>
        <w:t>'s programme to deliver the new school</w:t>
      </w:r>
      <w:r w:rsidR="00125500">
        <w:t xml:space="preserve"> building.</w:t>
      </w:r>
      <w:r>
        <w:t xml:space="preserve"> </w:t>
      </w:r>
    </w:p>
    <w:p w14:paraId="0DE7DB8A" w14:textId="77777777" w:rsidR="006A7D17" w:rsidRDefault="006A7D17" w:rsidP="00412A83">
      <w:pPr>
        <w:jc w:val="both"/>
      </w:pPr>
    </w:p>
    <w:p w14:paraId="6AEC4187" w14:textId="3C909434" w:rsidR="008D5E76" w:rsidRPr="004D0755" w:rsidRDefault="00AA27FD" w:rsidP="00412A83">
      <w:pPr>
        <w:ind w:hanging="360"/>
        <w:jc w:val="both"/>
        <w:rPr>
          <w:rFonts w:cs="Arial"/>
          <w:b/>
          <w:szCs w:val="24"/>
        </w:rPr>
      </w:pPr>
      <w:r w:rsidRPr="004D0755">
        <w:rPr>
          <w:rFonts w:cs="Arial"/>
          <w:b/>
          <w:szCs w:val="24"/>
        </w:rPr>
        <w:tab/>
        <w:t>Consultation</w:t>
      </w:r>
      <w:r w:rsidR="00AB744A">
        <w:rPr>
          <w:rFonts w:cs="Arial"/>
          <w:b/>
          <w:szCs w:val="24"/>
        </w:rPr>
        <w:t>s</w:t>
      </w:r>
    </w:p>
    <w:p w14:paraId="1741DFD6" w14:textId="77777777" w:rsidR="008B5006" w:rsidRDefault="008B5006" w:rsidP="00412A83">
      <w:pPr>
        <w:jc w:val="both"/>
        <w:rPr>
          <w:b/>
        </w:rPr>
      </w:pPr>
    </w:p>
    <w:p w14:paraId="5BAF3580" w14:textId="57D5FDE4" w:rsidR="008B5006" w:rsidRDefault="00AA27FD" w:rsidP="008B5006">
      <w:pPr>
        <w:jc w:val="both"/>
      </w:pPr>
      <w:r w:rsidRPr="00464551">
        <w:t>Following a</w:t>
      </w:r>
      <w:r>
        <w:t>n initial</w:t>
      </w:r>
      <w:r w:rsidRPr="00464551">
        <w:t xml:space="preserve"> period of consultation</w:t>
      </w:r>
      <w:r>
        <w:t xml:space="preserve"> in connection with the proposed establishment of a new primary school on the Higher Standen site</w:t>
      </w:r>
      <w:r w:rsidRPr="00464551">
        <w:t xml:space="preserve">, Cabinet agreed, </w:t>
      </w:r>
      <w:r>
        <w:lastRenderedPageBreak/>
        <w:t xml:space="preserve">on </w:t>
      </w:r>
      <w:r w:rsidRPr="007F2263">
        <w:t>10</w:t>
      </w:r>
      <w:r w:rsidRPr="00F93A91">
        <w:rPr>
          <w:vertAlign w:val="superscript"/>
        </w:rPr>
        <w:t>th</w:t>
      </w:r>
      <w:r w:rsidRPr="007F2263">
        <w:t xml:space="preserve"> June 2021</w:t>
      </w:r>
      <w:r w:rsidR="00297CFD">
        <w:t>,</w:t>
      </w:r>
      <w:r>
        <w:t xml:space="preserve"> to commence a further period of consultation on providing the additional places via an expansion of Ribblesdale High School's age range instead. This consultation ran from </w:t>
      </w:r>
      <w:r w:rsidRPr="00F93A91">
        <w:t>28</w:t>
      </w:r>
      <w:r w:rsidRPr="00F93A91">
        <w:rPr>
          <w:vertAlign w:val="superscript"/>
        </w:rPr>
        <w:t>th</w:t>
      </w:r>
      <w:r w:rsidRPr="00F93A91">
        <w:t xml:space="preserve"> June to 23</w:t>
      </w:r>
      <w:r w:rsidRPr="00F93A91">
        <w:rPr>
          <w:vertAlign w:val="superscript"/>
        </w:rPr>
        <w:t>rd</w:t>
      </w:r>
      <w:r w:rsidRPr="00F93A91">
        <w:t xml:space="preserve"> July 2021</w:t>
      </w:r>
      <w:r w:rsidRPr="00E96F49">
        <w:t xml:space="preserve"> and</w:t>
      </w:r>
      <w:r>
        <w:t>, on 2</w:t>
      </w:r>
      <w:r w:rsidRPr="00F93A91">
        <w:rPr>
          <w:vertAlign w:val="superscript"/>
        </w:rPr>
        <w:t>nd</w:t>
      </w:r>
      <w:r>
        <w:t xml:space="preserve"> September 2021, Cabinet considered the outcome of this consultation and agreed to the</w:t>
      </w:r>
      <w:r w:rsidRPr="00464551">
        <w:t xml:space="preserve"> publication of a Statutory Notice proposing to </w:t>
      </w:r>
      <w:r>
        <w:t>extend the age range of Ribblesdale High School to 4-16, providing a through school.</w:t>
      </w:r>
    </w:p>
    <w:p w14:paraId="6BA46369" w14:textId="77777777" w:rsidR="008B5006" w:rsidRPr="00BF3369" w:rsidRDefault="008B5006" w:rsidP="008B5006">
      <w:pPr>
        <w:jc w:val="both"/>
        <w:rPr>
          <w:color w:val="FF0000"/>
        </w:rPr>
      </w:pPr>
    </w:p>
    <w:p w14:paraId="1C86B346" w14:textId="77777777" w:rsidR="008B5006" w:rsidRPr="00324E3E" w:rsidRDefault="00AA27FD" w:rsidP="008B5006">
      <w:pPr>
        <w:jc w:val="both"/>
      </w:pPr>
      <w:r w:rsidRPr="00324E3E">
        <w:t>After the authority's publication of a Statutory Notice on</w:t>
      </w:r>
      <w:r>
        <w:t xml:space="preserve"> 30th September</w:t>
      </w:r>
      <w:r w:rsidRPr="00324E3E">
        <w:t xml:space="preserve">, and expiry </w:t>
      </w:r>
      <w:r>
        <w:t xml:space="preserve">of the </w:t>
      </w:r>
      <w:r w:rsidRPr="00324E3E">
        <w:t>statutory period for representations to be made about the proposal</w:t>
      </w:r>
      <w:r w:rsidRPr="00824E85">
        <w:t xml:space="preserve"> </w:t>
      </w:r>
      <w:r w:rsidRPr="00324E3E">
        <w:t xml:space="preserve">on </w:t>
      </w:r>
      <w:r>
        <w:t>4</w:t>
      </w:r>
      <w:r w:rsidRPr="00175EBC">
        <w:rPr>
          <w:vertAlign w:val="superscript"/>
        </w:rPr>
        <w:t>th</w:t>
      </w:r>
      <w:r>
        <w:t xml:space="preserve"> November 2021</w:t>
      </w:r>
      <w:r w:rsidRPr="00324E3E">
        <w:t xml:space="preserve">, the authority is now at stage </w:t>
      </w:r>
      <w:r>
        <w:t>3</w:t>
      </w:r>
      <w:r w:rsidRPr="00324E3E">
        <w:t xml:space="preserve"> of the </w:t>
      </w:r>
      <w:r>
        <w:t xml:space="preserve">4 </w:t>
      </w:r>
      <w:r w:rsidRPr="00324E3E">
        <w:t xml:space="preserve">stage statutory process </w:t>
      </w:r>
      <w:r>
        <w:t xml:space="preserve">(as per the new School Organisation (Prescribed Alterations to Maintained Schools)(England) Regulations 2013  </w:t>
      </w:r>
      <w:r w:rsidRPr="00324E3E">
        <w:t>that is summarised below:</w:t>
      </w:r>
    </w:p>
    <w:p w14:paraId="76984F48" w14:textId="77777777" w:rsidR="008B5006" w:rsidRPr="00CB29BF" w:rsidRDefault="008B5006" w:rsidP="008B50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61"/>
        <w:gridCol w:w="4060"/>
      </w:tblGrid>
      <w:tr w:rsidR="00D93A4B" w14:paraId="52AB9A29" w14:textId="77777777" w:rsidTr="004D0755">
        <w:tc>
          <w:tcPr>
            <w:tcW w:w="1696" w:type="dxa"/>
            <w:shd w:val="clear" w:color="auto" w:fill="BFBFBF"/>
          </w:tcPr>
          <w:p w14:paraId="4C26689A" w14:textId="77777777" w:rsidR="008B5006" w:rsidRPr="00CB29BF" w:rsidRDefault="00AA27FD" w:rsidP="002156FF">
            <w:pPr>
              <w:rPr>
                <w:b/>
              </w:rPr>
            </w:pPr>
            <w:r w:rsidRPr="00CB29BF">
              <w:rPr>
                <w:b/>
              </w:rPr>
              <w:t>Stage</w:t>
            </w:r>
          </w:p>
        </w:tc>
        <w:tc>
          <w:tcPr>
            <w:tcW w:w="3261" w:type="dxa"/>
            <w:shd w:val="clear" w:color="auto" w:fill="BFBFBF"/>
          </w:tcPr>
          <w:p w14:paraId="7887C810" w14:textId="77777777" w:rsidR="008B5006" w:rsidRPr="00CB29BF" w:rsidRDefault="00AA27FD" w:rsidP="002156FF">
            <w:pPr>
              <w:rPr>
                <w:b/>
              </w:rPr>
            </w:pPr>
            <w:r w:rsidRPr="00CB29BF">
              <w:rPr>
                <w:b/>
              </w:rPr>
              <w:t>Statutory requirement</w:t>
            </w:r>
          </w:p>
        </w:tc>
        <w:tc>
          <w:tcPr>
            <w:tcW w:w="4060" w:type="dxa"/>
            <w:shd w:val="clear" w:color="auto" w:fill="BFBFBF"/>
          </w:tcPr>
          <w:p w14:paraId="0C131224" w14:textId="77777777" w:rsidR="008B5006" w:rsidRPr="00CB29BF" w:rsidRDefault="008B5006" w:rsidP="002156FF">
            <w:pPr>
              <w:rPr>
                <w:b/>
              </w:rPr>
            </w:pPr>
          </w:p>
        </w:tc>
      </w:tr>
      <w:tr w:rsidR="00D93A4B" w14:paraId="2F3CED4D" w14:textId="77777777" w:rsidTr="004D0755">
        <w:tc>
          <w:tcPr>
            <w:tcW w:w="1696" w:type="dxa"/>
          </w:tcPr>
          <w:p w14:paraId="1C4601BF" w14:textId="77777777" w:rsidR="008B5006" w:rsidRPr="00CB29BF" w:rsidRDefault="00AA27FD" w:rsidP="002156FF">
            <w:r>
              <w:t>Pre-statutory phase</w:t>
            </w:r>
          </w:p>
        </w:tc>
        <w:tc>
          <w:tcPr>
            <w:tcW w:w="3261" w:type="dxa"/>
          </w:tcPr>
          <w:p w14:paraId="44BDB09D" w14:textId="77777777" w:rsidR="008B5006" w:rsidRPr="00CB29BF" w:rsidRDefault="00AA27FD" w:rsidP="002156FF">
            <w:r>
              <w:t>Informal</w:t>
            </w:r>
            <w:r w:rsidRPr="00CB29BF">
              <w:t xml:space="preserve"> consultation on the proposal </w:t>
            </w:r>
          </w:p>
        </w:tc>
        <w:tc>
          <w:tcPr>
            <w:tcW w:w="4060" w:type="dxa"/>
          </w:tcPr>
          <w:p w14:paraId="3C2D41AA" w14:textId="77777777" w:rsidR="008B5006" w:rsidRPr="00CB29BF" w:rsidRDefault="00AA27FD" w:rsidP="002156FF">
            <w:r>
              <w:t>28</w:t>
            </w:r>
            <w:r w:rsidRPr="00F93A91">
              <w:rPr>
                <w:vertAlign w:val="superscript"/>
              </w:rPr>
              <w:t>th</w:t>
            </w:r>
            <w:r>
              <w:t xml:space="preserve"> June to 23</w:t>
            </w:r>
            <w:r w:rsidRPr="00F93A91">
              <w:rPr>
                <w:vertAlign w:val="superscript"/>
              </w:rPr>
              <w:t>rd</w:t>
            </w:r>
            <w:r>
              <w:t xml:space="preserve"> July 2021</w:t>
            </w:r>
          </w:p>
        </w:tc>
      </w:tr>
      <w:tr w:rsidR="00D93A4B" w14:paraId="49DD465F" w14:textId="77777777" w:rsidTr="004D0755">
        <w:tc>
          <w:tcPr>
            <w:tcW w:w="1696" w:type="dxa"/>
          </w:tcPr>
          <w:p w14:paraId="4F6874F2" w14:textId="77777777" w:rsidR="008B5006" w:rsidRPr="00CB29BF" w:rsidRDefault="00AA27FD" w:rsidP="002156FF">
            <w:r>
              <w:t>1</w:t>
            </w:r>
          </w:p>
        </w:tc>
        <w:tc>
          <w:tcPr>
            <w:tcW w:w="3261" w:type="dxa"/>
          </w:tcPr>
          <w:p w14:paraId="755B36D0" w14:textId="77777777" w:rsidR="008B5006" w:rsidRPr="00CB29BF" w:rsidRDefault="00AA27FD" w:rsidP="002156FF">
            <w:r w:rsidRPr="00CB29BF">
              <w:t>Publication of Statutory Notice</w:t>
            </w:r>
          </w:p>
        </w:tc>
        <w:tc>
          <w:tcPr>
            <w:tcW w:w="4060" w:type="dxa"/>
          </w:tcPr>
          <w:p w14:paraId="4752ADAB" w14:textId="77777777" w:rsidR="008B5006" w:rsidRPr="00CB29BF" w:rsidRDefault="00AA27FD" w:rsidP="002156FF">
            <w:r>
              <w:t>30</w:t>
            </w:r>
            <w:r w:rsidRPr="00F93A91">
              <w:rPr>
                <w:vertAlign w:val="superscript"/>
              </w:rPr>
              <w:t>th</w:t>
            </w:r>
            <w:r>
              <w:t xml:space="preserve"> September 2021</w:t>
            </w:r>
          </w:p>
        </w:tc>
      </w:tr>
      <w:tr w:rsidR="00D93A4B" w14:paraId="0A98AD8C" w14:textId="77777777" w:rsidTr="004D0755">
        <w:tc>
          <w:tcPr>
            <w:tcW w:w="1696" w:type="dxa"/>
            <w:tcBorders>
              <w:bottom w:val="single" w:sz="4" w:space="0" w:color="auto"/>
            </w:tcBorders>
          </w:tcPr>
          <w:p w14:paraId="48E18EC4" w14:textId="77777777" w:rsidR="008B5006" w:rsidRPr="00CB29BF" w:rsidRDefault="00AA27FD" w:rsidP="002156FF">
            <w:r>
              <w:t>2</w:t>
            </w:r>
          </w:p>
        </w:tc>
        <w:tc>
          <w:tcPr>
            <w:tcW w:w="3261" w:type="dxa"/>
            <w:tcBorders>
              <w:bottom w:val="single" w:sz="4" w:space="0" w:color="auto"/>
            </w:tcBorders>
          </w:tcPr>
          <w:p w14:paraId="102ED065" w14:textId="77777777" w:rsidR="008B5006" w:rsidRPr="00CB29BF" w:rsidRDefault="00AA27FD" w:rsidP="002156FF">
            <w:r w:rsidRPr="00CB29BF">
              <w:t>Representations on the Proposal</w:t>
            </w:r>
          </w:p>
        </w:tc>
        <w:tc>
          <w:tcPr>
            <w:tcW w:w="4060" w:type="dxa"/>
            <w:tcBorders>
              <w:bottom w:val="single" w:sz="4" w:space="0" w:color="auto"/>
            </w:tcBorders>
          </w:tcPr>
          <w:p w14:paraId="6EFD6856" w14:textId="77777777" w:rsidR="008B5006" w:rsidRPr="00CB29BF" w:rsidRDefault="00AA27FD" w:rsidP="002156FF">
            <w:r>
              <w:t>30</w:t>
            </w:r>
            <w:r w:rsidRPr="00F93A91">
              <w:rPr>
                <w:vertAlign w:val="superscript"/>
              </w:rPr>
              <w:t>th</w:t>
            </w:r>
            <w:r>
              <w:t xml:space="preserve"> September to 4</w:t>
            </w:r>
            <w:r w:rsidRPr="00F93A91">
              <w:rPr>
                <w:vertAlign w:val="superscript"/>
              </w:rPr>
              <w:t>th</w:t>
            </w:r>
            <w:r>
              <w:t xml:space="preserve"> November 2021</w:t>
            </w:r>
          </w:p>
        </w:tc>
      </w:tr>
      <w:tr w:rsidR="00D93A4B" w14:paraId="4817034D" w14:textId="77777777" w:rsidTr="004D0755">
        <w:tc>
          <w:tcPr>
            <w:tcW w:w="1696" w:type="dxa"/>
            <w:shd w:val="pct12" w:color="auto" w:fill="auto"/>
          </w:tcPr>
          <w:p w14:paraId="1E46828B" w14:textId="77777777" w:rsidR="008B5006" w:rsidRPr="00CB29BF" w:rsidRDefault="00AA27FD" w:rsidP="002156FF">
            <w:pPr>
              <w:rPr>
                <w:b/>
              </w:rPr>
            </w:pPr>
            <w:r>
              <w:rPr>
                <w:b/>
              </w:rPr>
              <w:t>3</w:t>
            </w:r>
          </w:p>
        </w:tc>
        <w:tc>
          <w:tcPr>
            <w:tcW w:w="3261" w:type="dxa"/>
            <w:shd w:val="pct12" w:color="auto" w:fill="auto"/>
          </w:tcPr>
          <w:p w14:paraId="120AC832" w14:textId="77777777" w:rsidR="008B5006" w:rsidRPr="00CB29BF" w:rsidRDefault="00AA27FD" w:rsidP="002156FF">
            <w:pPr>
              <w:rPr>
                <w:b/>
              </w:rPr>
            </w:pPr>
            <w:r w:rsidRPr="00CB29BF">
              <w:rPr>
                <w:b/>
              </w:rPr>
              <w:t>Decision*</w:t>
            </w:r>
          </w:p>
        </w:tc>
        <w:tc>
          <w:tcPr>
            <w:tcW w:w="4060" w:type="dxa"/>
            <w:shd w:val="pct12" w:color="auto" w:fill="auto"/>
          </w:tcPr>
          <w:p w14:paraId="42AED465" w14:textId="77777777" w:rsidR="008B5006" w:rsidRPr="00CB29BF" w:rsidRDefault="00AA27FD" w:rsidP="002156FF">
            <w:pPr>
              <w:rPr>
                <w:b/>
              </w:rPr>
            </w:pPr>
            <w:r>
              <w:rPr>
                <w:b/>
              </w:rPr>
              <w:t>2</w:t>
            </w:r>
            <w:r w:rsidRPr="00F93A91">
              <w:rPr>
                <w:b/>
                <w:vertAlign w:val="superscript"/>
              </w:rPr>
              <w:t>nd</w:t>
            </w:r>
            <w:r>
              <w:rPr>
                <w:b/>
              </w:rPr>
              <w:t xml:space="preserve"> December 2021</w:t>
            </w:r>
          </w:p>
        </w:tc>
      </w:tr>
      <w:tr w:rsidR="00D93A4B" w14:paraId="46919662" w14:textId="77777777" w:rsidTr="004D0755">
        <w:tc>
          <w:tcPr>
            <w:tcW w:w="1696" w:type="dxa"/>
          </w:tcPr>
          <w:p w14:paraId="35E68E4B" w14:textId="77777777" w:rsidR="008B5006" w:rsidRPr="00CB29BF" w:rsidRDefault="00AA27FD" w:rsidP="002156FF">
            <w:r>
              <w:t>4</w:t>
            </w:r>
          </w:p>
        </w:tc>
        <w:tc>
          <w:tcPr>
            <w:tcW w:w="3261" w:type="dxa"/>
          </w:tcPr>
          <w:p w14:paraId="68EDAD9C" w14:textId="77777777" w:rsidR="008B5006" w:rsidRPr="00CB29BF" w:rsidRDefault="00AA27FD" w:rsidP="002156FF">
            <w:r w:rsidRPr="00CB29BF">
              <w:t>Implementation (if the decision is made to proceed)</w:t>
            </w:r>
          </w:p>
        </w:tc>
        <w:tc>
          <w:tcPr>
            <w:tcW w:w="4060" w:type="dxa"/>
          </w:tcPr>
          <w:p w14:paraId="012A15C3" w14:textId="77777777" w:rsidR="008B5006" w:rsidRPr="00CB29BF" w:rsidRDefault="00AA27FD" w:rsidP="002156FF">
            <w:r w:rsidRPr="00CB29BF">
              <w:t>Permanent expansion</w:t>
            </w:r>
            <w:r>
              <w:t xml:space="preserve"> and extension of the age range, providing 30 reception places from September 2023 and a new 210 place primary building on the Higher Standen site.</w:t>
            </w:r>
            <w:r w:rsidRPr="00CB29BF">
              <w:t xml:space="preserve"> </w:t>
            </w:r>
          </w:p>
        </w:tc>
      </w:tr>
    </w:tbl>
    <w:p w14:paraId="5A42FE73" w14:textId="77777777" w:rsidR="008B5006" w:rsidRPr="00CB29BF" w:rsidRDefault="00AA27FD" w:rsidP="008B5006">
      <w:pPr>
        <w:rPr>
          <w:sz w:val="18"/>
          <w:szCs w:val="18"/>
        </w:rPr>
      </w:pPr>
      <w:r w:rsidRPr="00CB29BF">
        <w:rPr>
          <w:sz w:val="18"/>
          <w:szCs w:val="18"/>
        </w:rPr>
        <w:t>.</w:t>
      </w:r>
    </w:p>
    <w:p w14:paraId="572866B4" w14:textId="77777777" w:rsidR="008B5006" w:rsidRPr="00CB29BF" w:rsidRDefault="00AA27FD" w:rsidP="008B5006">
      <w:pPr>
        <w:jc w:val="both"/>
        <w:rPr>
          <w:sz w:val="18"/>
          <w:szCs w:val="18"/>
        </w:rPr>
      </w:pPr>
      <w:r w:rsidRPr="00CB29BF">
        <w:t>*</w:t>
      </w:r>
      <w:r w:rsidRPr="00CB29BF">
        <w:rPr>
          <w:sz w:val="18"/>
          <w:szCs w:val="18"/>
        </w:rPr>
        <w:t>If the Local Authority is responsible for a decision on the proposal and fails to take it within two months from the end of the representation period (</w:t>
      </w:r>
      <w:r w:rsidRPr="008E16FA">
        <w:rPr>
          <w:sz w:val="18"/>
          <w:szCs w:val="18"/>
        </w:rPr>
        <w:t xml:space="preserve">stage </w:t>
      </w:r>
      <w:r>
        <w:rPr>
          <w:sz w:val="18"/>
          <w:szCs w:val="18"/>
        </w:rPr>
        <w:t>2)</w:t>
      </w:r>
      <w:r w:rsidRPr="00CB29BF">
        <w:rPr>
          <w:sz w:val="18"/>
          <w:szCs w:val="18"/>
        </w:rPr>
        <w:t xml:space="preserve"> the proposal must be passed to the schools</w:t>
      </w:r>
      <w:r>
        <w:rPr>
          <w:sz w:val="18"/>
          <w:szCs w:val="18"/>
        </w:rPr>
        <w:t>'</w:t>
      </w:r>
      <w:r w:rsidRPr="00CB29BF">
        <w:rPr>
          <w:sz w:val="18"/>
          <w:szCs w:val="18"/>
        </w:rPr>
        <w:t xml:space="preserve"> adjudicator for decision.</w:t>
      </w:r>
    </w:p>
    <w:p w14:paraId="43F8FAEE" w14:textId="77777777" w:rsidR="008B5006" w:rsidRPr="00CB29BF" w:rsidRDefault="008B5006" w:rsidP="008B5006"/>
    <w:p w14:paraId="049AB9AE" w14:textId="2D89EC9A" w:rsidR="00F0726E" w:rsidRPr="00196BD2" w:rsidRDefault="00AA27FD" w:rsidP="00412A83">
      <w:pPr>
        <w:jc w:val="both"/>
      </w:pPr>
      <w:r w:rsidRPr="00196BD2">
        <w:rPr>
          <w:b/>
        </w:rPr>
        <w:t xml:space="preserve">Implications </w:t>
      </w:r>
    </w:p>
    <w:p w14:paraId="3ED1EF66" w14:textId="77777777" w:rsidR="00F0726E" w:rsidRPr="00196BD2" w:rsidRDefault="00F0726E" w:rsidP="00412A83">
      <w:pPr>
        <w:jc w:val="both"/>
      </w:pPr>
    </w:p>
    <w:p w14:paraId="16D9F5D2" w14:textId="77777777" w:rsidR="00F0726E" w:rsidRPr="00196BD2" w:rsidRDefault="00AA27FD" w:rsidP="00412A83">
      <w:pPr>
        <w:jc w:val="both"/>
      </w:pPr>
      <w:r w:rsidRPr="00196BD2">
        <w:t>This item has the following implications, as indicated:</w:t>
      </w:r>
    </w:p>
    <w:p w14:paraId="42B843FE" w14:textId="77777777" w:rsidR="00F0726E" w:rsidRPr="00F93A91" w:rsidRDefault="00F0726E" w:rsidP="00F0726E">
      <w:pPr>
        <w:jc w:val="both"/>
        <w:rPr>
          <w:highlight w:val="yellow"/>
        </w:rPr>
      </w:pPr>
    </w:p>
    <w:p w14:paraId="321544C9" w14:textId="77777777" w:rsidR="00F0726E" w:rsidRPr="00196BD2" w:rsidRDefault="00AA27FD" w:rsidP="00F0726E">
      <w:pPr>
        <w:jc w:val="both"/>
        <w:rPr>
          <w:b/>
        </w:rPr>
      </w:pPr>
      <w:r w:rsidRPr="00196BD2">
        <w:rPr>
          <w:b/>
        </w:rPr>
        <w:t>Risk management</w:t>
      </w:r>
    </w:p>
    <w:p w14:paraId="74FCA0DE" w14:textId="77777777" w:rsidR="00F0726E" w:rsidRPr="00196BD2" w:rsidRDefault="00F0726E" w:rsidP="00F0726E">
      <w:pPr>
        <w:jc w:val="both"/>
      </w:pPr>
    </w:p>
    <w:p w14:paraId="1AB45A4A" w14:textId="38D0090D" w:rsidR="00F0726E" w:rsidRPr="00196BD2" w:rsidRDefault="00AA27FD" w:rsidP="00F0726E">
      <w:pPr>
        <w:jc w:val="both"/>
      </w:pPr>
      <w:r w:rsidRPr="00196BD2">
        <w:t>If additional primary school places are not created</w:t>
      </w:r>
      <w:r w:rsidR="00AB45BD">
        <w:t>,</w:t>
      </w:r>
      <w:r w:rsidRPr="00196BD2">
        <w:t xml:space="preserve"> there is a risk that the authority would fail in its statutory responsibility to make sure that a school place is available to all Lancashire children of the appropriate age range that want one. </w:t>
      </w:r>
    </w:p>
    <w:p w14:paraId="13F88341" w14:textId="77777777" w:rsidR="00F0726E" w:rsidRPr="00196BD2" w:rsidRDefault="00F0726E" w:rsidP="00F0726E">
      <w:pPr>
        <w:jc w:val="both"/>
      </w:pPr>
    </w:p>
    <w:p w14:paraId="3FD01B32" w14:textId="67222D84" w:rsidR="00F0726E" w:rsidRPr="00196BD2" w:rsidRDefault="00AA27FD" w:rsidP="00F0726E">
      <w:pPr>
        <w:jc w:val="both"/>
      </w:pPr>
      <w:r w:rsidRPr="00196BD2">
        <w:t xml:space="preserve">Providing additional places increases the overall capacity in the area and, if birth rates fall in the future, there may be surplus places. </w:t>
      </w:r>
      <w:r w:rsidR="00196BD2">
        <w:t>However, the provision of these places via an all through school means that any such surplus could be managed better.</w:t>
      </w:r>
    </w:p>
    <w:p w14:paraId="2DB02B0D" w14:textId="77777777" w:rsidR="00B7557E" w:rsidRPr="00196BD2" w:rsidRDefault="00B7557E" w:rsidP="00F0726E">
      <w:pPr>
        <w:jc w:val="both"/>
      </w:pPr>
    </w:p>
    <w:p w14:paraId="5A705C0D" w14:textId="1FF81B3B" w:rsidR="00F0726E" w:rsidRDefault="00AA27FD" w:rsidP="00F0726E">
      <w:pPr>
        <w:jc w:val="both"/>
      </w:pPr>
      <w:r w:rsidRPr="00196BD2">
        <w:t xml:space="preserve">Providing any additional accommodation for an increased number of pupils will </w:t>
      </w:r>
      <w:r w:rsidR="00196BD2">
        <w:t xml:space="preserve">always </w:t>
      </w:r>
      <w:r w:rsidRPr="00196BD2">
        <w:t>need to be carefully managed</w:t>
      </w:r>
      <w:r w:rsidR="00AB45BD">
        <w:t>,</w:t>
      </w:r>
      <w:r w:rsidRPr="00196BD2">
        <w:t xml:space="preserve"> to improve traffic congestion and community facilities at the same time as delivering </w:t>
      </w:r>
      <w:r w:rsidR="001F79B7">
        <w:t>modern</w:t>
      </w:r>
      <w:r w:rsidRPr="00196BD2">
        <w:t xml:space="preserve"> teaching and learning facilities.</w:t>
      </w:r>
    </w:p>
    <w:p w14:paraId="2981E752" w14:textId="7793F0E1" w:rsidR="006A7D17" w:rsidRDefault="006A7D17" w:rsidP="00F0726E">
      <w:pPr>
        <w:jc w:val="both"/>
      </w:pPr>
    </w:p>
    <w:p w14:paraId="2B62FB71" w14:textId="1502AA1B" w:rsidR="00F0726E" w:rsidRDefault="00AA27FD" w:rsidP="00F0726E">
      <w:pPr>
        <w:jc w:val="both"/>
      </w:pPr>
      <w:r>
        <w:t>Planning permission for the new building must be applied for by April 2022</w:t>
      </w:r>
      <w:r w:rsidR="00AB45BD">
        <w:t>,</w:t>
      </w:r>
      <w:r>
        <w:t xml:space="preserve"> under the outline permission for the site-wide masterplan. The current programme will ensure an application is made </w:t>
      </w:r>
      <w:r w:rsidR="00E66883">
        <w:t>early in the new year</w:t>
      </w:r>
      <w:r w:rsidR="00A5412E">
        <w:t>.</w:t>
      </w:r>
      <w:r>
        <w:t xml:space="preserve"> However, although a school was included in the original masterplan, planning permission for the proposed design cannot be </w:t>
      </w:r>
      <w:r>
        <w:lastRenderedPageBreak/>
        <w:t>assumed. The design</w:t>
      </w:r>
      <w:r w:rsidR="001F79B7">
        <w:t xml:space="preserve"> team</w:t>
      </w:r>
      <w:r>
        <w:t xml:space="preserve"> will discuss the proposals</w:t>
      </w:r>
      <w:r w:rsidR="00AB45BD">
        <w:t>,</w:t>
      </w:r>
      <w:r>
        <w:t xml:space="preserve"> in advance of a formal application</w:t>
      </w:r>
      <w:r w:rsidR="00AB45BD">
        <w:t>,</w:t>
      </w:r>
      <w:r>
        <w:t xml:space="preserve"> to ensure officers are aware of the scheme and any requirements are incorporated</w:t>
      </w:r>
      <w:r w:rsidR="000B7B11">
        <w:t>.</w:t>
      </w:r>
      <w:r w:rsidR="00AB45BD">
        <w:t xml:space="preserve"> </w:t>
      </w:r>
      <w:r w:rsidRPr="00196BD2">
        <w:t>If planning permission for the site was not secured</w:t>
      </w:r>
      <w:r w:rsidRPr="00196BD2">
        <w:rPr>
          <w:color w:val="FF0000"/>
        </w:rPr>
        <w:t xml:space="preserve"> </w:t>
      </w:r>
      <w:r w:rsidRPr="00196BD2">
        <w:t>this would present a risk</w:t>
      </w:r>
      <w:r w:rsidR="00394512" w:rsidRPr="00196BD2">
        <w:t>.</w:t>
      </w:r>
      <w:r w:rsidRPr="00196BD2">
        <w:t xml:space="preserve">  </w:t>
      </w:r>
    </w:p>
    <w:p w14:paraId="255BBD41" w14:textId="257C905A" w:rsidR="00196BD2" w:rsidRDefault="00196BD2" w:rsidP="00F0726E">
      <w:pPr>
        <w:jc w:val="both"/>
        <w:rPr>
          <w:color w:val="FF0000"/>
          <w:highlight w:val="yellow"/>
        </w:rPr>
      </w:pPr>
    </w:p>
    <w:p w14:paraId="36BAA08A" w14:textId="2C067BC3" w:rsidR="008B5006" w:rsidRDefault="00AA27FD" w:rsidP="00F0726E">
      <w:pPr>
        <w:jc w:val="both"/>
        <w:rPr>
          <w:b/>
          <w:bCs/>
        </w:rPr>
      </w:pPr>
      <w:r w:rsidRPr="004D0755">
        <w:rPr>
          <w:b/>
          <w:bCs/>
        </w:rPr>
        <w:t>Legal</w:t>
      </w:r>
    </w:p>
    <w:p w14:paraId="0FC6AE5A" w14:textId="77777777" w:rsidR="008B5006" w:rsidRPr="004D0755" w:rsidRDefault="008B5006" w:rsidP="00F0726E">
      <w:pPr>
        <w:jc w:val="both"/>
        <w:rPr>
          <w:b/>
          <w:bCs/>
        </w:rPr>
      </w:pPr>
    </w:p>
    <w:p w14:paraId="129E3366" w14:textId="77777777" w:rsidR="008B5006" w:rsidRPr="004D0755" w:rsidRDefault="00AA27FD" w:rsidP="008B5006">
      <w:pPr>
        <w:jc w:val="both"/>
      </w:pPr>
      <w:r w:rsidRPr="004D0755">
        <w:t>In accordance with School Organisation (Prescribed Alterations to Maintained Schools) Regulations the statutory notices on the proposal to extend the age range of Ribblesdale High School were published on 30</w:t>
      </w:r>
      <w:r w:rsidRPr="004D0755">
        <w:rPr>
          <w:vertAlign w:val="superscript"/>
        </w:rPr>
        <w:t>th</w:t>
      </w:r>
      <w:r w:rsidRPr="004D0755">
        <w:t xml:space="preserve"> September 2021.</w:t>
      </w:r>
    </w:p>
    <w:p w14:paraId="6E0329E4" w14:textId="77777777" w:rsidR="008B5006" w:rsidRPr="004D0755" w:rsidRDefault="008B5006" w:rsidP="00F0726E">
      <w:pPr>
        <w:jc w:val="both"/>
        <w:rPr>
          <w:highlight w:val="yellow"/>
        </w:rPr>
      </w:pPr>
    </w:p>
    <w:p w14:paraId="0F54E9E2" w14:textId="5A985914" w:rsidR="00F0726E" w:rsidRDefault="00AA27FD" w:rsidP="00F0726E">
      <w:pPr>
        <w:jc w:val="both"/>
        <w:rPr>
          <w:b/>
        </w:rPr>
      </w:pPr>
      <w:r w:rsidRPr="00196BD2">
        <w:rPr>
          <w:b/>
        </w:rPr>
        <w:t>Financial</w:t>
      </w:r>
    </w:p>
    <w:p w14:paraId="219E39F2" w14:textId="77777777" w:rsidR="00196BD2" w:rsidRPr="00196BD2" w:rsidRDefault="00196BD2" w:rsidP="00F0726E">
      <w:pPr>
        <w:jc w:val="both"/>
        <w:rPr>
          <w:b/>
        </w:rPr>
      </w:pPr>
    </w:p>
    <w:p w14:paraId="0C0B1060" w14:textId="362A6C15" w:rsidR="00685547" w:rsidRDefault="00AA27FD" w:rsidP="00F0726E">
      <w:pPr>
        <w:autoSpaceDE w:val="0"/>
        <w:autoSpaceDN w:val="0"/>
        <w:adjustRightInd w:val="0"/>
        <w:jc w:val="both"/>
        <w:rPr>
          <w:rFonts w:cs="Arial"/>
          <w:szCs w:val="24"/>
        </w:rPr>
      </w:pPr>
      <w:r>
        <w:rPr>
          <w:rFonts w:cs="Arial"/>
          <w:szCs w:val="24"/>
        </w:rPr>
        <w:t>Appendix 'C' to t</w:t>
      </w:r>
      <w:r w:rsidR="00F03CE6" w:rsidRPr="00F93A91">
        <w:rPr>
          <w:rFonts w:cs="Arial"/>
          <w:szCs w:val="24"/>
        </w:rPr>
        <w:t xml:space="preserve">he June 2021 Cabinet </w:t>
      </w:r>
      <w:r>
        <w:rPr>
          <w:rFonts w:cs="Arial"/>
          <w:szCs w:val="24"/>
        </w:rPr>
        <w:t>r</w:t>
      </w:r>
      <w:r w:rsidR="00F03CE6" w:rsidRPr="00F93A91">
        <w:rPr>
          <w:rFonts w:cs="Arial"/>
          <w:szCs w:val="24"/>
        </w:rPr>
        <w:t xml:space="preserve">eport set out anticipated costs for the new building. Funds have been set aside from the Basic Need allocation for the project based on current estimates. The scheme will be partially funded from </w:t>
      </w:r>
      <w:r w:rsidR="001F79B7">
        <w:rPr>
          <w:rFonts w:cs="Arial"/>
          <w:szCs w:val="24"/>
        </w:rPr>
        <w:t>contributions</w:t>
      </w:r>
      <w:r w:rsidR="001F79B7" w:rsidRPr="00F93A91">
        <w:rPr>
          <w:rFonts w:cs="Arial"/>
          <w:szCs w:val="24"/>
        </w:rPr>
        <w:t xml:space="preserve"> </w:t>
      </w:r>
      <w:r w:rsidR="00F03CE6" w:rsidRPr="00F93A91">
        <w:rPr>
          <w:rFonts w:cs="Arial"/>
          <w:szCs w:val="24"/>
        </w:rPr>
        <w:t>agreed as part of the Section 106 agreement for the site. Some of these monies have already been received and the remainder will be payable in stages as the various phases of the housing development are occupied.</w:t>
      </w:r>
    </w:p>
    <w:p w14:paraId="21D3264C" w14:textId="77777777" w:rsidR="006A7D17" w:rsidRPr="00196BD2" w:rsidRDefault="006A7D17" w:rsidP="00F0726E">
      <w:pPr>
        <w:autoSpaceDE w:val="0"/>
        <w:autoSpaceDN w:val="0"/>
        <w:adjustRightInd w:val="0"/>
        <w:jc w:val="both"/>
        <w:rPr>
          <w:rFonts w:ascii="TT6E68Fo00" w:hAnsi="TT6E68Fo00" w:cs="TT6E68Fo00"/>
          <w:color w:val="FF0000"/>
          <w:szCs w:val="24"/>
        </w:rPr>
      </w:pPr>
    </w:p>
    <w:p w14:paraId="48AEE5DC" w14:textId="33EAD326" w:rsidR="00F0726E" w:rsidRDefault="00AA27FD" w:rsidP="00685547">
      <w:pPr>
        <w:autoSpaceDE w:val="0"/>
        <w:autoSpaceDN w:val="0"/>
        <w:adjustRightInd w:val="0"/>
        <w:jc w:val="both"/>
      </w:pPr>
      <w:r>
        <w:t xml:space="preserve">Additional revenue funding would be required to meet the projected growth in pupil numbers. Revenue funding would be found from the Dedicated Schools Grant, which is increased in line with rising pupil numbers. </w:t>
      </w:r>
    </w:p>
    <w:p w14:paraId="52B3284E" w14:textId="77777777" w:rsidR="00F96F60" w:rsidRPr="00F93A91" w:rsidRDefault="00F96F60" w:rsidP="00685547">
      <w:pPr>
        <w:autoSpaceDE w:val="0"/>
        <w:autoSpaceDN w:val="0"/>
        <w:adjustRightInd w:val="0"/>
        <w:jc w:val="both"/>
      </w:pPr>
    </w:p>
    <w:p w14:paraId="2D0823F0" w14:textId="0E1651F0" w:rsidR="00F96F60" w:rsidRDefault="00AA27FD" w:rsidP="00F96F60">
      <w:pPr>
        <w:autoSpaceDE w:val="0"/>
        <w:autoSpaceDN w:val="0"/>
        <w:adjustRightInd w:val="0"/>
        <w:jc w:val="both"/>
      </w:pPr>
      <w:r>
        <w:t>Some revenue funding will be provided through the Lancashire growth funding policy, which is funded from the Dedicated Schools Grant. This policy will provide a one-off lump sum to</w:t>
      </w:r>
      <w:r w:rsidRPr="009E06E9">
        <w:t xml:space="preserve"> </w:t>
      </w:r>
      <w:r>
        <w:t xml:space="preserve">support pre-opening costs and can provide additional funding for the new school, once it has opened, to ensure that the new school is not disadvantaged due to diseconomies of scale in its early years. </w:t>
      </w:r>
    </w:p>
    <w:p w14:paraId="7C9945F9" w14:textId="6487B9DF" w:rsidR="00F03CE6" w:rsidRDefault="00F03CE6" w:rsidP="00F96F60">
      <w:pPr>
        <w:autoSpaceDE w:val="0"/>
        <w:autoSpaceDN w:val="0"/>
        <w:adjustRightInd w:val="0"/>
        <w:jc w:val="both"/>
      </w:pPr>
    </w:p>
    <w:p w14:paraId="2380C268" w14:textId="612E9CE8" w:rsidR="00F0726E" w:rsidRPr="0024669A" w:rsidRDefault="00AA27FD" w:rsidP="00F0726E">
      <w:pPr>
        <w:autoSpaceDE w:val="0"/>
        <w:autoSpaceDN w:val="0"/>
        <w:adjustRightInd w:val="0"/>
        <w:jc w:val="both"/>
        <w:rPr>
          <w:b/>
          <w:bCs/>
        </w:rPr>
      </w:pPr>
      <w:r w:rsidRPr="0024669A">
        <w:rPr>
          <w:b/>
          <w:bCs/>
        </w:rPr>
        <w:t>Property Asset Management</w:t>
      </w:r>
    </w:p>
    <w:p w14:paraId="544649E5" w14:textId="6DFE06C6" w:rsidR="008B5006" w:rsidRDefault="008B5006" w:rsidP="00F0726E">
      <w:pPr>
        <w:autoSpaceDE w:val="0"/>
        <w:autoSpaceDN w:val="0"/>
        <w:adjustRightInd w:val="0"/>
        <w:jc w:val="both"/>
        <w:rPr>
          <w:color w:val="FF0000"/>
          <w:highlight w:val="yellow"/>
        </w:rPr>
      </w:pPr>
    </w:p>
    <w:p w14:paraId="36BF248E" w14:textId="35209E18" w:rsidR="008B5006" w:rsidRDefault="00AA27FD" w:rsidP="008B5006">
      <w:pPr>
        <w:pStyle w:val="Default"/>
        <w:jc w:val="both"/>
        <w:rPr>
          <w:i/>
          <w:iCs/>
        </w:rPr>
      </w:pPr>
      <w:r w:rsidRPr="00196BD2">
        <w:t>The additional accommodation will be provided on the</w:t>
      </w:r>
      <w:r w:rsidRPr="00D23C6E">
        <w:t xml:space="preserve"> site reserved for primary school places on the Higher Standen </w:t>
      </w:r>
      <w:r>
        <w:t xml:space="preserve">Farm </w:t>
      </w:r>
      <w:r w:rsidRPr="00D23C6E">
        <w:t xml:space="preserve">development, which </w:t>
      </w:r>
      <w:r>
        <w:t>is located next to</w:t>
      </w:r>
      <w:r w:rsidRPr="00D23C6E">
        <w:t xml:space="preserve"> the existing high school </w:t>
      </w:r>
      <w:r>
        <w:t xml:space="preserve">playing field </w:t>
      </w:r>
      <w:r w:rsidRPr="00D23C6E">
        <w:t>site</w:t>
      </w:r>
      <w:r w:rsidRPr="00196BD2">
        <w:t xml:space="preserve">.  </w:t>
      </w:r>
      <w:r w:rsidRPr="00196BD2">
        <w:rPr>
          <w:i/>
          <w:iCs/>
        </w:rPr>
        <w:t xml:space="preserve"> </w:t>
      </w:r>
    </w:p>
    <w:p w14:paraId="3F5DC6F3" w14:textId="77777777" w:rsidR="0024669A" w:rsidRPr="00F93A91" w:rsidRDefault="0024669A" w:rsidP="008B5006">
      <w:pPr>
        <w:pStyle w:val="Default"/>
        <w:jc w:val="both"/>
        <w:rPr>
          <w:i/>
          <w:color w:val="auto"/>
          <w:highlight w:val="yellow"/>
        </w:rPr>
      </w:pPr>
    </w:p>
    <w:p w14:paraId="3DCE7298" w14:textId="77777777" w:rsidR="0024669A" w:rsidRPr="004F33E8" w:rsidRDefault="00AA27FD" w:rsidP="0024669A">
      <w:pPr>
        <w:pStyle w:val="Default"/>
        <w:jc w:val="both"/>
        <w:rPr>
          <w:color w:val="auto"/>
          <w:highlight w:val="yellow"/>
        </w:rPr>
      </w:pPr>
      <w:r w:rsidRPr="00A001CE">
        <w:t>The school site has been secured as part of a Section 106 agreement.</w:t>
      </w:r>
      <w:r>
        <w:t xml:space="preserve">  The developer is to complete ancillary works before the transfer.  When the land transfer is completed, the land will be in the ownership and the responsibility of the county council.  </w:t>
      </w:r>
    </w:p>
    <w:p w14:paraId="340EF900" w14:textId="77777777" w:rsidR="0024669A" w:rsidRDefault="0024669A" w:rsidP="0024669A">
      <w:pPr>
        <w:autoSpaceDE w:val="0"/>
        <w:autoSpaceDN w:val="0"/>
        <w:adjustRightInd w:val="0"/>
        <w:jc w:val="both"/>
        <w:rPr>
          <w:color w:val="FF0000"/>
          <w:highlight w:val="yellow"/>
        </w:rPr>
      </w:pPr>
    </w:p>
    <w:p w14:paraId="1DAED132" w14:textId="77777777" w:rsidR="00F0726E" w:rsidRPr="00196BD2" w:rsidRDefault="00AA27FD" w:rsidP="00F0726E">
      <w:pPr>
        <w:autoSpaceDE w:val="0"/>
        <w:autoSpaceDN w:val="0"/>
        <w:adjustRightInd w:val="0"/>
        <w:jc w:val="both"/>
        <w:rPr>
          <w:rFonts w:cs="Arial"/>
          <w:b/>
          <w:szCs w:val="24"/>
        </w:rPr>
      </w:pPr>
      <w:r w:rsidRPr="00196BD2">
        <w:rPr>
          <w:rFonts w:cs="Arial"/>
          <w:b/>
          <w:szCs w:val="24"/>
        </w:rPr>
        <w:t>Equality and Diversity</w:t>
      </w:r>
    </w:p>
    <w:p w14:paraId="569C3498" w14:textId="77777777" w:rsidR="00F0726E" w:rsidRPr="00F93A91" w:rsidRDefault="00F0726E" w:rsidP="00F0726E">
      <w:pPr>
        <w:autoSpaceDE w:val="0"/>
        <w:autoSpaceDN w:val="0"/>
        <w:adjustRightInd w:val="0"/>
        <w:jc w:val="both"/>
        <w:rPr>
          <w:rFonts w:cs="Arial"/>
          <w:szCs w:val="24"/>
        </w:rPr>
      </w:pPr>
    </w:p>
    <w:p w14:paraId="0EA29419" w14:textId="5AC34601" w:rsidR="00AB744A" w:rsidRPr="00B5603D" w:rsidRDefault="00AA27FD" w:rsidP="00AB744A">
      <w:pPr>
        <w:autoSpaceDE w:val="0"/>
        <w:autoSpaceDN w:val="0"/>
        <w:adjustRightInd w:val="0"/>
        <w:jc w:val="both"/>
        <w:rPr>
          <w:bCs/>
          <w:i/>
          <w:iCs/>
        </w:rPr>
      </w:pPr>
      <w:r w:rsidRPr="00B5603D">
        <w:rPr>
          <w:bCs/>
        </w:rPr>
        <w:t>The decision-maker must comply with the Public Sector Equality Duty , which requires them to have ‘due regard’ to the need to: eliminate discrimination, harassment, victimisation and any other conduct that is prohibited by or under the Equality Act 2010;  advance equality of opportunity between people who share a relevant protected characteristic and people who do not share it; and foster good relations between people who share a relevant protected characteristic and people who do not share it.</w:t>
      </w:r>
      <w:r w:rsidRPr="00B5603D">
        <w:rPr>
          <w:bCs/>
          <w:i/>
          <w:iCs/>
        </w:rPr>
        <w:t xml:space="preserve"> </w:t>
      </w:r>
    </w:p>
    <w:p w14:paraId="0E183F07" w14:textId="77777777" w:rsidR="00AB744A" w:rsidRPr="00B5603D" w:rsidRDefault="00AB744A" w:rsidP="00AB744A">
      <w:pPr>
        <w:autoSpaceDE w:val="0"/>
        <w:autoSpaceDN w:val="0"/>
        <w:adjustRightInd w:val="0"/>
        <w:jc w:val="both"/>
        <w:rPr>
          <w:bCs/>
          <w:i/>
        </w:rPr>
      </w:pPr>
    </w:p>
    <w:p w14:paraId="5336AF02" w14:textId="2222AFD7" w:rsidR="00AB744A" w:rsidRDefault="00AA27FD" w:rsidP="00AB744A">
      <w:pPr>
        <w:autoSpaceDE w:val="0"/>
        <w:autoSpaceDN w:val="0"/>
        <w:adjustRightInd w:val="0"/>
        <w:jc w:val="both"/>
        <w:rPr>
          <w:bCs/>
        </w:rPr>
      </w:pPr>
      <w:r w:rsidRPr="00B5603D">
        <w:rPr>
          <w:bCs/>
        </w:rPr>
        <w:t>The proposal is to expand the school which will not disadvantage any group and will benefit current and additional future pupils at the school.</w:t>
      </w:r>
    </w:p>
    <w:p w14:paraId="27C08567" w14:textId="5B8248EA" w:rsidR="00AB744A" w:rsidRDefault="00AB744A" w:rsidP="00AB744A">
      <w:pPr>
        <w:autoSpaceDE w:val="0"/>
        <w:autoSpaceDN w:val="0"/>
        <w:adjustRightInd w:val="0"/>
        <w:jc w:val="both"/>
        <w:rPr>
          <w:bCs/>
        </w:rPr>
      </w:pPr>
    </w:p>
    <w:p w14:paraId="37263D8A" w14:textId="77777777" w:rsidR="00AB744A" w:rsidRPr="00AB744A" w:rsidRDefault="00AA27FD" w:rsidP="00AB744A">
      <w:pPr>
        <w:autoSpaceDE w:val="0"/>
        <w:autoSpaceDN w:val="0"/>
        <w:adjustRightInd w:val="0"/>
        <w:jc w:val="both"/>
        <w:rPr>
          <w:bCs/>
        </w:rPr>
      </w:pPr>
      <w:r w:rsidRPr="00AB744A">
        <w:rPr>
          <w:bCs/>
        </w:rPr>
        <w:t>The new building will be single storey and accessible to pupils with disabilities.</w:t>
      </w:r>
    </w:p>
    <w:p w14:paraId="303424AE" w14:textId="77777777" w:rsidR="00AB744A" w:rsidRPr="00B5603D" w:rsidRDefault="00AB744A" w:rsidP="00AB744A">
      <w:pPr>
        <w:autoSpaceDE w:val="0"/>
        <w:autoSpaceDN w:val="0"/>
        <w:adjustRightInd w:val="0"/>
        <w:jc w:val="both"/>
        <w:rPr>
          <w:bCs/>
        </w:rPr>
      </w:pPr>
    </w:p>
    <w:p w14:paraId="4D2CD0CB" w14:textId="77777777" w:rsidR="00F0726E" w:rsidRPr="00C84514" w:rsidRDefault="00AA27FD" w:rsidP="00F0726E">
      <w:pPr>
        <w:pStyle w:val="Heading5"/>
        <w:jc w:val="both"/>
        <w:rPr>
          <w:rFonts w:ascii="Arial" w:hAnsi="Arial"/>
          <w:u w:val="none"/>
        </w:rPr>
      </w:pPr>
      <w:r w:rsidRPr="00C84514">
        <w:rPr>
          <w:rFonts w:ascii="Arial" w:hAnsi="Arial"/>
          <w:u w:val="none"/>
        </w:rPr>
        <w:t>Local Government (Access to Information) Act 1985</w:t>
      </w:r>
    </w:p>
    <w:p w14:paraId="4B52CF37" w14:textId="77777777" w:rsidR="00F0726E" w:rsidRPr="00C84514" w:rsidRDefault="00AA27FD" w:rsidP="00F0726E">
      <w:pPr>
        <w:pStyle w:val="Heading5"/>
        <w:jc w:val="both"/>
        <w:rPr>
          <w:rFonts w:ascii="Arial" w:hAnsi="Arial"/>
          <w:u w:val="none"/>
        </w:rPr>
      </w:pPr>
      <w:r w:rsidRPr="00C84514">
        <w:rPr>
          <w:rFonts w:ascii="Arial" w:hAnsi="Arial"/>
          <w:u w:val="none"/>
        </w:rPr>
        <w:t>List of Background Papers</w:t>
      </w:r>
    </w:p>
    <w:p w14:paraId="42E45828" w14:textId="77777777" w:rsidR="00F0726E" w:rsidRPr="00C84514" w:rsidRDefault="00F0726E" w:rsidP="00F0726E">
      <w:pPr>
        <w:jc w:val="both"/>
      </w:pPr>
    </w:p>
    <w:tbl>
      <w:tblPr>
        <w:tblW w:w="9180" w:type="dxa"/>
        <w:tblInd w:w="-108" w:type="dxa"/>
        <w:tblLayout w:type="fixed"/>
        <w:tblLook w:val="0000" w:firstRow="0" w:lastRow="0" w:firstColumn="0" w:lastColumn="0" w:noHBand="0" w:noVBand="0"/>
      </w:tblPr>
      <w:tblGrid>
        <w:gridCol w:w="3510"/>
        <w:gridCol w:w="2552"/>
        <w:gridCol w:w="3118"/>
      </w:tblGrid>
      <w:tr w:rsidR="00D93A4B" w14:paraId="25E5A1FA" w14:textId="77777777" w:rsidTr="00D343A0">
        <w:tc>
          <w:tcPr>
            <w:tcW w:w="3510" w:type="dxa"/>
          </w:tcPr>
          <w:p w14:paraId="4D16D4F1" w14:textId="77777777" w:rsidR="00F0726E" w:rsidRPr="00C84514" w:rsidRDefault="00AA27FD" w:rsidP="00F0726E">
            <w:pPr>
              <w:pStyle w:val="Heading7"/>
              <w:jc w:val="both"/>
              <w:rPr>
                <w:rFonts w:ascii="Arial" w:hAnsi="Arial"/>
                <w:u w:val="none"/>
              </w:rPr>
            </w:pPr>
            <w:r w:rsidRPr="00C84514">
              <w:rPr>
                <w:rFonts w:ascii="Arial" w:hAnsi="Arial"/>
                <w:u w:val="none"/>
              </w:rPr>
              <w:t>Paper</w:t>
            </w:r>
          </w:p>
        </w:tc>
        <w:tc>
          <w:tcPr>
            <w:tcW w:w="2552" w:type="dxa"/>
          </w:tcPr>
          <w:p w14:paraId="7FF3F64B" w14:textId="77777777" w:rsidR="00F0726E" w:rsidRPr="00C84514" w:rsidRDefault="00AA27FD" w:rsidP="00F0726E">
            <w:pPr>
              <w:pStyle w:val="Heading7"/>
              <w:jc w:val="both"/>
              <w:rPr>
                <w:rFonts w:ascii="Arial" w:hAnsi="Arial"/>
                <w:u w:val="none"/>
              </w:rPr>
            </w:pPr>
            <w:r w:rsidRPr="00C84514">
              <w:rPr>
                <w:rFonts w:ascii="Arial" w:hAnsi="Arial"/>
                <w:u w:val="none"/>
              </w:rPr>
              <w:t>Date</w:t>
            </w:r>
          </w:p>
        </w:tc>
        <w:tc>
          <w:tcPr>
            <w:tcW w:w="3118" w:type="dxa"/>
          </w:tcPr>
          <w:p w14:paraId="4D3C85CB" w14:textId="77777777" w:rsidR="00F0726E" w:rsidRPr="00C84514" w:rsidRDefault="00AA27FD" w:rsidP="00F0726E">
            <w:pPr>
              <w:pStyle w:val="Heading7"/>
              <w:jc w:val="both"/>
              <w:rPr>
                <w:rFonts w:ascii="Arial" w:hAnsi="Arial"/>
                <w:u w:val="none"/>
              </w:rPr>
            </w:pPr>
            <w:r w:rsidRPr="00C84514">
              <w:rPr>
                <w:rFonts w:ascii="Arial" w:hAnsi="Arial"/>
                <w:u w:val="none"/>
              </w:rPr>
              <w:t>Contact/Directorate/Tel</w:t>
            </w:r>
          </w:p>
        </w:tc>
      </w:tr>
      <w:tr w:rsidR="00D93A4B" w14:paraId="21DE5AAE" w14:textId="77777777" w:rsidTr="00D343A0">
        <w:tc>
          <w:tcPr>
            <w:tcW w:w="3510" w:type="dxa"/>
          </w:tcPr>
          <w:p w14:paraId="7583B681" w14:textId="77777777" w:rsidR="00F0726E" w:rsidRPr="00C84514" w:rsidRDefault="00F0726E" w:rsidP="00F0726E">
            <w:pPr>
              <w:jc w:val="both"/>
              <w:rPr>
                <w:highlight w:val="yellow"/>
              </w:rPr>
            </w:pPr>
          </w:p>
          <w:p w14:paraId="58FD6607" w14:textId="77777777" w:rsidR="00F0726E" w:rsidRPr="00C84514" w:rsidRDefault="00AA27FD" w:rsidP="00F0726E">
            <w:pPr>
              <w:jc w:val="both"/>
            </w:pPr>
            <w:r w:rsidRPr="00C84514">
              <w:t>All responses received during the Statutory Notice Period</w:t>
            </w:r>
            <w:r w:rsidRPr="00C84514">
              <w:rPr>
                <w:i/>
              </w:rPr>
              <w:t xml:space="preserve"> </w:t>
            </w:r>
          </w:p>
          <w:p w14:paraId="22F54F51" w14:textId="77777777" w:rsidR="00F0726E" w:rsidRPr="00C84514" w:rsidRDefault="00F0726E" w:rsidP="00F0726E">
            <w:pPr>
              <w:jc w:val="both"/>
              <w:rPr>
                <w:highlight w:val="yellow"/>
              </w:rPr>
            </w:pPr>
          </w:p>
        </w:tc>
        <w:tc>
          <w:tcPr>
            <w:tcW w:w="2552" w:type="dxa"/>
          </w:tcPr>
          <w:p w14:paraId="7C0DEBE4" w14:textId="77777777" w:rsidR="00F0726E" w:rsidRDefault="00F0726E" w:rsidP="00F0726E">
            <w:pPr>
              <w:jc w:val="both"/>
            </w:pPr>
          </w:p>
          <w:p w14:paraId="31771D02" w14:textId="3384EA8E" w:rsidR="003E2349" w:rsidRPr="00C84514" w:rsidRDefault="00AA27FD" w:rsidP="00F0726E">
            <w:pPr>
              <w:jc w:val="both"/>
              <w:rPr>
                <w:highlight w:val="yellow"/>
              </w:rPr>
            </w:pPr>
            <w:r>
              <w:t>Sept to Nov 2021</w:t>
            </w:r>
          </w:p>
        </w:tc>
        <w:tc>
          <w:tcPr>
            <w:tcW w:w="3118" w:type="dxa"/>
          </w:tcPr>
          <w:p w14:paraId="41A0A2C1" w14:textId="77777777" w:rsidR="00F0726E" w:rsidRPr="00C84514" w:rsidRDefault="00F0726E" w:rsidP="00F0726E">
            <w:pPr>
              <w:jc w:val="both"/>
            </w:pPr>
          </w:p>
          <w:p w14:paraId="4A909576" w14:textId="77777777" w:rsidR="00F0726E" w:rsidRPr="00C84514" w:rsidRDefault="00AA27FD" w:rsidP="00F0726E">
            <w:pPr>
              <w:jc w:val="both"/>
            </w:pPr>
            <w:r w:rsidRPr="00C84514">
              <w:t>Provision Planning Team</w:t>
            </w:r>
          </w:p>
          <w:p w14:paraId="27C2B76B" w14:textId="77777777" w:rsidR="00F0726E" w:rsidRPr="00C84514" w:rsidRDefault="00AA27FD" w:rsidP="00F0726E">
            <w:pPr>
              <w:jc w:val="both"/>
            </w:pPr>
            <w:r w:rsidRPr="00C84514">
              <w:t>Lancashire County Council</w:t>
            </w:r>
          </w:p>
          <w:p w14:paraId="74035EC2" w14:textId="77777777" w:rsidR="00F0726E" w:rsidRPr="00C84514" w:rsidRDefault="00AA27FD" w:rsidP="00F0726E">
            <w:pPr>
              <w:jc w:val="both"/>
            </w:pPr>
            <w:r w:rsidRPr="00C84514">
              <w:t>Tel (01772) 531</w:t>
            </w:r>
            <w:r w:rsidR="00C84514" w:rsidRPr="00C84514">
              <w:t>957</w:t>
            </w:r>
          </w:p>
          <w:p w14:paraId="0EBA731A" w14:textId="77777777" w:rsidR="00F0726E" w:rsidRPr="00C84514" w:rsidRDefault="00F0726E" w:rsidP="00F0726E">
            <w:pPr>
              <w:jc w:val="both"/>
            </w:pPr>
          </w:p>
        </w:tc>
      </w:tr>
    </w:tbl>
    <w:p w14:paraId="76B503B0" w14:textId="4CADDBD2" w:rsidR="009674C8" w:rsidRDefault="00AA27FD" w:rsidP="00F74A90">
      <w:pPr>
        <w:jc w:val="both"/>
      </w:pPr>
      <w:r>
        <w:t>Reason for inclusion in Part II, if appropriate</w:t>
      </w:r>
    </w:p>
    <w:p w14:paraId="44D6EA6B" w14:textId="03EBF0A1" w:rsidR="00AB45BD" w:rsidRDefault="00AB45BD" w:rsidP="00F74A90">
      <w:pPr>
        <w:jc w:val="both"/>
      </w:pPr>
    </w:p>
    <w:p w14:paraId="0D7AF73B" w14:textId="5C9504F4" w:rsidR="00AB45BD" w:rsidRDefault="00AA27FD" w:rsidP="00F74A90">
      <w:pPr>
        <w:jc w:val="both"/>
      </w:pPr>
      <w:r>
        <w:t>N/A</w:t>
      </w:r>
    </w:p>
    <w:sectPr w:rsidR="00AB45BD" w:rsidSect="00F76B51">
      <w:footerReference w:type="default" r:id="rId11"/>
      <w:footerReference w:type="first" r:id="rId12"/>
      <w:type w:val="continuous"/>
      <w:pgSz w:w="11907" w:h="16840" w:code="9"/>
      <w:pgMar w:top="1134" w:right="1440" w:bottom="993" w:left="1440" w:header="720" w:footer="306"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BC47A" w14:textId="77777777" w:rsidR="00404553" w:rsidRDefault="00AA27FD">
      <w:r>
        <w:separator/>
      </w:r>
    </w:p>
  </w:endnote>
  <w:endnote w:type="continuationSeparator" w:id="0">
    <w:p w14:paraId="5C1B80DA" w14:textId="77777777" w:rsidR="00404553" w:rsidRDefault="00AA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1ACDBFo00">
    <w:altName w:val="Calibri"/>
    <w:panose1 w:val="00000000000000000000"/>
    <w:charset w:val="00"/>
    <w:family w:val="auto"/>
    <w:notTrueType/>
    <w:pitch w:val="default"/>
    <w:sig w:usb0="00000003" w:usb1="00000000" w:usb2="00000000" w:usb3="00000000" w:csb0="00000001" w:csb1="00000000"/>
  </w:font>
  <w:font w:name="TT6E68F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0C5E4" w14:textId="77777777" w:rsidR="00CA269B" w:rsidRDefault="00CA269B" w:rsidP="009A1D57">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7BF9" w14:textId="4022362D" w:rsidR="00CA269B" w:rsidRDefault="00AA27FD">
    <w:pPr>
      <w:pStyle w:val="Footer"/>
      <w:jc w:val="right"/>
    </w:pPr>
    <w:r>
      <w:rPr>
        <w:noProof/>
      </w:rPr>
      <w:drawing>
        <wp:inline distT="0" distB="0" distL="0" distR="0" wp14:anchorId="7F319BA2" wp14:editId="2D2C899E">
          <wp:extent cx="1257300" cy="624840"/>
          <wp:effectExtent l="0" t="0" r="0" b="381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083237"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4840"/>
                  </a:xfrm>
                  <a:prstGeom prst="rect">
                    <a:avLst/>
                  </a:prstGeom>
                  <a:noFill/>
                  <a:ln>
                    <a:noFill/>
                  </a:ln>
                </pic:spPr>
              </pic:pic>
            </a:graphicData>
          </a:graphic>
        </wp:inline>
      </w:drawing>
    </w:r>
  </w:p>
  <w:p w14:paraId="16CAF0E7" w14:textId="77777777" w:rsidR="00CA269B" w:rsidRDefault="00CA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DED65" w14:textId="77777777" w:rsidR="00404553" w:rsidRDefault="00AA27FD">
      <w:r>
        <w:separator/>
      </w:r>
    </w:p>
  </w:footnote>
  <w:footnote w:type="continuationSeparator" w:id="0">
    <w:p w14:paraId="0DC89420" w14:textId="77777777" w:rsidR="00404553" w:rsidRDefault="00AA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01D"/>
    <w:multiLevelType w:val="hybridMultilevel"/>
    <w:tmpl w:val="41A0EA42"/>
    <w:lvl w:ilvl="0" w:tplc="703E587C">
      <w:numFmt w:val="bullet"/>
      <w:lvlText w:val="-"/>
      <w:lvlJc w:val="left"/>
      <w:pPr>
        <w:ind w:left="720" w:hanging="360"/>
      </w:pPr>
      <w:rPr>
        <w:rFonts w:ascii="Arial" w:eastAsia="Times New Roman" w:hAnsi="Arial" w:cs="Arial" w:hint="default"/>
      </w:rPr>
    </w:lvl>
    <w:lvl w:ilvl="1" w:tplc="0C64C322" w:tentative="1">
      <w:start w:val="1"/>
      <w:numFmt w:val="bullet"/>
      <w:lvlText w:val="o"/>
      <w:lvlJc w:val="left"/>
      <w:pPr>
        <w:ind w:left="1440" w:hanging="360"/>
      </w:pPr>
      <w:rPr>
        <w:rFonts w:ascii="Courier New" w:hAnsi="Courier New" w:cs="Courier New" w:hint="default"/>
      </w:rPr>
    </w:lvl>
    <w:lvl w:ilvl="2" w:tplc="9FE6AD90" w:tentative="1">
      <w:start w:val="1"/>
      <w:numFmt w:val="bullet"/>
      <w:lvlText w:val=""/>
      <w:lvlJc w:val="left"/>
      <w:pPr>
        <w:ind w:left="2160" w:hanging="360"/>
      </w:pPr>
      <w:rPr>
        <w:rFonts w:ascii="Wingdings" w:hAnsi="Wingdings" w:hint="default"/>
      </w:rPr>
    </w:lvl>
    <w:lvl w:ilvl="3" w:tplc="E416CCE2" w:tentative="1">
      <w:start w:val="1"/>
      <w:numFmt w:val="bullet"/>
      <w:lvlText w:val=""/>
      <w:lvlJc w:val="left"/>
      <w:pPr>
        <w:ind w:left="2880" w:hanging="360"/>
      </w:pPr>
      <w:rPr>
        <w:rFonts w:ascii="Symbol" w:hAnsi="Symbol" w:hint="default"/>
      </w:rPr>
    </w:lvl>
    <w:lvl w:ilvl="4" w:tplc="7EF04662" w:tentative="1">
      <w:start w:val="1"/>
      <w:numFmt w:val="bullet"/>
      <w:lvlText w:val="o"/>
      <w:lvlJc w:val="left"/>
      <w:pPr>
        <w:ind w:left="3600" w:hanging="360"/>
      </w:pPr>
      <w:rPr>
        <w:rFonts w:ascii="Courier New" w:hAnsi="Courier New" w:cs="Courier New" w:hint="default"/>
      </w:rPr>
    </w:lvl>
    <w:lvl w:ilvl="5" w:tplc="868C249C" w:tentative="1">
      <w:start w:val="1"/>
      <w:numFmt w:val="bullet"/>
      <w:lvlText w:val=""/>
      <w:lvlJc w:val="left"/>
      <w:pPr>
        <w:ind w:left="4320" w:hanging="360"/>
      </w:pPr>
      <w:rPr>
        <w:rFonts w:ascii="Wingdings" w:hAnsi="Wingdings" w:hint="default"/>
      </w:rPr>
    </w:lvl>
    <w:lvl w:ilvl="6" w:tplc="D28CE220" w:tentative="1">
      <w:start w:val="1"/>
      <w:numFmt w:val="bullet"/>
      <w:lvlText w:val=""/>
      <w:lvlJc w:val="left"/>
      <w:pPr>
        <w:ind w:left="5040" w:hanging="360"/>
      </w:pPr>
      <w:rPr>
        <w:rFonts w:ascii="Symbol" w:hAnsi="Symbol" w:hint="default"/>
      </w:rPr>
    </w:lvl>
    <w:lvl w:ilvl="7" w:tplc="7B9CAA7A" w:tentative="1">
      <w:start w:val="1"/>
      <w:numFmt w:val="bullet"/>
      <w:lvlText w:val="o"/>
      <w:lvlJc w:val="left"/>
      <w:pPr>
        <w:ind w:left="5760" w:hanging="360"/>
      </w:pPr>
      <w:rPr>
        <w:rFonts w:ascii="Courier New" w:hAnsi="Courier New" w:cs="Courier New" w:hint="default"/>
      </w:rPr>
    </w:lvl>
    <w:lvl w:ilvl="8" w:tplc="89DAFD14" w:tentative="1">
      <w:start w:val="1"/>
      <w:numFmt w:val="bullet"/>
      <w:lvlText w:val=""/>
      <w:lvlJc w:val="left"/>
      <w:pPr>
        <w:ind w:left="6480" w:hanging="360"/>
      </w:pPr>
      <w:rPr>
        <w:rFonts w:ascii="Wingdings" w:hAnsi="Wingdings" w:hint="default"/>
      </w:rPr>
    </w:lvl>
  </w:abstractNum>
  <w:abstractNum w:abstractNumId="1" w15:restartNumberingAfterBreak="0">
    <w:nsid w:val="0CF8421F"/>
    <w:multiLevelType w:val="hybridMultilevel"/>
    <w:tmpl w:val="AD4A6802"/>
    <w:lvl w:ilvl="0" w:tplc="14324A20">
      <w:start w:val="1"/>
      <w:numFmt w:val="bullet"/>
      <w:lvlText w:val=""/>
      <w:lvlJc w:val="left"/>
      <w:pPr>
        <w:ind w:left="720" w:hanging="360"/>
      </w:pPr>
      <w:rPr>
        <w:rFonts w:ascii="Symbol" w:hAnsi="Symbol" w:hint="default"/>
      </w:rPr>
    </w:lvl>
    <w:lvl w:ilvl="1" w:tplc="33165D60">
      <w:start w:val="1"/>
      <w:numFmt w:val="decimal"/>
      <w:lvlText w:val="%2."/>
      <w:lvlJc w:val="left"/>
      <w:pPr>
        <w:tabs>
          <w:tab w:val="num" w:pos="1440"/>
        </w:tabs>
        <w:ind w:left="1440" w:hanging="360"/>
      </w:pPr>
    </w:lvl>
    <w:lvl w:ilvl="2" w:tplc="A96E6152">
      <w:start w:val="1"/>
      <w:numFmt w:val="decimal"/>
      <w:lvlText w:val="%3."/>
      <w:lvlJc w:val="left"/>
      <w:pPr>
        <w:tabs>
          <w:tab w:val="num" w:pos="2160"/>
        </w:tabs>
        <w:ind w:left="2160" w:hanging="360"/>
      </w:pPr>
    </w:lvl>
    <w:lvl w:ilvl="3" w:tplc="EC0075DC">
      <w:start w:val="1"/>
      <w:numFmt w:val="decimal"/>
      <w:lvlText w:val="%4."/>
      <w:lvlJc w:val="left"/>
      <w:pPr>
        <w:tabs>
          <w:tab w:val="num" w:pos="2880"/>
        </w:tabs>
        <w:ind w:left="2880" w:hanging="360"/>
      </w:pPr>
    </w:lvl>
    <w:lvl w:ilvl="4" w:tplc="109CB402">
      <w:start w:val="1"/>
      <w:numFmt w:val="decimal"/>
      <w:lvlText w:val="%5."/>
      <w:lvlJc w:val="left"/>
      <w:pPr>
        <w:tabs>
          <w:tab w:val="num" w:pos="3600"/>
        </w:tabs>
        <w:ind w:left="3600" w:hanging="360"/>
      </w:pPr>
    </w:lvl>
    <w:lvl w:ilvl="5" w:tplc="5770C14A">
      <w:start w:val="1"/>
      <w:numFmt w:val="decimal"/>
      <w:lvlText w:val="%6."/>
      <w:lvlJc w:val="left"/>
      <w:pPr>
        <w:tabs>
          <w:tab w:val="num" w:pos="4320"/>
        </w:tabs>
        <w:ind w:left="4320" w:hanging="360"/>
      </w:pPr>
    </w:lvl>
    <w:lvl w:ilvl="6" w:tplc="B4FCDDA0">
      <w:start w:val="1"/>
      <w:numFmt w:val="decimal"/>
      <w:lvlText w:val="%7."/>
      <w:lvlJc w:val="left"/>
      <w:pPr>
        <w:tabs>
          <w:tab w:val="num" w:pos="5040"/>
        </w:tabs>
        <w:ind w:left="5040" w:hanging="360"/>
      </w:pPr>
    </w:lvl>
    <w:lvl w:ilvl="7" w:tplc="FA040628">
      <w:start w:val="1"/>
      <w:numFmt w:val="decimal"/>
      <w:lvlText w:val="%8."/>
      <w:lvlJc w:val="left"/>
      <w:pPr>
        <w:tabs>
          <w:tab w:val="num" w:pos="5760"/>
        </w:tabs>
        <w:ind w:left="5760" w:hanging="360"/>
      </w:pPr>
    </w:lvl>
    <w:lvl w:ilvl="8" w:tplc="8E26B6DE">
      <w:start w:val="1"/>
      <w:numFmt w:val="decimal"/>
      <w:lvlText w:val="%9."/>
      <w:lvlJc w:val="left"/>
      <w:pPr>
        <w:tabs>
          <w:tab w:val="num" w:pos="6480"/>
        </w:tabs>
        <w:ind w:left="6480" w:hanging="360"/>
      </w:pPr>
    </w:lvl>
  </w:abstractNum>
  <w:abstractNum w:abstractNumId="2" w15:restartNumberingAfterBreak="0">
    <w:nsid w:val="16D80651"/>
    <w:multiLevelType w:val="hybridMultilevel"/>
    <w:tmpl w:val="0254A25E"/>
    <w:lvl w:ilvl="0" w:tplc="719A90FE">
      <w:start w:val="1"/>
      <w:numFmt w:val="bullet"/>
      <w:lvlText w:val="-"/>
      <w:lvlJc w:val="left"/>
      <w:pPr>
        <w:tabs>
          <w:tab w:val="num" w:pos="567"/>
        </w:tabs>
        <w:ind w:left="567" w:hanging="567"/>
      </w:pPr>
      <w:rPr>
        <w:rFonts w:ascii="Courier New" w:hAnsi="Courier New" w:hint="default"/>
      </w:rPr>
    </w:lvl>
    <w:lvl w:ilvl="1" w:tplc="E6B684D6" w:tentative="1">
      <w:start w:val="1"/>
      <w:numFmt w:val="bullet"/>
      <w:lvlText w:val="o"/>
      <w:lvlJc w:val="left"/>
      <w:pPr>
        <w:tabs>
          <w:tab w:val="num" w:pos="1440"/>
        </w:tabs>
        <w:ind w:left="1440" w:hanging="360"/>
      </w:pPr>
      <w:rPr>
        <w:rFonts w:ascii="Courier New" w:hAnsi="Courier New" w:cs="Courier New" w:hint="default"/>
      </w:rPr>
    </w:lvl>
    <w:lvl w:ilvl="2" w:tplc="678AB960" w:tentative="1">
      <w:start w:val="1"/>
      <w:numFmt w:val="bullet"/>
      <w:lvlText w:val=""/>
      <w:lvlJc w:val="left"/>
      <w:pPr>
        <w:tabs>
          <w:tab w:val="num" w:pos="2160"/>
        </w:tabs>
        <w:ind w:left="2160" w:hanging="360"/>
      </w:pPr>
      <w:rPr>
        <w:rFonts w:ascii="Wingdings" w:hAnsi="Wingdings" w:hint="default"/>
      </w:rPr>
    </w:lvl>
    <w:lvl w:ilvl="3" w:tplc="3FC4C94A" w:tentative="1">
      <w:start w:val="1"/>
      <w:numFmt w:val="bullet"/>
      <w:lvlText w:val=""/>
      <w:lvlJc w:val="left"/>
      <w:pPr>
        <w:tabs>
          <w:tab w:val="num" w:pos="2880"/>
        </w:tabs>
        <w:ind w:left="2880" w:hanging="360"/>
      </w:pPr>
      <w:rPr>
        <w:rFonts w:ascii="Symbol" w:hAnsi="Symbol" w:hint="default"/>
      </w:rPr>
    </w:lvl>
    <w:lvl w:ilvl="4" w:tplc="ABAEB910" w:tentative="1">
      <w:start w:val="1"/>
      <w:numFmt w:val="bullet"/>
      <w:lvlText w:val="o"/>
      <w:lvlJc w:val="left"/>
      <w:pPr>
        <w:tabs>
          <w:tab w:val="num" w:pos="3600"/>
        </w:tabs>
        <w:ind w:left="3600" w:hanging="360"/>
      </w:pPr>
      <w:rPr>
        <w:rFonts w:ascii="Courier New" w:hAnsi="Courier New" w:cs="Courier New" w:hint="default"/>
      </w:rPr>
    </w:lvl>
    <w:lvl w:ilvl="5" w:tplc="158056B6" w:tentative="1">
      <w:start w:val="1"/>
      <w:numFmt w:val="bullet"/>
      <w:lvlText w:val=""/>
      <w:lvlJc w:val="left"/>
      <w:pPr>
        <w:tabs>
          <w:tab w:val="num" w:pos="4320"/>
        </w:tabs>
        <w:ind w:left="4320" w:hanging="360"/>
      </w:pPr>
      <w:rPr>
        <w:rFonts w:ascii="Wingdings" w:hAnsi="Wingdings" w:hint="default"/>
      </w:rPr>
    </w:lvl>
    <w:lvl w:ilvl="6" w:tplc="1C0EB4FE" w:tentative="1">
      <w:start w:val="1"/>
      <w:numFmt w:val="bullet"/>
      <w:lvlText w:val=""/>
      <w:lvlJc w:val="left"/>
      <w:pPr>
        <w:tabs>
          <w:tab w:val="num" w:pos="5040"/>
        </w:tabs>
        <w:ind w:left="5040" w:hanging="360"/>
      </w:pPr>
      <w:rPr>
        <w:rFonts w:ascii="Symbol" w:hAnsi="Symbol" w:hint="default"/>
      </w:rPr>
    </w:lvl>
    <w:lvl w:ilvl="7" w:tplc="178CD06E" w:tentative="1">
      <w:start w:val="1"/>
      <w:numFmt w:val="bullet"/>
      <w:lvlText w:val="o"/>
      <w:lvlJc w:val="left"/>
      <w:pPr>
        <w:tabs>
          <w:tab w:val="num" w:pos="5760"/>
        </w:tabs>
        <w:ind w:left="5760" w:hanging="360"/>
      </w:pPr>
      <w:rPr>
        <w:rFonts w:ascii="Courier New" w:hAnsi="Courier New" w:cs="Courier New" w:hint="default"/>
      </w:rPr>
    </w:lvl>
    <w:lvl w:ilvl="8" w:tplc="B63492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14293"/>
    <w:multiLevelType w:val="hybridMultilevel"/>
    <w:tmpl w:val="1D04A712"/>
    <w:lvl w:ilvl="0" w:tplc="A92A3D18">
      <w:start w:val="1"/>
      <w:numFmt w:val="lowerRoman"/>
      <w:lvlText w:val="(%1)"/>
      <w:lvlJc w:val="left"/>
      <w:pPr>
        <w:ind w:left="720" w:hanging="360"/>
      </w:pPr>
      <w:rPr>
        <w:rFonts w:ascii="Arial" w:eastAsia="Times New Roman" w:hAnsi="Arial" w:cs="Times New Roman" w:hint="default"/>
      </w:rPr>
    </w:lvl>
    <w:lvl w:ilvl="1" w:tplc="3312A1E2" w:tentative="1">
      <w:start w:val="1"/>
      <w:numFmt w:val="lowerLetter"/>
      <w:lvlText w:val="%2."/>
      <w:lvlJc w:val="left"/>
      <w:pPr>
        <w:ind w:left="1440" w:hanging="360"/>
      </w:pPr>
    </w:lvl>
    <w:lvl w:ilvl="2" w:tplc="E0884A28" w:tentative="1">
      <w:start w:val="1"/>
      <w:numFmt w:val="lowerRoman"/>
      <w:lvlText w:val="%3."/>
      <w:lvlJc w:val="right"/>
      <w:pPr>
        <w:ind w:left="2160" w:hanging="180"/>
      </w:pPr>
    </w:lvl>
    <w:lvl w:ilvl="3" w:tplc="764E138C" w:tentative="1">
      <w:start w:val="1"/>
      <w:numFmt w:val="decimal"/>
      <w:lvlText w:val="%4."/>
      <w:lvlJc w:val="left"/>
      <w:pPr>
        <w:ind w:left="2880" w:hanging="360"/>
      </w:pPr>
    </w:lvl>
    <w:lvl w:ilvl="4" w:tplc="2E90977C" w:tentative="1">
      <w:start w:val="1"/>
      <w:numFmt w:val="lowerLetter"/>
      <w:lvlText w:val="%5."/>
      <w:lvlJc w:val="left"/>
      <w:pPr>
        <w:ind w:left="3600" w:hanging="360"/>
      </w:pPr>
    </w:lvl>
    <w:lvl w:ilvl="5" w:tplc="1C3ED074" w:tentative="1">
      <w:start w:val="1"/>
      <w:numFmt w:val="lowerRoman"/>
      <w:lvlText w:val="%6."/>
      <w:lvlJc w:val="right"/>
      <w:pPr>
        <w:ind w:left="4320" w:hanging="180"/>
      </w:pPr>
    </w:lvl>
    <w:lvl w:ilvl="6" w:tplc="815AF4F4" w:tentative="1">
      <w:start w:val="1"/>
      <w:numFmt w:val="decimal"/>
      <w:lvlText w:val="%7."/>
      <w:lvlJc w:val="left"/>
      <w:pPr>
        <w:ind w:left="5040" w:hanging="360"/>
      </w:pPr>
    </w:lvl>
    <w:lvl w:ilvl="7" w:tplc="FB52FF4A" w:tentative="1">
      <w:start w:val="1"/>
      <w:numFmt w:val="lowerLetter"/>
      <w:lvlText w:val="%8."/>
      <w:lvlJc w:val="left"/>
      <w:pPr>
        <w:ind w:left="5760" w:hanging="360"/>
      </w:pPr>
    </w:lvl>
    <w:lvl w:ilvl="8" w:tplc="65C00C72" w:tentative="1">
      <w:start w:val="1"/>
      <w:numFmt w:val="lowerRoman"/>
      <w:lvlText w:val="%9."/>
      <w:lvlJc w:val="right"/>
      <w:pPr>
        <w:ind w:left="6480" w:hanging="180"/>
      </w:pPr>
    </w:lvl>
  </w:abstractNum>
  <w:abstractNum w:abstractNumId="4" w15:restartNumberingAfterBreak="0">
    <w:nsid w:val="387E767A"/>
    <w:multiLevelType w:val="hybridMultilevel"/>
    <w:tmpl w:val="E7AA2C12"/>
    <w:lvl w:ilvl="0" w:tplc="68FACB70">
      <w:start w:val="1"/>
      <w:numFmt w:val="decimal"/>
      <w:lvlText w:val="%1."/>
      <w:lvlJc w:val="left"/>
      <w:pPr>
        <w:ind w:left="720" w:hanging="360"/>
      </w:pPr>
    </w:lvl>
    <w:lvl w:ilvl="1" w:tplc="217ACDBE" w:tentative="1">
      <w:start w:val="1"/>
      <w:numFmt w:val="lowerLetter"/>
      <w:lvlText w:val="%2."/>
      <w:lvlJc w:val="left"/>
      <w:pPr>
        <w:ind w:left="1440" w:hanging="360"/>
      </w:pPr>
    </w:lvl>
    <w:lvl w:ilvl="2" w:tplc="9FDA02CC" w:tentative="1">
      <w:start w:val="1"/>
      <w:numFmt w:val="lowerRoman"/>
      <w:lvlText w:val="%3."/>
      <w:lvlJc w:val="right"/>
      <w:pPr>
        <w:ind w:left="2160" w:hanging="180"/>
      </w:pPr>
    </w:lvl>
    <w:lvl w:ilvl="3" w:tplc="C4161EEE" w:tentative="1">
      <w:start w:val="1"/>
      <w:numFmt w:val="decimal"/>
      <w:lvlText w:val="%4."/>
      <w:lvlJc w:val="left"/>
      <w:pPr>
        <w:ind w:left="2880" w:hanging="360"/>
      </w:pPr>
    </w:lvl>
    <w:lvl w:ilvl="4" w:tplc="F958287C" w:tentative="1">
      <w:start w:val="1"/>
      <w:numFmt w:val="lowerLetter"/>
      <w:lvlText w:val="%5."/>
      <w:lvlJc w:val="left"/>
      <w:pPr>
        <w:ind w:left="3600" w:hanging="360"/>
      </w:pPr>
    </w:lvl>
    <w:lvl w:ilvl="5" w:tplc="7B90A4DC" w:tentative="1">
      <w:start w:val="1"/>
      <w:numFmt w:val="lowerRoman"/>
      <w:lvlText w:val="%6."/>
      <w:lvlJc w:val="right"/>
      <w:pPr>
        <w:ind w:left="4320" w:hanging="180"/>
      </w:pPr>
    </w:lvl>
    <w:lvl w:ilvl="6" w:tplc="26A62E60" w:tentative="1">
      <w:start w:val="1"/>
      <w:numFmt w:val="decimal"/>
      <w:lvlText w:val="%7."/>
      <w:lvlJc w:val="left"/>
      <w:pPr>
        <w:ind w:left="5040" w:hanging="360"/>
      </w:pPr>
    </w:lvl>
    <w:lvl w:ilvl="7" w:tplc="A598666E" w:tentative="1">
      <w:start w:val="1"/>
      <w:numFmt w:val="lowerLetter"/>
      <w:lvlText w:val="%8."/>
      <w:lvlJc w:val="left"/>
      <w:pPr>
        <w:ind w:left="5760" w:hanging="360"/>
      </w:pPr>
    </w:lvl>
    <w:lvl w:ilvl="8" w:tplc="EA50AEC8" w:tentative="1">
      <w:start w:val="1"/>
      <w:numFmt w:val="lowerRoman"/>
      <w:lvlText w:val="%9."/>
      <w:lvlJc w:val="right"/>
      <w:pPr>
        <w:ind w:left="6480" w:hanging="180"/>
      </w:pPr>
    </w:lvl>
  </w:abstractNum>
  <w:abstractNum w:abstractNumId="5" w15:restartNumberingAfterBreak="0">
    <w:nsid w:val="45F87739"/>
    <w:multiLevelType w:val="hybridMultilevel"/>
    <w:tmpl w:val="E40EB10E"/>
    <w:lvl w:ilvl="0" w:tplc="B5368866">
      <w:start w:val="1"/>
      <w:numFmt w:val="bullet"/>
      <w:lvlText w:val=""/>
      <w:lvlJc w:val="left"/>
      <w:pPr>
        <w:ind w:left="360" w:hanging="360"/>
      </w:pPr>
      <w:rPr>
        <w:rFonts w:ascii="Symbol" w:hAnsi="Symbol" w:hint="default"/>
        <w:color w:val="auto"/>
      </w:rPr>
    </w:lvl>
    <w:lvl w:ilvl="1" w:tplc="21922AE8" w:tentative="1">
      <w:start w:val="1"/>
      <w:numFmt w:val="bullet"/>
      <w:lvlText w:val="o"/>
      <w:lvlJc w:val="left"/>
      <w:pPr>
        <w:ind w:left="1080" w:hanging="360"/>
      </w:pPr>
      <w:rPr>
        <w:rFonts w:ascii="Courier New" w:hAnsi="Courier New" w:cs="Courier New" w:hint="default"/>
      </w:rPr>
    </w:lvl>
    <w:lvl w:ilvl="2" w:tplc="55FC0990" w:tentative="1">
      <w:start w:val="1"/>
      <w:numFmt w:val="bullet"/>
      <w:lvlText w:val=""/>
      <w:lvlJc w:val="left"/>
      <w:pPr>
        <w:ind w:left="1800" w:hanging="360"/>
      </w:pPr>
      <w:rPr>
        <w:rFonts w:ascii="Wingdings" w:hAnsi="Wingdings" w:hint="default"/>
      </w:rPr>
    </w:lvl>
    <w:lvl w:ilvl="3" w:tplc="46B61B78" w:tentative="1">
      <w:start w:val="1"/>
      <w:numFmt w:val="bullet"/>
      <w:lvlText w:val=""/>
      <w:lvlJc w:val="left"/>
      <w:pPr>
        <w:ind w:left="2520" w:hanging="360"/>
      </w:pPr>
      <w:rPr>
        <w:rFonts w:ascii="Symbol" w:hAnsi="Symbol" w:hint="default"/>
      </w:rPr>
    </w:lvl>
    <w:lvl w:ilvl="4" w:tplc="46826B7E" w:tentative="1">
      <w:start w:val="1"/>
      <w:numFmt w:val="bullet"/>
      <w:lvlText w:val="o"/>
      <w:lvlJc w:val="left"/>
      <w:pPr>
        <w:ind w:left="3240" w:hanging="360"/>
      </w:pPr>
      <w:rPr>
        <w:rFonts w:ascii="Courier New" w:hAnsi="Courier New" w:cs="Courier New" w:hint="default"/>
      </w:rPr>
    </w:lvl>
    <w:lvl w:ilvl="5" w:tplc="4F8078B4" w:tentative="1">
      <w:start w:val="1"/>
      <w:numFmt w:val="bullet"/>
      <w:lvlText w:val=""/>
      <w:lvlJc w:val="left"/>
      <w:pPr>
        <w:ind w:left="3960" w:hanging="360"/>
      </w:pPr>
      <w:rPr>
        <w:rFonts w:ascii="Wingdings" w:hAnsi="Wingdings" w:hint="default"/>
      </w:rPr>
    </w:lvl>
    <w:lvl w:ilvl="6" w:tplc="2670DC9A" w:tentative="1">
      <w:start w:val="1"/>
      <w:numFmt w:val="bullet"/>
      <w:lvlText w:val=""/>
      <w:lvlJc w:val="left"/>
      <w:pPr>
        <w:ind w:left="4680" w:hanging="360"/>
      </w:pPr>
      <w:rPr>
        <w:rFonts w:ascii="Symbol" w:hAnsi="Symbol" w:hint="default"/>
      </w:rPr>
    </w:lvl>
    <w:lvl w:ilvl="7" w:tplc="A80A317E" w:tentative="1">
      <w:start w:val="1"/>
      <w:numFmt w:val="bullet"/>
      <w:lvlText w:val="o"/>
      <w:lvlJc w:val="left"/>
      <w:pPr>
        <w:ind w:left="5400" w:hanging="360"/>
      </w:pPr>
      <w:rPr>
        <w:rFonts w:ascii="Courier New" w:hAnsi="Courier New" w:cs="Courier New" w:hint="default"/>
      </w:rPr>
    </w:lvl>
    <w:lvl w:ilvl="8" w:tplc="3278724E" w:tentative="1">
      <w:start w:val="1"/>
      <w:numFmt w:val="bullet"/>
      <w:lvlText w:val=""/>
      <w:lvlJc w:val="left"/>
      <w:pPr>
        <w:ind w:left="6120" w:hanging="360"/>
      </w:pPr>
      <w:rPr>
        <w:rFonts w:ascii="Wingdings" w:hAnsi="Wingdings" w:hint="default"/>
      </w:rPr>
    </w:lvl>
  </w:abstractNum>
  <w:abstractNum w:abstractNumId="6" w15:restartNumberingAfterBreak="0">
    <w:nsid w:val="51E87F68"/>
    <w:multiLevelType w:val="hybridMultilevel"/>
    <w:tmpl w:val="70E8DD66"/>
    <w:lvl w:ilvl="0" w:tplc="3A7C0700">
      <w:start w:val="1"/>
      <w:numFmt w:val="lowerRoman"/>
      <w:lvlText w:val="(%1)"/>
      <w:lvlJc w:val="left"/>
      <w:pPr>
        <w:ind w:left="720" w:hanging="360"/>
      </w:pPr>
      <w:rPr>
        <w:rFonts w:ascii="Arial" w:eastAsia="Times New Roman" w:hAnsi="Arial" w:cs="Times New Roman"/>
      </w:rPr>
    </w:lvl>
    <w:lvl w:ilvl="1" w:tplc="CB700876" w:tentative="1">
      <w:start w:val="1"/>
      <w:numFmt w:val="bullet"/>
      <w:lvlText w:val="o"/>
      <w:lvlJc w:val="left"/>
      <w:pPr>
        <w:ind w:left="1440" w:hanging="360"/>
      </w:pPr>
      <w:rPr>
        <w:rFonts w:ascii="Courier New" w:hAnsi="Courier New" w:cs="Courier New" w:hint="default"/>
      </w:rPr>
    </w:lvl>
    <w:lvl w:ilvl="2" w:tplc="0B96E0C2" w:tentative="1">
      <w:start w:val="1"/>
      <w:numFmt w:val="bullet"/>
      <w:lvlText w:val=""/>
      <w:lvlJc w:val="left"/>
      <w:pPr>
        <w:ind w:left="2160" w:hanging="360"/>
      </w:pPr>
      <w:rPr>
        <w:rFonts w:ascii="Wingdings" w:hAnsi="Wingdings" w:hint="default"/>
      </w:rPr>
    </w:lvl>
    <w:lvl w:ilvl="3" w:tplc="31145708" w:tentative="1">
      <w:start w:val="1"/>
      <w:numFmt w:val="bullet"/>
      <w:lvlText w:val=""/>
      <w:lvlJc w:val="left"/>
      <w:pPr>
        <w:ind w:left="2880" w:hanging="360"/>
      </w:pPr>
      <w:rPr>
        <w:rFonts w:ascii="Symbol" w:hAnsi="Symbol" w:hint="default"/>
      </w:rPr>
    </w:lvl>
    <w:lvl w:ilvl="4" w:tplc="5030DA54" w:tentative="1">
      <w:start w:val="1"/>
      <w:numFmt w:val="bullet"/>
      <w:lvlText w:val="o"/>
      <w:lvlJc w:val="left"/>
      <w:pPr>
        <w:ind w:left="3600" w:hanging="360"/>
      </w:pPr>
      <w:rPr>
        <w:rFonts w:ascii="Courier New" w:hAnsi="Courier New" w:cs="Courier New" w:hint="default"/>
      </w:rPr>
    </w:lvl>
    <w:lvl w:ilvl="5" w:tplc="8B6649BA" w:tentative="1">
      <w:start w:val="1"/>
      <w:numFmt w:val="bullet"/>
      <w:lvlText w:val=""/>
      <w:lvlJc w:val="left"/>
      <w:pPr>
        <w:ind w:left="4320" w:hanging="360"/>
      </w:pPr>
      <w:rPr>
        <w:rFonts w:ascii="Wingdings" w:hAnsi="Wingdings" w:hint="default"/>
      </w:rPr>
    </w:lvl>
    <w:lvl w:ilvl="6" w:tplc="DC0C420A" w:tentative="1">
      <w:start w:val="1"/>
      <w:numFmt w:val="bullet"/>
      <w:lvlText w:val=""/>
      <w:lvlJc w:val="left"/>
      <w:pPr>
        <w:ind w:left="5040" w:hanging="360"/>
      </w:pPr>
      <w:rPr>
        <w:rFonts w:ascii="Symbol" w:hAnsi="Symbol" w:hint="default"/>
      </w:rPr>
    </w:lvl>
    <w:lvl w:ilvl="7" w:tplc="E7A64704" w:tentative="1">
      <w:start w:val="1"/>
      <w:numFmt w:val="bullet"/>
      <w:lvlText w:val="o"/>
      <w:lvlJc w:val="left"/>
      <w:pPr>
        <w:ind w:left="5760" w:hanging="360"/>
      </w:pPr>
      <w:rPr>
        <w:rFonts w:ascii="Courier New" w:hAnsi="Courier New" w:cs="Courier New" w:hint="default"/>
      </w:rPr>
    </w:lvl>
    <w:lvl w:ilvl="8" w:tplc="DBA49E22" w:tentative="1">
      <w:start w:val="1"/>
      <w:numFmt w:val="bullet"/>
      <w:lvlText w:val=""/>
      <w:lvlJc w:val="left"/>
      <w:pPr>
        <w:ind w:left="6480" w:hanging="360"/>
      </w:pPr>
      <w:rPr>
        <w:rFonts w:ascii="Wingdings" w:hAnsi="Wingdings" w:hint="default"/>
      </w:rPr>
    </w:lvl>
  </w:abstractNum>
  <w:abstractNum w:abstractNumId="7" w15:restartNumberingAfterBreak="0">
    <w:nsid w:val="59723678"/>
    <w:multiLevelType w:val="hybridMultilevel"/>
    <w:tmpl w:val="C706B490"/>
    <w:lvl w:ilvl="0" w:tplc="D2F4582C">
      <w:start w:val="1"/>
      <w:numFmt w:val="bullet"/>
      <w:lvlText w:val=""/>
      <w:lvlJc w:val="left"/>
      <w:pPr>
        <w:ind w:left="720" w:hanging="360"/>
      </w:pPr>
      <w:rPr>
        <w:rFonts w:ascii="Symbol" w:hAnsi="Symbol" w:hint="default"/>
      </w:rPr>
    </w:lvl>
    <w:lvl w:ilvl="1" w:tplc="EBC6A9BA" w:tentative="1">
      <w:start w:val="1"/>
      <w:numFmt w:val="bullet"/>
      <w:lvlText w:val="o"/>
      <w:lvlJc w:val="left"/>
      <w:pPr>
        <w:ind w:left="1440" w:hanging="360"/>
      </w:pPr>
      <w:rPr>
        <w:rFonts w:ascii="Courier New" w:hAnsi="Courier New" w:cs="Courier New" w:hint="default"/>
      </w:rPr>
    </w:lvl>
    <w:lvl w:ilvl="2" w:tplc="F20E851A" w:tentative="1">
      <w:start w:val="1"/>
      <w:numFmt w:val="bullet"/>
      <w:lvlText w:val=""/>
      <w:lvlJc w:val="left"/>
      <w:pPr>
        <w:ind w:left="2160" w:hanging="360"/>
      </w:pPr>
      <w:rPr>
        <w:rFonts w:ascii="Wingdings" w:hAnsi="Wingdings" w:hint="default"/>
      </w:rPr>
    </w:lvl>
    <w:lvl w:ilvl="3" w:tplc="B7024FAC" w:tentative="1">
      <w:start w:val="1"/>
      <w:numFmt w:val="bullet"/>
      <w:lvlText w:val=""/>
      <w:lvlJc w:val="left"/>
      <w:pPr>
        <w:ind w:left="2880" w:hanging="360"/>
      </w:pPr>
      <w:rPr>
        <w:rFonts w:ascii="Symbol" w:hAnsi="Symbol" w:hint="default"/>
      </w:rPr>
    </w:lvl>
    <w:lvl w:ilvl="4" w:tplc="EDBE532E" w:tentative="1">
      <w:start w:val="1"/>
      <w:numFmt w:val="bullet"/>
      <w:lvlText w:val="o"/>
      <w:lvlJc w:val="left"/>
      <w:pPr>
        <w:ind w:left="3600" w:hanging="360"/>
      </w:pPr>
      <w:rPr>
        <w:rFonts w:ascii="Courier New" w:hAnsi="Courier New" w:cs="Courier New" w:hint="default"/>
      </w:rPr>
    </w:lvl>
    <w:lvl w:ilvl="5" w:tplc="78BC5B30" w:tentative="1">
      <w:start w:val="1"/>
      <w:numFmt w:val="bullet"/>
      <w:lvlText w:val=""/>
      <w:lvlJc w:val="left"/>
      <w:pPr>
        <w:ind w:left="4320" w:hanging="360"/>
      </w:pPr>
      <w:rPr>
        <w:rFonts w:ascii="Wingdings" w:hAnsi="Wingdings" w:hint="default"/>
      </w:rPr>
    </w:lvl>
    <w:lvl w:ilvl="6" w:tplc="AB5A0706" w:tentative="1">
      <w:start w:val="1"/>
      <w:numFmt w:val="bullet"/>
      <w:lvlText w:val=""/>
      <w:lvlJc w:val="left"/>
      <w:pPr>
        <w:ind w:left="5040" w:hanging="360"/>
      </w:pPr>
      <w:rPr>
        <w:rFonts w:ascii="Symbol" w:hAnsi="Symbol" w:hint="default"/>
      </w:rPr>
    </w:lvl>
    <w:lvl w:ilvl="7" w:tplc="C8D0587C" w:tentative="1">
      <w:start w:val="1"/>
      <w:numFmt w:val="bullet"/>
      <w:lvlText w:val="o"/>
      <w:lvlJc w:val="left"/>
      <w:pPr>
        <w:ind w:left="5760" w:hanging="360"/>
      </w:pPr>
      <w:rPr>
        <w:rFonts w:ascii="Courier New" w:hAnsi="Courier New" w:cs="Courier New" w:hint="default"/>
      </w:rPr>
    </w:lvl>
    <w:lvl w:ilvl="8" w:tplc="DF5C7864"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F1"/>
    <w:rsid w:val="000007BA"/>
    <w:rsid w:val="0000099C"/>
    <w:rsid w:val="00000DA2"/>
    <w:rsid w:val="000048BA"/>
    <w:rsid w:val="00005611"/>
    <w:rsid w:val="000156D6"/>
    <w:rsid w:val="000258D1"/>
    <w:rsid w:val="00040655"/>
    <w:rsid w:val="000416F0"/>
    <w:rsid w:val="00051B80"/>
    <w:rsid w:val="000608A0"/>
    <w:rsid w:val="000662D8"/>
    <w:rsid w:val="0006783B"/>
    <w:rsid w:val="00072C83"/>
    <w:rsid w:val="00073CEC"/>
    <w:rsid w:val="00074FEE"/>
    <w:rsid w:val="00076674"/>
    <w:rsid w:val="00077358"/>
    <w:rsid w:val="000807E4"/>
    <w:rsid w:val="00090CC1"/>
    <w:rsid w:val="00091580"/>
    <w:rsid w:val="000950B6"/>
    <w:rsid w:val="00095DB4"/>
    <w:rsid w:val="00096C4F"/>
    <w:rsid w:val="000A0AB5"/>
    <w:rsid w:val="000A33C7"/>
    <w:rsid w:val="000A5160"/>
    <w:rsid w:val="000A7E4A"/>
    <w:rsid w:val="000B2B5E"/>
    <w:rsid w:val="000B4136"/>
    <w:rsid w:val="000B7081"/>
    <w:rsid w:val="000B7B11"/>
    <w:rsid w:val="000C2F01"/>
    <w:rsid w:val="000C305B"/>
    <w:rsid w:val="000D3212"/>
    <w:rsid w:val="000D45BA"/>
    <w:rsid w:val="000D5746"/>
    <w:rsid w:val="000D5A1B"/>
    <w:rsid w:val="000D7C69"/>
    <w:rsid w:val="000E69C6"/>
    <w:rsid w:val="000E7285"/>
    <w:rsid w:val="000F4D60"/>
    <w:rsid w:val="000F78B9"/>
    <w:rsid w:val="000F7906"/>
    <w:rsid w:val="001006B1"/>
    <w:rsid w:val="00105C41"/>
    <w:rsid w:val="00106990"/>
    <w:rsid w:val="001149EE"/>
    <w:rsid w:val="00114ED7"/>
    <w:rsid w:val="0012380A"/>
    <w:rsid w:val="00125500"/>
    <w:rsid w:val="001342BF"/>
    <w:rsid w:val="001343C6"/>
    <w:rsid w:val="00135439"/>
    <w:rsid w:val="00142F04"/>
    <w:rsid w:val="001455AA"/>
    <w:rsid w:val="0014680B"/>
    <w:rsid w:val="001533DC"/>
    <w:rsid w:val="00155FE7"/>
    <w:rsid w:val="00156EAA"/>
    <w:rsid w:val="00170D4C"/>
    <w:rsid w:val="0017304B"/>
    <w:rsid w:val="001734AE"/>
    <w:rsid w:val="00173E63"/>
    <w:rsid w:val="001756F5"/>
    <w:rsid w:val="00175EBC"/>
    <w:rsid w:val="0017728E"/>
    <w:rsid w:val="00177DDB"/>
    <w:rsid w:val="00180351"/>
    <w:rsid w:val="00191A26"/>
    <w:rsid w:val="00192AB9"/>
    <w:rsid w:val="001930D8"/>
    <w:rsid w:val="00196BD2"/>
    <w:rsid w:val="001A2DE9"/>
    <w:rsid w:val="001A3716"/>
    <w:rsid w:val="001A40EC"/>
    <w:rsid w:val="001A5057"/>
    <w:rsid w:val="001A6408"/>
    <w:rsid w:val="001A64BE"/>
    <w:rsid w:val="001D4A2B"/>
    <w:rsid w:val="001D4FA8"/>
    <w:rsid w:val="001D54B2"/>
    <w:rsid w:val="001D638A"/>
    <w:rsid w:val="001D7660"/>
    <w:rsid w:val="001D7AB5"/>
    <w:rsid w:val="001E38B2"/>
    <w:rsid w:val="001E3D67"/>
    <w:rsid w:val="001F13B8"/>
    <w:rsid w:val="001F79B7"/>
    <w:rsid w:val="001F7E7F"/>
    <w:rsid w:val="00200BE3"/>
    <w:rsid w:val="002026C1"/>
    <w:rsid w:val="0020272A"/>
    <w:rsid w:val="00202C1A"/>
    <w:rsid w:val="00212BC6"/>
    <w:rsid w:val="00214218"/>
    <w:rsid w:val="002156FF"/>
    <w:rsid w:val="002160D1"/>
    <w:rsid w:val="002164E5"/>
    <w:rsid w:val="0022159C"/>
    <w:rsid w:val="0023388F"/>
    <w:rsid w:val="002373F3"/>
    <w:rsid w:val="00241E4E"/>
    <w:rsid w:val="00244091"/>
    <w:rsid w:val="0024669A"/>
    <w:rsid w:val="002505E5"/>
    <w:rsid w:val="002507C6"/>
    <w:rsid w:val="00255582"/>
    <w:rsid w:val="0026149F"/>
    <w:rsid w:val="00272741"/>
    <w:rsid w:val="00272FCB"/>
    <w:rsid w:val="00277337"/>
    <w:rsid w:val="00282DF4"/>
    <w:rsid w:val="00282E08"/>
    <w:rsid w:val="00283FD3"/>
    <w:rsid w:val="00285A26"/>
    <w:rsid w:val="002924E0"/>
    <w:rsid w:val="0029393D"/>
    <w:rsid w:val="00297CFD"/>
    <w:rsid w:val="002A4352"/>
    <w:rsid w:val="002A4DFA"/>
    <w:rsid w:val="002B00B8"/>
    <w:rsid w:val="002B1707"/>
    <w:rsid w:val="002B240D"/>
    <w:rsid w:val="002B2B1F"/>
    <w:rsid w:val="002B3029"/>
    <w:rsid w:val="002B4671"/>
    <w:rsid w:val="002B6039"/>
    <w:rsid w:val="002B7B61"/>
    <w:rsid w:val="002C2E29"/>
    <w:rsid w:val="002D5D59"/>
    <w:rsid w:val="002E12BB"/>
    <w:rsid w:val="002E5497"/>
    <w:rsid w:val="002F741B"/>
    <w:rsid w:val="00300BC9"/>
    <w:rsid w:val="00313BD1"/>
    <w:rsid w:val="00322AED"/>
    <w:rsid w:val="00324E3E"/>
    <w:rsid w:val="00326A8C"/>
    <w:rsid w:val="00330C61"/>
    <w:rsid w:val="0033508A"/>
    <w:rsid w:val="00336905"/>
    <w:rsid w:val="00341203"/>
    <w:rsid w:val="00347974"/>
    <w:rsid w:val="00351145"/>
    <w:rsid w:val="003541B9"/>
    <w:rsid w:val="00357FD9"/>
    <w:rsid w:val="0036070B"/>
    <w:rsid w:val="0036642C"/>
    <w:rsid w:val="003713C1"/>
    <w:rsid w:val="003722CD"/>
    <w:rsid w:val="00380CDC"/>
    <w:rsid w:val="0038582B"/>
    <w:rsid w:val="00386F9B"/>
    <w:rsid w:val="003904BF"/>
    <w:rsid w:val="00394512"/>
    <w:rsid w:val="00394C47"/>
    <w:rsid w:val="00396F2C"/>
    <w:rsid w:val="003A0151"/>
    <w:rsid w:val="003A2167"/>
    <w:rsid w:val="003A2C59"/>
    <w:rsid w:val="003A5F7B"/>
    <w:rsid w:val="003A62E7"/>
    <w:rsid w:val="003B2E32"/>
    <w:rsid w:val="003B30D0"/>
    <w:rsid w:val="003B6C76"/>
    <w:rsid w:val="003D7DA5"/>
    <w:rsid w:val="003E03F1"/>
    <w:rsid w:val="003E2349"/>
    <w:rsid w:val="003F317A"/>
    <w:rsid w:val="003F355B"/>
    <w:rsid w:val="003F75DA"/>
    <w:rsid w:val="004013E4"/>
    <w:rsid w:val="00402501"/>
    <w:rsid w:val="00404553"/>
    <w:rsid w:val="00412A83"/>
    <w:rsid w:val="00413417"/>
    <w:rsid w:val="004157F6"/>
    <w:rsid w:val="00423619"/>
    <w:rsid w:val="00432219"/>
    <w:rsid w:val="0043557F"/>
    <w:rsid w:val="0043594E"/>
    <w:rsid w:val="00446457"/>
    <w:rsid w:val="00453E5F"/>
    <w:rsid w:val="00454DF2"/>
    <w:rsid w:val="00462D46"/>
    <w:rsid w:val="004639FA"/>
    <w:rsid w:val="00464551"/>
    <w:rsid w:val="00464B72"/>
    <w:rsid w:val="004737D1"/>
    <w:rsid w:val="00475572"/>
    <w:rsid w:val="004757EC"/>
    <w:rsid w:val="00475F75"/>
    <w:rsid w:val="00476681"/>
    <w:rsid w:val="00483A98"/>
    <w:rsid w:val="00484429"/>
    <w:rsid w:val="004917EB"/>
    <w:rsid w:val="00493BFC"/>
    <w:rsid w:val="004941D7"/>
    <w:rsid w:val="004A6DFD"/>
    <w:rsid w:val="004B322C"/>
    <w:rsid w:val="004B4C13"/>
    <w:rsid w:val="004B6937"/>
    <w:rsid w:val="004C06F9"/>
    <w:rsid w:val="004C37E9"/>
    <w:rsid w:val="004C412D"/>
    <w:rsid w:val="004D0755"/>
    <w:rsid w:val="004D0BFF"/>
    <w:rsid w:val="004D3C29"/>
    <w:rsid w:val="004D4624"/>
    <w:rsid w:val="004D5AF2"/>
    <w:rsid w:val="004E1738"/>
    <w:rsid w:val="004F33E8"/>
    <w:rsid w:val="00502B4D"/>
    <w:rsid w:val="0050358C"/>
    <w:rsid w:val="00503E5A"/>
    <w:rsid w:val="00514047"/>
    <w:rsid w:val="00515198"/>
    <w:rsid w:val="00522C3B"/>
    <w:rsid w:val="0053525B"/>
    <w:rsid w:val="0053691E"/>
    <w:rsid w:val="00551252"/>
    <w:rsid w:val="0055663E"/>
    <w:rsid w:val="00557F5C"/>
    <w:rsid w:val="00560B71"/>
    <w:rsid w:val="00562552"/>
    <w:rsid w:val="00564F79"/>
    <w:rsid w:val="00572D52"/>
    <w:rsid w:val="00577642"/>
    <w:rsid w:val="00580599"/>
    <w:rsid w:val="00581D1E"/>
    <w:rsid w:val="00583F9B"/>
    <w:rsid w:val="0058452A"/>
    <w:rsid w:val="00586E36"/>
    <w:rsid w:val="005900B6"/>
    <w:rsid w:val="00592B0E"/>
    <w:rsid w:val="005A0B99"/>
    <w:rsid w:val="005A19A1"/>
    <w:rsid w:val="005A7B43"/>
    <w:rsid w:val="005B20B7"/>
    <w:rsid w:val="005B3FC5"/>
    <w:rsid w:val="005B3FC7"/>
    <w:rsid w:val="005C61F2"/>
    <w:rsid w:val="005D1DD3"/>
    <w:rsid w:val="005D53E8"/>
    <w:rsid w:val="005E12D9"/>
    <w:rsid w:val="005E254A"/>
    <w:rsid w:val="005E6CE9"/>
    <w:rsid w:val="005E78DC"/>
    <w:rsid w:val="005F1638"/>
    <w:rsid w:val="005F2CB9"/>
    <w:rsid w:val="006117F2"/>
    <w:rsid w:val="00612BC7"/>
    <w:rsid w:val="00615B37"/>
    <w:rsid w:val="00617BCF"/>
    <w:rsid w:val="00623080"/>
    <w:rsid w:val="00631E16"/>
    <w:rsid w:val="00640C27"/>
    <w:rsid w:val="00642498"/>
    <w:rsid w:val="00642763"/>
    <w:rsid w:val="006509D9"/>
    <w:rsid w:val="00651C94"/>
    <w:rsid w:val="006527E7"/>
    <w:rsid w:val="00652ABA"/>
    <w:rsid w:val="00652C17"/>
    <w:rsid w:val="00653468"/>
    <w:rsid w:val="006549EB"/>
    <w:rsid w:val="00656108"/>
    <w:rsid w:val="0065648E"/>
    <w:rsid w:val="00660126"/>
    <w:rsid w:val="00661D89"/>
    <w:rsid w:val="00672A7F"/>
    <w:rsid w:val="00677562"/>
    <w:rsid w:val="006825DD"/>
    <w:rsid w:val="00682BDE"/>
    <w:rsid w:val="00683523"/>
    <w:rsid w:val="00685547"/>
    <w:rsid w:val="00686A5D"/>
    <w:rsid w:val="0068717E"/>
    <w:rsid w:val="00696F29"/>
    <w:rsid w:val="006A5C2E"/>
    <w:rsid w:val="006A7D17"/>
    <w:rsid w:val="006B3D45"/>
    <w:rsid w:val="006B74D0"/>
    <w:rsid w:val="006B7899"/>
    <w:rsid w:val="006E1130"/>
    <w:rsid w:val="006E5D40"/>
    <w:rsid w:val="006E5EFA"/>
    <w:rsid w:val="006E71DC"/>
    <w:rsid w:val="006F3E7D"/>
    <w:rsid w:val="006F52A6"/>
    <w:rsid w:val="006F6AA5"/>
    <w:rsid w:val="007020FF"/>
    <w:rsid w:val="00706314"/>
    <w:rsid w:val="00707D99"/>
    <w:rsid w:val="00714B1E"/>
    <w:rsid w:val="007209F0"/>
    <w:rsid w:val="00722561"/>
    <w:rsid w:val="00722FD7"/>
    <w:rsid w:val="007236AC"/>
    <w:rsid w:val="007348CF"/>
    <w:rsid w:val="00734D77"/>
    <w:rsid w:val="007416F0"/>
    <w:rsid w:val="00747067"/>
    <w:rsid w:val="00753347"/>
    <w:rsid w:val="0075501D"/>
    <w:rsid w:val="007656DB"/>
    <w:rsid w:val="0077066A"/>
    <w:rsid w:val="007708A6"/>
    <w:rsid w:val="007740C8"/>
    <w:rsid w:val="007A64FB"/>
    <w:rsid w:val="007A74D5"/>
    <w:rsid w:val="007B0AFB"/>
    <w:rsid w:val="007B75EF"/>
    <w:rsid w:val="007C1F69"/>
    <w:rsid w:val="007C2E46"/>
    <w:rsid w:val="007C33D2"/>
    <w:rsid w:val="007D0DDD"/>
    <w:rsid w:val="007D2BED"/>
    <w:rsid w:val="007D3742"/>
    <w:rsid w:val="007E1D18"/>
    <w:rsid w:val="007F1B42"/>
    <w:rsid w:val="007F2263"/>
    <w:rsid w:val="007F2772"/>
    <w:rsid w:val="007F748C"/>
    <w:rsid w:val="00801189"/>
    <w:rsid w:val="0080163B"/>
    <w:rsid w:val="0081201E"/>
    <w:rsid w:val="00812A41"/>
    <w:rsid w:val="00813B65"/>
    <w:rsid w:val="00817CD6"/>
    <w:rsid w:val="00824E85"/>
    <w:rsid w:val="0083058F"/>
    <w:rsid w:val="00831C15"/>
    <w:rsid w:val="00843DE4"/>
    <w:rsid w:val="008535C9"/>
    <w:rsid w:val="008622C2"/>
    <w:rsid w:val="00866CD3"/>
    <w:rsid w:val="00867B44"/>
    <w:rsid w:val="00872E6B"/>
    <w:rsid w:val="00876D65"/>
    <w:rsid w:val="00880589"/>
    <w:rsid w:val="008806E0"/>
    <w:rsid w:val="00880853"/>
    <w:rsid w:val="008840BC"/>
    <w:rsid w:val="00884179"/>
    <w:rsid w:val="008850AF"/>
    <w:rsid w:val="00886BF4"/>
    <w:rsid w:val="00887292"/>
    <w:rsid w:val="008905EA"/>
    <w:rsid w:val="00893092"/>
    <w:rsid w:val="00893257"/>
    <w:rsid w:val="0089356C"/>
    <w:rsid w:val="0089599D"/>
    <w:rsid w:val="00897CE4"/>
    <w:rsid w:val="008A7958"/>
    <w:rsid w:val="008B2B64"/>
    <w:rsid w:val="008B3A67"/>
    <w:rsid w:val="008B5006"/>
    <w:rsid w:val="008B69E6"/>
    <w:rsid w:val="008B6C76"/>
    <w:rsid w:val="008C3C1B"/>
    <w:rsid w:val="008D3392"/>
    <w:rsid w:val="008D46C0"/>
    <w:rsid w:val="008D5E76"/>
    <w:rsid w:val="008E16FA"/>
    <w:rsid w:val="008E518D"/>
    <w:rsid w:val="008F038B"/>
    <w:rsid w:val="008F2F79"/>
    <w:rsid w:val="008F4168"/>
    <w:rsid w:val="00900F91"/>
    <w:rsid w:val="0090163E"/>
    <w:rsid w:val="00901999"/>
    <w:rsid w:val="00902470"/>
    <w:rsid w:val="009072F4"/>
    <w:rsid w:val="00912981"/>
    <w:rsid w:val="00914264"/>
    <w:rsid w:val="00923979"/>
    <w:rsid w:val="009257E0"/>
    <w:rsid w:val="00930A0F"/>
    <w:rsid w:val="009341B0"/>
    <w:rsid w:val="00942B99"/>
    <w:rsid w:val="00945E6E"/>
    <w:rsid w:val="009510D9"/>
    <w:rsid w:val="00955192"/>
    <w:rsid w:val="00962D46"/>
    <w:rsid w:val="00962F56"/>
    <w:rsid w:val="009674C8"/>
    <w:rsid w:val="00972411"/>
    <w:rsid w:val="00975D12"/>
    <w:rsid w:val="0098524B"/>
    <w:rsid w:val="00994981"/>
    <w:rsid w:val="00994F18"/>
    <w:rsid w:val="00996D55"/>
    <w:rsid w:val="009A1D57"/>
    <w:rsid w:val="009A3163"/>
    <w:rsid w:val="009A4666"/>
    <w:rsid w:val="009B1364"/>
    <w:rsid w:val="009B534C"/>
    <w:rsid w:val="009C140F"/>
    <w:rsid w:val="009C270E"/>
    <w:rsid w:val="009D1219"/>
    <w:rsid w:val="009D5BFA"/>
    <w:rsid w:val="009E06E9"/>
    <w:rsid w:val="009E2BB3"/>
    <w:rsid w:val="009E2F17"/>
    <w:rsid w:val="009E4214"/>
    <w:rsid w:val="009E4614"/>
    <w:rsid w:val="009E5402"/>
    <w:rsid w:val="009F0FD6"/>
    <w:rsid w:val="009F3862"/>
    <w:rsid w:val="009F6031"/>
    <w:rsid w:val="00A001CE"/>
    <w:rsid w:val="00A006E9"/>
    <w:rsid w:val="00A0273A"/>
    <w:rsid w:val="00A11B16"/>
    <w:rsid w:val="00A1579E"/>
    <w:rsid w:val="00A230A5"/>
    <w:rsid w:val="00A3263D"/>
    <w:rsid w:val="00A3284F"/>
    <w:rsid w:val="00A32FEA"/>
    <w:rsid w:val="00A3402F"/>
    <w:rsid w:val="00A34C9A"/>
    <w:rsid w:val="00A36514"/>
    <w:rsid w:val="00A460D4"/>
    <w:rsid w:val="00A51A3C"/>
    <w:rsid w:val="00A52184"/>
    <w:rsid w:val="00A5412E"/>
    <w:rsid w:val="00A6198D"/>
    <w:rsid w:val="00A62594"/>
    <w:rsid w:val="00A674D0"/>
    <w:rsid w:val="00A71441"/>
    <w:rsid w:val="00A72537"/>
    <w:rsid w:val="00A75E01"/>
    <w:rsid w:val="00A834C0"/>
    <w:rsid w:val="00A90D2F"/>
    <w:rsid w:val="00A92E1B"/>
    <w:rsid w:val="00A94520"/>
    <w:rsid w:val="00A95266"/>
    <w:rsid w:val="00AA27FD"/>
    <w:rsid w:val="00AA3922"/>
    <w:rsid w:val="00AA52CD"/>
    <w:rsid w:val="00AB4461"/>
    <w:rsid w:val="00AB45BD"/>
    <w:rsid w:val="00AB6A56"/>
    <w:rsid w:val="00AB6AC2"/>
    <w:rsid w:val="00AB744A"/>
    <w:rsid w:val="00AC242E"/>
    <w:rsid w:val="00AD4EAF"/>
    <w:rsid w:val="00AE2759"/>
    <w:rsid w:val="00AE2FAA"/>
    <w:rsid w:val="00AE3196"/>
    <w:rsid w:val="00AE7977"/>
    <w:rsid w:val="00AF4C62"/>
    <w:rsid w:val="00AF6128"/>
    <w:rsid w:val="00AF6B3D"/>
    <w:rsid w:val="00B02221"/>
    <w:rsid w:val="00B054A4"/>
    <w:rsid w:val="00B06BFE"/>
    <w:rsid w:val="00B10D6A"/>
    <w:rsid w:val="00B136F7"/>
    <w:rsid w:val="00B1609A"/>
    <w:rsid w:val="00B165C0"/>
    <w:rsid w:val="00B21495"/>
    <w:rsid w:val="00B22EC8"/>
    <w:rsid w:val="00B348FE"/>
    <w:rsid w:val="00B34D7A"/>
    <w:rsid w:val="00B36E28"/>
    <w:rsid w:val="00B40BF4"/>
    <w:rsid w:val="00B431FB"/>
    <w:rsid w:val="00B51ADD"/>
    <w:rsid w:val="00B523B0"/>
    <w:rsid w:val="00B52F24"/>
    <w:rsid w:val="00B54C4E"/>
    <w:rsid w:val="00B5603D"/>
    <w:rsid w:val="00B6266F"/>
    <w:rsid w:val="00B63B52"/>
    <w:rsid w:val="00B7557E"/>
    <w:rsid w:val="00B756D9"/>
    <w:rsid w:val="00B76CDB"/>
    <w:rsid w:val="00B91063"/>
    <w:rsid w:val="00B92C60"/>
    <w:rsid w:val="00B94530"/>
    <w:rsid w:val="00BA117A"/>
    <w:rsid w:val="00BA5132"/>
    <w:rsid w:val="00BC3CA3"/>
    <w:rsid w:val="00BC6A9F"/>
    <w:rsid w:val="00BC7E1E"/>
    <w:rsid w:val="00BD1D43"/>
    <w:rsid w:val="00BD7892"/>
    <w:rsid w:val="00BD7A48"/>
    <w:rsid w:val="00BE03AA"/>
    <w:rsid w:val="00BE163D"/>
    <w:rsid w:val="00BF3089"/>
    <w:rsid w:val="00BF3369"/>
    <w:rsid w:val="00BF797D"/>
    <w:rsid w:val="00BF7CA7"/>
    <w:rsid w:val="00C0038D"/>
    <w:rsid w:val="00C06092"/>
    <w:rsid w:val="00C10FBC"/>
    <w:rsid w:val="00C12FDE"/>
    <w:rsid w:val="00C143E5"/>
    <w:rsid w:val="00C20D1C"/>
    <w:rsid w:val="00C21D2D"/>
    <w:rsid w:val="00C2750F"/>
    <w:rsid w:val="00C30AD0"/>
    <w:rsid w:val="00C32D91"/>
    <w:rsid w:val="00C3334E"/>
    <w:rsid w:val="00C3567D"/>
    <w:rsid w:val="00C36F08"/>
    <w:rsid w:val="00C4157A"/>
    <w:rsid w:val="00C4252C"/>
    <w:rsid w:val="00C43E42"/>
    <w:rsid w:val="00C56A04"/>
    <w:rsid w:val="00C56B6E"/>
    <w:rsid w:val="00C573F0"/>
    <w:rsid w:val="00C61686"/>
    <w:rsid w:val="00C6337A"/>
    <w:rsid w:val="00C65710"/>
    <w:rsid w:val="00C70B8E"/>
    <w:rsid w:val="00C803F7"/>
    <w:rsid w:val="00C82B54"/>
    <w:rsid w:val="00C84514"/>
    <w:rsid w:val="00C964C3"/>
    <w:rsid w:val="00C97278"/>
    <w:rsid w:val="00CA09D2"/>
    <w:rsid w:val="00CA269B"/>
    <w:rsid w:val="00CA411C"/>
    <w:rsid w:val="00CA4366"/>
    <w:rsid w:val="00CA56BE"/>
    <w:rsid w:val="00CA6128"/>
    <w:rsid w:val="00CB1A62"/>
    <w:rsid w:val="00CB1DA7"/>
    <w:rsid w:val="00CB1EBB"/>
    <w:rsid w:val="00CB29BF"/>
    <w:rsid w:val="00CB3A1B"/>
    <w:rsid w:val="00CB3A88"/>
    <w:rsid w:val="00CB560D"/>
    <w:rsid w:val="00CB7D68"/>
    <w:rsid w:val="00CC06E2"/>
    <w:rsid w:val="00CC4110"/>
    <w:rsid w:val="00CD0F8F"/>
    <w:rsid w:val="00CE3E4A"/>
    <w:rsid w:val="00CE5A47"/>
    <w:rsid w:val="00CE63CF"/>
    <w:rsid w:val="00CF134A"/>
    <w:rsid w:val="00CF2BCD"/>
    <w:rsid w:val="00CF47A7"/>
    <w:rsid w:val="00CF5641"/>
    <w:rsid w:val="00D02FBD"/>
    <w:rsid w:val="00D04995"/>
    <w:rsid w:val="00D12369"/>
    <w:rsid w:val="00D12BED"/>
    <w:rsid w:val="00D148E8"/>
    <w:rsid w:val="00D20474"/>
    <w:rsid w:val="00D23268"/>
    <w:rsid w:val="00D23C6E"/>
    <w:rsid w:val="00D24146"/>
    <w:rsid w:val="00D24BB4"/>
    <w:rsid w:val="00D25B8E"/>
    <w:rsid w:val="00D2605C"/>
    <w:rsid w:val="00D304EE"/>
    <w:rsid w:val="00D325D8"/>
    <w:rsid w:val="00D327A2"/>
    <w:rsid w:val="00D32D8B"/>
    <w:rsid w:val="00D343A0"/>
    <w:rsid w:val="00D40890"/>
    <w:rsid w:val="00D434E5"/>
    <w:rsid w:val="00D50216"/>
    <w:rsid w:val="00D53E9B"/>
    <w:rsid w:val="00D5513F"/>
    <w:rsid w:val="00D57861"/>
    <w:rsid w:val="00D607DB"/>
    <w:rsid w:val="00D61E66"/>
    <w:rsid w:val="00D669D6"/>
    <w:rsid w:val="00D75F27"/>
    <w:rsid w:val="00D83B77"/>
    <w:rsid w:val="00D85B3B"/>
    <w:rsid w:val="00D85CA4"/>
    <w:rsid w:val="00D85FD3"/>
    <w:rsid w:val="00D93A4B"/>
    <w:rsid w:val="00D941C8"/>
    <w:rsid w:val="00DA5E6F"/>
    <w:rsid w:val="00DB1858"/>
    <w:rsid w:val="00DB621B"/>
    <w:rsid w:val="00DC1F57"/>
    <w:rsid w:val="00DC4CC8"/>
    <w:rsid w:val="00DC7C78"/>
    <w:rsid w:val="00DD0E30"/>
    <w:rsid w:val="00DD392B"/>
    <w:rsid w:val="00DD6380"/>
    <w:rsid w:val="00DE30C9"/>
    <w:rsid w:val="00DE3A4D"/>
    <w:rsid w:val="00DE4A81"/>
    <w:rsid w:val="00DF7951"/>
    <w:rsid w:val="00DF7C0C"/>
    <w:rsid w:val="00E0292E"/>
    <w:rsid w:val="00E070B6"/>
    <w:rsid w:val="00E07190"/>
    <w:rsid w:val="00E111DE"/>
    <w:rsid w:val="00E25169"/>
    <w:rsid w:val="00E44702"/>
    <w:rsid w:val="00E46977"/>
    <w:rsid w:val="00E51125"/>
    <w:rsid w:val="00E51FBD"/>
    <w:rsid w:val="00E53C8B"/>
    <w:rsid w:val="00E567AB"/>
    <w:rsid w:val="00E57264"/>
    <w:rsid w:val="00E57EE2"/>
    <w:rsid w:val="00E64084"/>
    <w:rsid w:val="00E66883"/>
    <w:rsid w:val="00E6713A"/>
    <w:rsid w:val="00E71AD5"/>
    <w:rsid w:val="00E7340E"/>
    <w:rsid w:val="00E75183"/>
    <w:rsid w:val="00E75840"/>
    <w:rsid w:val="00E81ACF"/>
    <w:rsid w:val="00E82DE0"/>
    <w:rsid w:val="00E83FBB"/>
    <w:rsid w:val="00E84F13"/>
    <w:rsid w:val="00E903E2"/>
    <w:rsid w:val="00E948E2"/>
    <w:rsid w:val="00E9534D"/>
    <w:rsid w:val="00E96F49"/>
    <w:rsid w:val="00EA0C17"/>
    <w:rsid w:val="00EA1F18"/>
    <w:rsid w:val="00EA2CD0"/>
    <w:rsid w:val="00EA3184"/>
    <w:rsid w:val="00EA4C6E"/>
    <w:rsid w:val="00EA5200"/>
    <w:rsid w:val="00EB3EB3"/>
    <w:rsid w:val="00EC3B70"/>
    <w:rsid w:val="00EC7FEA"/>
    <w:rsid w:val="00ED0D5B"/>
    <w:rsid w:val="00ED1858"/>
    <w:rsid w:val="00ED2EEC"/>
    <w:rsid w:val="00ED37B3"/>
    <w:rsid w:val="00EF7100"/>
    <w:rsid w:val="00F03CE6"/>
    <w:rsid w:val="00F0423C"/>
    <w:rsid w:val="00F05E28"/>
    <w:rsid w:val="00F0726E"/>
    <w:rsid w:val="00F13D10"/>
    <w:rsid w:val="00F15BE3"/>
    <w:rsid w:val="00F23838"/>
    <w:rsid w:val="00F23942"/>
    <w:rsid w:val="00F3018D"/>
    <w:rsid w:val="00F349EB"/>
    <w:rsid w:val="00F35544"/>
    <w:rsid w:val="00F35E4F"/>
    <w:rsid w:val="00F40522"/>
    <w:rsid w:val="00F41F24"/>
    <w:rsid w:val="00F514A6"/>
    <w:rsid w:val="00F520BC"/>
    <w:rsid w:val="00F55D52"/>
    <w:rsid w:val="00F61800"/>
    <w:rsid w:val="00F71734"/>
    <w:rsid w:val="00F74A90"/>
    <w:rsid w:val="00F761B5"/>
    <w:rsid w:val="00F766C2"/>
    <w:rsid w:val="00F76B51"/>
    <w:rsid w:val="00F77267"/>
    <w:rsid w:val="00F907A0"/>
    <w:rsid w:val="00F91D0C"/>
    <w:rsid w:val="00F929E3"/>
    <w:rsid w:val="00F93A91"/>
    <w:rsid w:val="00F96210"/>
    <w:rsid w:val="00F96F60"/>
    <w:rsid w:val="00FA664E"/>
    <w:rsid w:val="00FB275F"/>
    <w:rsid w:val="00FB5682"/>
    <w:rsid w:val="00FB5C8B"/>
    <w:rsid w:val="00FB66DD"/>
    <w:rsid w:val="00FC0274"/>
    <w:rsid w:val="00FC7918"/>
    <w:rsid w:val="00FC7D88"/>
    <w:rsid w:val="00FD206B"/>
    <w:rsid w:val="00FF0655"/>
    <w:rsid w:val="00FF0EFA"/>
    <w:rsid w:val="00FF142F"/>
    <w:rsid w:val="00FF36C1"/>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66810"/>
  <w15:docId w15:val="{E421E431-2113-4BA3-A091-C7097D6E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19"/>
    <w:rPr>
      <w:rFonts w:ascii="Arial" w:hAnsi="Arial"/>
      <w:sz w:val="24"/>
    </w:rPr>
  </w:style>
  <w:style w:type="paragraph" w:styleId="Heading1">
    <w:name w:val="heading 1"/>
    <w:basedOn w:val="Normal"/>
    <w:next w:val="Normal"/>
    <w:link w:val="Heading1Char"/>
    <w:qFormat/>
    <w:rsid w:val="009D1219"/>
    <w:pPr>
      <w:keepNext/>
      <w:outlineLvl w:val="0"/>
    </w:pPr>
    <w:rPr>
      <w:rFonts w:ascii="Univers" w:hAnsi="Univers"/>
      <w:b/>
      <w:kern w:val="28"/>
    </w:rPr>
  </w:style>
  <w:style w:type="paragraph" w:styleId="Heading5">
    <w:name w:val="heading 5"/>
    <w:basedOn w:val="Normal"/>
    <w:next w:val="Normal"/>
    <w:link w:val="Heading5Char"/>
    <w:qFormat/>
    <w:rsid w:val="009D1219"/>
    <w:pPr>
      <w:keepNext/>
      <w:outlineLvl w:val="4"/>
    </w:pPr>
    <w:rPr>
      <w:rFonts w:ascii="Univers" w:hAnsi="Univers"/>
      <w:b/>
      <w:u w:val="single"/>
    </w:rPr>
  </w:style>
  <w:style w:type="paragraph" w:styleId="Heading6">
    <w:name w:val="heading 6"/>
    <w:basedOn w:val="Normal"/>
    <w:next w:val="Normal"/>
    <w:link w:val="Heading6Char"/>
    <w:qFormat/>
    <w:rsid w:val="009D1219"/>
    <w:pPr>
      <w:keepNext/>
      <w:outlineLvl w:val="5"/>
    </w:pPr>
    <w:rPr>
      <w:rFonts w:ascii="Univers" w:hAnsi="Univers"/>
      <w:b/>
    </w:rPr>
  </w:style>
  <w:style w:type="paragraph" w:styleId="Heading7">
    <w:name w:val="heading 7"/>
    <w:basedOn w:val="Normal"/>
    <w:next w:val="Normal"/>
    <w:link w:val="Heading7Char"/>
    <w:qFormat/>
    <w:rsid w:val="009D1219"/>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1219"/>
  </w:style>
  <w:style w:type="paragraph" w:styleId="BodyText2">
    <w:name w:val="Body Text 2"/>
    <w:basedOn w:val="Normal"/>
    <w:link w:val="BodyText2Char"/>
    <w:rsid w:val="009D1219"/>
    <w:rPr>
      <w:rFonts w:ascii="Univers" w:hAnsi="Univers"/>
      <w:b/>
      <w:u w:val="single"/>
    </w:rPr>
  </w:style>
  <w:style w:type="paragraph" w:styleId="BodyTextIndent">
    <w:name w:val="Body Text Indent"/>
    <w:basedOn w:val="Normal"/>
    <w:link w:val="BodyTextIndentChar"/>
    <w:rsid w:val="009D1219"/>
    <w:pPr>
      <w:ind w:left="720" w:firstLine="720"/>
    </w:pPr>
    <w:rPr>
      <w:rFonts w:ascii="Times New Roman" w:hAnsi="Times New Roman"/>
    </w:rPr>
  </w:style>
  <w:style w:type="paragraph" w:styleId="BodyText">
    <w:name w:val="Body Text"/>
    <w:basedOn w:val="Normal"/>
    <w:link w:val="BodyTextChar"/>
    <w:rsid w:val="009D1219"/>
  </w:style>
  <w:style w:type="paragraph" w:styleId="Footer">
    <w:name w:val="footer"/>
    <w:basedOn w:val="Normal"/>
    <w:link w:val="FooterChar"/>
    <w:uiPriority w:val="99"/>
    <w:rsid w:val="009D1219"/>
    <w:pPr>
      <w:tabs>
        <w:tab w:val="center" w:pos="4153"/>
        <w:tab w:val="right" w:pos="8306"/>
      </w:tabs>
    </w:pPr>
  </w:style>
  <w:style w:type="character" w:styleId="PageNumber">
    <w:name w:val="page number"/>
    <w:basedOn w:val="DefaultParagraphFont"/>
    <w:rsid w:val="009D1219"/>
  </w:style>
  <w:style w:type="paragraph" w:styleId="BalloonText">
    <w:name w:val="Balloon Text"/>
    <w:basedOn w:val="Normal"/>
    <w:link w:val="BalloonTextChar"/>
    <w:semiHidden/>
    <w:rsid w:val="00BF7B57"/>
    <w:rPr>
      <w:rFonts w:ascii="Tahoma" w:hAnsi="Tahoma"/>
      <w:sz w:val="16"/>
      <w:szCs w:val="16"/>
    </w:rPr>
  </w:style>
  <w:style w:type="character" w:styleId="CommentReference">
    <w:name w:val="annotation reference"/>
    <w:uiPriority w:val="99"/>
    <w:semiHidden/>
    <w:rsid w:val="0058092A"/>
    <w:rPr>
      <w:sz w:val="16"/>
      <w:szCs w:val="16"/>
    </w:rPr>
  </w:style>
  <w:style w:type="paragraph" w:styleId="CommentText">
    <w:name w:val="annotation text"/>
    <w:basedOn w:val="Normal"/>
    <w:link w:val="CommentTextChar"/>
    <w:semiHidden/>
    <w:rsid w:val="0058092A"/>
    <w:rPr>
      <w:sz w:val="20"/>
    </w:rPr>
  </w:style>
  <w:style w:type="paragraph" w:styleId="CommentSubject">
    <w:name w:val="annotation subject"/>
    <w:basedOn w:val="CommentText"/>
    <w:next w:val="CommentText"/>
    <w:link w:val="CommentSubjectChar"/>
    <w:semiHidden/>
    <w:rsid w:val="0058092A"/>
    <w:rPr>
      <w:b/>
      <w:bCs/>
    </w:rPr>
  </w:style>
  <w:style w:type="table" w:styleId="TableGrid">
    <w:name w:val="Table Grid"/>
    <w:basedOn w:val="TableNormal"/>
    <w:uiPriority w:val="59"/>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E163D"/>
    <w:rPr>
      <w:color w:val="0000FF"/>
      <w:u w:val="single"/>
    </w:rPr>
  </w:style>
  <w:style w:type="character" w:customStyle="1" w:styleId="HeaderChar">
    <w:name w:val="Header Char"/>
    <w:link w:val="Header"/>
    <w:uiPriority w:val="99"/>
    <w:rsid w:val="00BE163D"/>
    <w:rPr>
      <w:rFonts w:ascii="Arial" w:hAnsi="Arial"/>
      <w:sz w:val="24"/>
    </w:rPr>
  </w:style>
  <w:style w:type="paragraph" w:styleId="ListParagraph">
    <w:name w:val="List Paragraph"/>
    <w:basedOn w:val="Normal"/>
    <w:uiPriority w:val="34"/>
    <w:qFormat/>
    <w:rsid w:val="0022159C"/>
    <w:pPr>
      <w:ind w:left="720"/>
    </w:pPr>
  </w:style>
  <w:style w:type="character" w:customStyle="1" w:styleId="Heading5Char">
    <w:name w:val="Heading 5 Char"/>
    <w:link w:val="Heading5"/>
    <w:rsid w:val="006F52A6"/>
    <w:rPr>
      <w:rFonts w:ascii="Univers" w:hAnsi="Univers"/>
      <w:b/>
      <w:sz w:val="24"/>
      <w:u w:val="single"/>
    </w:rPr>
  </w:style>
  <w:style w:type="paragraph" w:styleId="NoSpacing">
    <w:name w:val="No Spacing"/>
    <w:uiPriority w:val="1"/>
    <w:qFormat/>
    <w:rsid w:val="00F74A90"/>
    <w:rPr>
      <w:rFonts w:ascii="Calibri" w:eastAsia="Calibri" w:hAnsi="Calibri"/>
      <w:sz w:val="22"/>
      <w:szCs w:val="22"/>
      <w:lang w:eastAsia="en-US"/>
    </w:rPr>
  </w:style>
  <w:style w:type="character" w:customStyle="1" w:styleId="adr">
    <w:name w:val="adr"/>
    <w:basedOn w:val="DefaultParagraphFont"/>
    <w:rsid w:val="00F74A90"/>
  </w:style>
  <w:style w:type="character" w:customStyle="1" w:styleId="Heading1Char">
    <w:name w:val="Heading 1 Char"/>
    <w:link w:val="Heading1"/>
    <w:rsid w:val="00B34D7A"/>
    <w:rPr>
      <w:rFonts w:ascii="Univers" w:hAnsi="Univers"/>
      <w:b/>
      <w:kern w:val="28"/>
      <w:sz w:val="24"/>
    </w:rPr>
  </w:style>
  <w:style w:type="character" w:customStyle="1" w:styleId="Heading6Char">
    <w:name w:val="Heading 6 Char"/>
    <w:link w:val="Heading6"/>
    <w:rsid w:val="00B34D7A"/>
    <w:rPr>
      <w:rFonts w:ascii="Univers" w:hAnsi="Univers"/>
      <w:b/>
      <w:sz w:val="24"/>
    </w:rPr>
  </w:style>
  <w:style w:type="character" w:customStyle="1" w:styleId="Heading7Char">
    <w:name w:val="Heading 7 Char"/>
    <w:link w:val="Heading7"/>
    <w:rsid w:val="00B34D7A"/>
    <w:rPr>
      <w:rFonts w:ascii="Univers" w:hAnsi="Univers"/>
      <w:sz w:val="24"/>
      <w:u w:val="single"/>
    </w:rPr>
  </w:style>
  <w:style w:type="character" w:styleId="FollowedHyperlink">
    <w:name w:val="FollowedHyperlink"/>
    <w:uiPriority w:val="99"/>
    <w:unhideWhenUsed/>
    <w:rsid w:val="00B34D7A"/>
    <w:rPr>
      <w:color w:val="800080"/>
      <w:u w:val="single"/>
    </w:rPr>
  </w:style>
  <w:style w:type="character" w:customStyle="1" w:styleId="CommentTextChar">
    <w:name w:val="Comment Text Char"/>
    <w:link w:val="CommentText"/>
    <w:semiHidden/>
    <w:rsid w:val="00B34D7A"/>
    <w:rPr>
      <w:rFonts w:ascii="Arial" w:hAnsi="Arial"/>
    </w:rPr>
  </w:style>
  <w:style w:type="character" w:customStyle="1" w:styleId="FooterChar">
    <w:name w:val="Footer Char"/>
    <w:link w:val="Footer"/>
    <w:uiPriority w:val="99"/>
    <w:rsid w:val="00B34D7A"/>
    <w:rPr>
      <w:rFonts w:ascii="Arial" w:hAnsi="Arial"/>
      <w:sz w:val="24"/>
    </w:rPr>
  </w:style>
  <w:style w:type="character" w:customStyle="1" w:styleId="BodyTextChar">
    <w:name w:val="Body Text Char"/>
    <w:link w:val="BodyText"/>
    <w:rsid w:val="00B34D7A"/>
    <w:rPr>
      <w:rFonts w:ascii="Arial" w:hAnsi="Arial"/>
      <w:sz w:val="24"/>
    </w:rPr>
  </w:style>
  <w:style w:type="character" w:customStyle="1" w:styleId="BodyTextIndentChar">
    <w:name w:val="Body Text Indent Char"/>
    <w:link w:val="BodyTextIndent"/>
    <w:rsid w:val="00B34D7A"/>
    <w:rPr>
      <w:sz w:val="24"/>
    </w:rPr>
  </w:style>
  <w:style w:type="character" w:customStyle="1" w:styleId="BodyText2Char">
    <w:name w:val="Body Text 2 Char"/>
    <w:link w:val="BodyText2"/>
    <w:rsid w:val="00B34D7A"/>
    <w:rPr>
      <w:rFonts w:ascii="Univers" w:hAnsi="Univers"/>
      <w:b/>
      <w:sz w:val="24"/>
      <w:u w:val="single"/>
    </w:rPr>
  </w:style>
  <w:style w:type="character" w:customStyle="1" w:styleId="CommentSubjectChar">
    <w:name w:val="Comment Subject Char"/>
    <w:link w:val="CommentSubject"/>
    <w:semiHidden/>
    <w:rsid w:val="00B34D7A"/>
    <w:rPr>
      <w:rFonts w:ascii="Arial" w:hAnsi="Arial"/>
      <w:b/>
      <w:bCs/>
    </w:rPr>
  </w:style>
  <w:style w:type="character" w:customStyle="1" w:styleId="BalloonTextChar">
    <w:name w:val="Balloon Text Char"/>
    <w:link w:val="BalloonText"/>
    <w:semiHidden/>
    <w:rsid w:val="00B34D7A"/>
    <w:rPr>
      <w:rFonts w:ascii="Tahoma" w:hAnsi="Tahoma" w:cs="Tahoma"/>
      <w:sz w:val="16"/>
      <w:szCs w:val="16"/>
    </w:rPr>
  </w:style>
  <w:style w:type="paragraph" w:customStyle="1" w:styleId="Default">
    <w:name w:val="Default"/>
    <w:rsid w:val="008D5E7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483A98"/>
    <w:rPr>
      <w:color w:val="605E5C"/>
      <w:shd w:val="clear" w:color="auto" w:fill="E1DFDD"/>
    </w:rPr>
  </w:style>
  <w:style w:type="paragraph" w:styleId="Revision">
    <w:name w:val="Revision"/>
    <w:hidden/>
    <w:uiPriority w:val="99"/>
    <w:semiHidden/>
    <w:rsid w:val="00F3018D"/>
    <w:rPr>
      <w:rFonts w:ascii="Arial" w:hAnsi="Arial"/>
      <w:sz w:val="24"/>
    </w:rPr>
  </w:style>
  <w:style w:type="character" w:customStyle="1" w:styleId="UnresolvedMention2">
    <w:name w:val="Unresolved Mention2"/>
    <w:basedOn w:val="DefaultParagraphFont"/>
    <w:rsid w:val="0041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macdonald@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n.terry@lancashire.gov.u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69E7-A13A-49F5-9E6B-E7367B09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514</TotalTime>
  <Pages>9</Pages>
  <Words>3490</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04.08.2009</dc:description>
  <cp:lastModifiedBy>Mansfield, Joanne</cp:lastModifiedBy>
  <cp:revision>93</cp:revision>
  <cp:lastPrinted>2014-04-09T08:49:00Z</cp:lastPrinted>
  <dcterms:created xsi:type="dcterms:W3CDTF">2021-09-28T09:27:00Z</dcterms:created>
  <dcterms:modified xsi:type="dcterms:W3CDTF">2021-11-19T08:32:00Z</dcterms:modified>
</cp:coreProperties>
</file>