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901FC" w14:textId="77777777" w:rsidR="00B74D8E" w:rsidRDefault="00B74D8E" w:rsidP="00B74D8E">
      <w:pPr>
        <w:rPr>
          <w:b/>
        </w:rPr>
      </w:pPr>
      <w:r>
        <w:rPr>
          <w:b/>
        </w:rPr>
        <w:t>Report to the Cabinet</w:t>
      </w:r>
    </w:p>
    <w:p w14:paraId="6586DDB8" w14:textId="5AC2631C" w:rsidR="00B74D8E" w:rsidRDefault="00B74D8E" w:rsidP="00B74D8E">
      <w:r>
        <w:t xml:space="preserve">Meeting to be held on </w:t>
      </w:r>
      <w:r w:rsidR="00B87F49">
        <w:t>Thursday</w:t>
      </w:r>
      <w:r w:rsidR="00DB5A52">
        <w:t>,</w:t>
      </w:r>
      <w:r w:rsidR="00B87F49">
        <w:t xml:space="preserve"> </w:t>
      </w:r>
      <w:r w:rsidR="319D272F">
        <w:t>3</w:t>
      </w:r>
      <w:r w:rsidR="00B87F49">
        <w:t xml:space="preserve"> </w:t>
      </w:r>
      <w:r w:rsidR="1BC865B7">
        <w:t>February</w:t>
      </w:r>
      <w:r w:rsidR="00B87F49">
        <w:t xml:space="preserve"> 2022</w:t>
      </w:r>
    </w:p>
    <w:p w14:paraId="672A6659" w14:textId="77777777" w:rsidR="00B74D8E" w:rsidRDefault="00B74D8E" w:rsidP="00B74D8E"/>
    <w:p w14:paraId="2BA8E901" w14:textId="77777777" w:rsidR="00B74D8E" w:rsidRPr="001D11FC" w:rsidRDefault="00B74D8E" w:rsidP="00B74D8E">
      <w:pPr>
        <w:rPr>
          <w:b/>
        </w:rPr>
      </w:pPr>
      <w:r>
        <w:rPr>
          <w:b/>
        </w:rPr>
        <w:t xml:space="preserve">Report of the </w:t>
      </w:r>
      <w:r w:rsidRPr="000231C8">
        <w:rPr>
          <w:b/>
        </w:rPr>
        <w:t>Chief Executive and Director of Resources</w:t>
      </w:r>
    </w:p>
    <w:p w14:paraId="0A37501D" w14:textId="77777777" w:rsidR="00B74D8E" w:rsidRDefault="00B74D8E" w:rsidP="00B74D8E"/>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5A7618" w14:paraId="182747C5" w14:textId="77777777" w:rsidTr="000F3319">
        <w:tc>
          <w:tcPr>
            <w:tcW w:w="3402" w:type="dxa"/>
            <w:tcBorders>
              <w:bottom w:val="single" w:sz="4" w:space="0" w:color="auto"/>
            </w:tcBorders>
          </w:tcPr>
          <w:p w14:paraId="1EA9E1B3" w14:textId="77777777" w:rsidR="00B74D8E" w:rsidRPr="00136344" w:rsidRDefault="00B74D8E" w:rsidP="000F3319">
            <w:pPr>
              <w:pStyle w:val="BodyText"/>
              <w:rPr>
                <w:rFonts w:cs="Arial"/>
                <w:b/>
                <w:szCs w:val="24"/>
              </w:rPr>
            </w:pPr>
            <w:r w:rsidRPr="00A71CC6">
              <w:rPr>
                <w:rFonts w:cs="Arial"/>
                <w:b/>
                <w:sz w:val="28"/>
                <w:szCs w:val="24"/>
              </w:rPr>
              <w:fldChar w:fldCharType="begin"/>
            </w:r>
            <w:r w:rsidRPr="00A71CC6">
              <w:rPr>
                <w:rFonts w:cs="Arial"/>
                <w:b/>
                <w:sz w:val="28"/>
                <w:szCs w:val="24"/>
              </w:rPr>
              <w:instrText xml:space="preserve"> DOCPROPERTY  IssueExemptionClassTitle  \* MERGEFORMAT </w:instrText>
            </w:r>
            <w:r w:rsidRPr="00A71CC6">
              <w:rPr>
                <w:rFonts w:cs="Arial"/>
                <w:b/>
                <w:sz w:val="28"/>
                <w:szCs w:val="24"/>
              </w:rPr>
              <w:fldChar w:fldCharType="separate"/>
            </w:r>
            <w:r w:rsidRPr="00A71CC6">
              <w:rPr>
                <w:rFonts w:cs="Arial"/>
                <w:b/>
                <w:sz w:val="28"/>
                <w:szCs w:val="24"/>
              </w:rPr>
              <w:t>Part I</w:t>
            </w:r>
            <w:r w:rsidRPr="00A71CC6">
              <w:rPr>
                <w:rFonts w:cs="Arial"/>
                <w:b/>
                <w:sz w:val="28"/>
                <w:szCs w:val="24"/>
              </w:rPr>
              <w:fldChar w:fldCharType="end"/>
            </w:r>
          </w:p>
        </w:tc>
      </w:tr>
      <w:tr w:rsidR="005A7618" w14:paraId="5DAB6C7B" w14:textId="77777777" w:rsidTr="000F3319">
        <w:tc>
          <w:tcPr>
            <w:tcW w:w="3402" w:type="dxa"/>
            <w:tcBorders>
              <w:left w:val="nil"/>
              <w:right w:val="nil"/>
            </w:tcBorders>
          </w:tcPr>
          <w:p w14:paraId="02EB378F" w14:textId="77777777" w:rsidR="00B74D8E" w:rsidRDefault="00B74D8E" w:rsidP="000F3319">
            <w:pPr>
              <w:pStyle w:val="BodyText"/>
            </w:pPr>
          </w:p>
        </w:tc>
      </w:tr>
      <w:tr w:rsidR="005A7618" w14:paraId="0645226A" w14:textId="77777777" w:rsidTr="000F3319">
        <w:tc>
          <w:tcPr>
            <w:tcW w:w="3402" w:type="dxa"/>
          </w:tcPr>
          <w:p w14:paraId="589EC4F8" w14:textId="77777777" w:rsidR="00B74D8E" w:rsidRDefault="00B74D8E" w:rsidP="000F3319">
            <w:pPr>
              <w:pStyle w:val="BodyText"/>
            </w:pPr>
            <w:r>
              <w:t>Electoral Division affected:</w:t>
            </w:r>
          </w:p>
          <w:p w14:paraId="7C98F709" w14:textId="77777777" w:rsidR="00B74D8E" w:rsidRPr="00192EE0" w:rsidRDefault="001C1923" w:rsidP="000F3319">
            <w:pPr>
              <w:ind w:right="-250"/>
            </w:pPr>
            <w:fldSimple w:instr="DOCPROPERTY  Wards  \* MERGEFORMAT">
              <w:r w:rsidR="00B74D8E">
                <w:t>(All Divisions);</w:t>
              </w:r>
            </w:fldSimple>
          </w:p>
        </w:tc>
      </w:tr>
    </w:tbl>
    <w:p w14:paraId="6A05A809" w14:textId="77777777" w:rsidR="00B74D8E" w:rsidRDefault="00B74D8E" w:rsidP="00B74D8E">
      <w:pPr>
        <w:rPr>
          <w:b/>
          <w:u w:val="single"/>
        </w:rPr>
      </w:pPr>
    </w:p>
    <w:tbl>
      <w:tblPr>
        <w:tblpPr w:leftFromText="180" w:rightFromText="180" w:vertAnchor="text" w:horzAnchor="margin" w:tblpX="5778"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5"/>
      </w:tblGrid>
      <w:tr w:rsidR="000606A7" w14:paraId="33D7CD4C" w14:textId="77777777" w:rsidTr="5381C825">
        <w:tc>
          <w:tcPr>
            <w:tcW w:w="3465" w:type="dxa"/>
            <w:shd w:val="clear" w:color="auto" w:fill="auto"/>
          </w:tcPr>
          <w:p w14:paraId="57BE2D5B" w14:textId="77777777" w:rsidR="000606A7" w:rsidRDefault="000606A7" w:rsidP="00DC1918">
            <w:pPr>
              <w:rPr>
                <w:b/>
                <w:bCs/>
              </w:rPr>
            </w:pPr>
            <w:r w:rsidRPr="00B51A14">
              <w:rPr>
                <w:b/>
                <w:bCs/>
              </w:rPr>
              <w:t>Corporate Priorities:</w:t>
            </w:r>
          </w:p>
          <w:p w14:paraId="28F0C53A" w14:textId="1CD9CEEA" w:rsidR="000606A7" w:rsidRPr="006A09A2" w:rsidRDefault="006A09A2" w:rsidP="00DC1918">
            <w:r>
              <w:t xml:space="preserve">Delivering </w:t>
            </w:r>
            <w:r w:rsidR="0035337F">
              <w:t>b</w:t>
            </w:r>
            <w:r>
              <w:t xml:space="preserve">etter </w:t>
            </w:r>
            <w:r w:rsidR="1DD63977">
              <w:t>services</w:t>
            </w:r>
            <w:r w:rsidR="00DB5A52">
              <w:t>;</w:t>
            </w:r>
          </w:p>
          <w:p w14:paraId="024CD731" w14:textId="3C08B1EC" w:rsidR="006A09A2" w:rsidRPr="006A09A2" w:rsidRDefault="006A09A2" w:rsidP="00DC1918">
            <w:r>
              <w:t xml:space="preserve">Protecting </w:t>
            </w:r>
            <w:r w:rsidR="0035337F">
              <w:t>o</w:t>
            </w:r>
            <w:r>
              <w:t xml:space="preserve">ur </w:t>
            </w:r>
            <w:r w:rsidR="23D9E050">
              <w:t>environment</w:t>
            </w:r>
            <w:r w:rsidR="00DB5A52">
              <w:t>;</w:t>
            </w:r>
          </w:p>
          <w:p w14:paraId="7564FC55" w14:textId="3EF7DC98" w:rsidR="006A09A2" w:rsidRPr="006A09A2" w:rsidRDefault="006A09A2" w:rsidP="00DC1918">
            <w:r>
              <w:t xml:space="preserve">Supporting </w:t>
            </w:r>
            <w:r w:rsidR="0035337F">
              <w:t>e</w:t>
            </w:r>
            <w:r>
              <w:t xml:space="preserve">conomic </w:t>
            </w:r>
            <w:r w:rsidR="48F2289E">
              <w:t>growth</w:t>
            </w:r>
            <w:r w:rsidR="00DB5A52">
              <w:t>;</w:t>
            </w:r>
          </w:p>
          <w:p w14:paraId="1113A064" w14:textId="523C1223" w:rsidR="006A09A2" w:rsidRPr="000606A7" w:rsidRDefault="006A09A2" w:rsidP="5381C825">
            <w:r>
              <w:t xml:space="preserve">Caring for the </w:t>
            </w:r>
            <w:r w:rsidR="1B5B4670">
              <w:t>vulnerable</w:t>
            </w:r>
            <w:r w:rsidR="00DB5A52">
              <w:t>;</w:t>
            </w:r>
          </w:p>
        </w:tc>
      </w:tr>
    </w:tbl>
    <w:p w14:paraId="5A39BBE3" w14:textId="77777777" w:rsidR="000606A7" w:rsidRDefault="000606A7" w:rsidP="00B74D8E">
      <w:pPr>
        <w:rPr>
          <w:b/>
          <w:u w:val="single"/>
        </w:rPr>
      </w:pPr>
    </w:p>
    <w:p w14:paraId="41C8F396" w14:textId="77777777" w:rsidR="000606A7" w:rsidRDefault="000606A7" w:rsidP="00B74D8E">
      <w:pPr>
        <w:rPr>
          <w:b/>
          <w:u w:val="single"/>
        </w:rPr>
      </w:pPr>
    </w:p>
    <w:p w14:paraId="72A3D3EC" w14:textId="77777777" w:rsidR="000606A7" w:rsidRDefault="000606A7" w:rsidP="00B74D8E">
      <w:pPr>
        <w:rPr>
          <w:b/>
          <w:u w:val="single"/>
        </w:rPr>
      </w:pPr>
    </w:p>
    <w:p w14:paraId="0D0B940D" w14:textId="77777777" w:rsidR="006A09A2" w:rsidRDefault="006A09A2" w:rsidP="00B74D8E">
      <w:pPr>
        <w:rPr>
          <w:b/>
        </w:rPr>
      </w:pPr>
    </w:p>
    <w:p w14:paraId="0E27B00A" w14:textId="77777777" w:rsidR="006A09A2" w:rsidRDefault="006A09A2" w:rsidP="00B74D8E">
      <w:pPr>
        <w:rPr>
          <w:b/>
        </w:rPr>
      </w:pPr>
    </w:p>
    <w:p w14:paraId="60061E4C" w14:textId="77777777" w:rsidR="006A09A2" w:rsidRDefault="006A09A2" w:rsidP="00B74D8E">
      <w:pPr>
        <w:rPr>
          <w:b/>
        </w:rPr>
      </w:pPr>
    </w:p>
    <w:p w14:paraId="44E45C40" w14:textId="77777777" w:rsidR="00B74D8E" w:rsidRDefault="00B74D8E" w:rsidP="00B74D8E">
      <w:pPr>
        <w:rPr>
          <w:b/>
        </w:rPr>
      </w:pPr>
      <w:r>
        <w:rPr>
          <w:b/>
        </w:rPr>
        <w:fldChar w:fldCharType="begin"/>
      </w:r>
      <w:r>
        <w:rPr>
          <w:b/>
        </w:rPr>
        <w:instrText xml:space="preserve"> DOCPROPERTY  IssueTitle  \* MERGEFORMAT </w:instrText>
      </w:r>
      <w:r>
        <w:rPr>
          <w:b/>
        </w:rPr>
        <w:fldChar w:fldCharType="separate"/>
      </w:r>
      <w:r>
        <w:rPr>
          <w:b/>
        </w:rPr>
        <w:t xml:space="preserve">Money Matters 2021/22 Position - Quarter </w:t>
      </w:r>
      <w:r>
        <w:rPr>
          <w:b/>
        </w:rPr>
        <w:fldChar w:fldCharType="end"/>
      </w:r>
      <w:r w:rsidR="00B87F49">
        <w:rPr>
          <w:b/>
        </w:rPr>
        <w:t>3</w:t>
      </w:r>
    </w:p>
    <w:p w14:paraId="51B4E53C" w14:textId="77777777" w:rsidR="00B74D8E" w:rsidRPr="000231C8" w:rsidRDefault="00B74D8E" w:rsidP="00B74D8E">
      <w:r>
        <w:t>(Appendices 'A'</w:t>
      </w:r>
      <w:r w:rsidR="000606A7">
        <w:t xml:space="preserve"> -</w:t>
      </w:r>
      <w:r>
        <w:t xml:space="preserve"> 'C' refer)</w:t>
      </w:r>
    </w:p>
    <w:p w14:paraId="44EAFD9C" w14:textId="77777777" w:rsidR="00B74D8E" w:rsidRDefault="00B74D8E" w:rsidP="00B74D8E"/>
    <w:p w14:paraId="51B6F331" w14:textId="77777777" w:rsidR="00B74D8E" w:rsidRDefault="00B74D8E" w:rsidP="00B74D8E">
      <w:pPr>
        <w:ind w:right="-873"/>
      </w:pPr>
      <w:r>
        <w:t xml:space="preserve">Contact for further information: </w:t>
      </w:r>
    </w:p>
    <w:p w14:paraId="1766BA46" w14:textId="77777777" w:rsidR="00B74D8E" w:rsidRPr="000231C8" w:rsidRDefault="00B74D8E" w:rsidP="00B74D8E">
      <w:r w:rsidRPr="000231C8">
        <w:t xml:space="preserve">Angie Ridgwell, </w:t>
      </w:r>
      <w:r w:rsidR="00117AE1">
        <w:t xml:space="preserve">Tel: </w:t>
      </w:r>
      <w:r w:rsidRPr="000231C8">
        <w:t>(01772) 536260, Chief Executive and Director of Resources, angie.ridgwell@lancashire.gov.uk</w:t>
      </w:r>
    </w:p>
    <w:p w14:paraId="4B94D5A5" w14:textId="77777777" w:rsidR="00B74D8E" w:rsidRDefault="00B74D8E" w:rsidP="00B74D8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A7618" w14:paraId="73774535" w14:textId="77777777" w:rsidTr="75848C9E">
        <w:tc>
          <w:tcPr>
            <w:tcW w:w="9180" w:type="dxa"/>
          </w:tcPr>
          <w:p w14:paraId="3DEEC669" w14:textId="77777777" w:rsidR="00B74D8E" w:rsidRDefault="00B74D8E" w:rsidP="000F3319">
            <w:pPr>
              <w:rPr>
                <w:b/>
                <w:u w:val="single"/>
              </w:rPr>
            </w:pPr>
          </w:p>
          <w:p w14:paraId="2B7C4338" w14:textId="77777777" w:rsidR="006B1D2A" w:rsidRDefault="000606A7" w:rsidP="006B1D2A">
            <w:pPr>
              <w:pStyle w:val="Heading6"/>
              <w:rPr>
                <w:rFonts w:ascii="Arial" w:hAnsi="Arial"/>
              </w:rPr>
            </w:pPr>
            <w:r>
              <w:rPr>
                <w:rFonts w:ascii="Arial" w:hAnsi="Arial"/>
              </w:rPr>
              <w:t>B</w:t>
            </w:r>
            <w:r w:rsidR="006B1D2A">
              <w:rPr>
                <w:rFonts w:ascii="Arial" w:hAnsi="Arial"/>
              </w:rPr>
              <w:t>rief Summary</w:t>
            </w:r>
          </w:p>
          <w:p w14:paraId="3656B9AB" w14:textId="77777777" w:rsidR="00B74D8E" w:rsidRPr="00B74D8E" w:rsidRDefault="00B74D8E" w:rsidP="000F3319">
            <w:pPr>
              <w:rPr>
                <w:b/>
              </w:rPr>
            </w:pPr>
          </w:p>
          <w:p w14:paraId="1D3D9938" w14:textId="3C1BCE16" w:rsidR="00B74D8E" w:rsidRPr="00B74D8E" w:rsidRDefault="00B74D8E" w:rsidP="000F3319">
            <w:pPr>
              <w:jc w:val="both"/>
            </w:pPr>
            <w:r w:rsidRPr="00B74D8E">
              <w:t xml:space="preserve">This report provides an update to Cabinet on the county council's 2021/22 revenue and capital financial position, as at the end of </w:t>
            </w:r>
            <w:r w:rsidR="00B87F49">
              <w:t>November</w:t>
            </w:r>
            <w:r w:rsidRPr="00B74D8E">
              <w:t xml:space="preserve"> 2021 and an updated </w:t>
            </w:r>
            <w:r w:rsidR="00481007">
              <w:t>M</w:t>
            </w:r>
            <w:r w:rsidRPr="00B74D8E">
              <w:t>edium</w:t>
            </w:r>
            <w:r w:rsidR="000606A7">
              <w:t>-</w:t>
            </w:r>
            <w:r w:rsidR="00481007">
              <w:t>T</w:t>
            </w:r>
            <w:r w:rsidRPr="00B74D8E">
              <w:t xml:space="preserve">erm </w:t>
            </w:r>
            <w:r w:rsidR="00481007">
              <w:t>F</w:t>
            </w:r>
            <w:r w:rsidRPr="00B74D8E">
              <w:t xml:space="preserve">inancial </w:t>
            </w:r>
            <w:r w:rsidR="00481007">
              <w:t>S</w:t>
            </w:r>
            <w:r w:rsidRPr="00B74D8E">
              <w:t>trategy covering the period 2022/23 to 2024/25.</w:t>
            </w:r>
          </w:p>
          <w:p w14:paraId="45FB0818" w14:textId="77777777" w:rsidR="00B74D8E" w:rsidRPr="00B74D8E" w:rsidRDefault="00B74D8E" w:rsidP="000F3319">
            <w:pPr>
              <w:jc w:val="both"/>
            </w:pPr>
          </w:p>
          <w:p w14:paraId="597CBA74" w14:textId="2033DBC5" w:rsidR="00B74D8E" w:rsidRPr="00B74D8E" w:rsidRDefault="00C409BA" w:rsidP="000F3319">
            <w:pPr>
              <w:jc w:val="both"/>
            </w:pPr>
            <w:r>
              <w:t>T</w:t>
            </w:r>
            <w:r w:rsidR="00B74D8E" w:rsidRPr="00B74D8E">
              <w:t xml:space="preserve">he Chancellor of the Exchequer </w:t>
            </w:r>
            <w:r>
              <w:t>announced</w:t>
            </w:r>
            <w:r w:rsidR="00B74D8E" w:rsidRPr="00B74D8E">
              <w:t xml:space="preserve"> a 3-year spending review on 27</w:t>
            </w:r>
            <w:r w:rsidR="000606A7">
              <w:t xml:space="preserve"> </w:t>
            </w:r>
            <w:r w:rsidR="00B74D8E" w:rsidRPr="00B74D8E">
              <w:t>October 2021</w:t>
            </w:r>
            <w:r>
              <w:t xml:space="preserve">, this </w:t>
            </w:r>
            <w:r w:rsidR="00B74D8E" w:rsidRPr="00B74D8E">
              <w:rPr>
                <w:rFonts w:cs="Arial"/>
                <w:shd w:val="clear" w:color="auto" w:fill="FFFFFF"/>
              </w:rPr>
              <w:t>follow</w:t>
            </w:r>
            <w:r>
              <w:rPr>
                <w:rFonts w:cs="Arial"/>
                <w:shd w:val="clear" w:color="auto" w:fill="FFFFFF"/>
              </w:rPr>
              <w:t>ed on from</w:t>
            </w:r>
            <w:r w:rsidR="00B74D8E" w:rsidRPr="00B74D8E">
              <w:rPr>
                <w:rFonts w:cs="Arial"/>
                <w:shd w:val="clear" w:color="auto" w:fill="FFFFFF"/>
              </w:rPr>
              <w:t xml:space="preserve"> the prime minister’s announcement that the government would be introducing a new </w:t>
            </w:r>
            <w:r w:rsidR="0090254E">
              <w:rPr>
                <w:rFonts w:cs="Arial"/>
                <w:shd w:val="clear" w:color="auto" w:fill="FFFFFF"/>
              </w:rPr>
              <w:t xml:space="preserve">national insurance </w:t>
            </w:r>
            <w:r w:rsidR="00B74D8E" w:rsidRPr="00B74D8E">
              <w:rPr>
                <w:rFonts w:cs="Arial"/>
                <w:shd w:val="clear" w:color="auto" w:fill="FFFFFF"/>
              </w:rPr>
              <w:t xml:space="preserve">levy of 1.25% to fund </w:t>
            </w:r>
            <w:r w:rsidR="0090254E">
              <w:rPr>
                <w:rFonts w:cs="Arial"/>
                <w:shd w:val="clear" w:color="auto" w:fill="FFFFFF"/>
              </w:rPr>
              <w:t xml:space="preserve">health and </w:t>
            </w:r>
            <w:r w:rsidR="00B74D8E" w:rsidRPr="00B74D8E">
              <w:rPr>
                <w:rFonts w:cs="Arial"/>
                <w:shd w:val="clear" w:color="auto" w:fill="FFFFFF"/>
              </w:rPr>
              <w:t>social care</w:t>
            </w:r>
            <w:r w:rsidR="00776EAA">
              <w:rPr>
                <w:rFonts w:cs="Arial"/>
                <w:shd w:val="clear" w:color="auto" w:fill="FFFFFF"/>
              </w:rPr>
              <w:t xml:space="preserve"> reform with changes to adult social care charging to come into effect from October 2023</w:t>
            </w:r>
            <w:r w:rsidR="00B74D8E" w:rsidRPr="00B74D8E">
              <w:rPr>
                <w:rFonts w:cs="Arial"/>
              </w:rPr>
              <w:t xml:space="preserve">. </w:t>
            </w:r>
          </w:p>
          <w:p w14:paraId="049F31CB" w14:textId="77777777" w:rsidR="00B74D8E" w:rsidRPr="00B74D8E" w:rsidRDefault="00B74D8E" w:rsidP="000F3319">
            <w:pPr>
              <w:jc w:val="both"/>
            </w:pPr>
          </w:p>
          <w:p w14:paraId="03E235E4" w14:textId="759AEC78" w:rsidR="00B74D8E" w:rsidRPr="001A52E0" w:rsidRDefault="00C409BA" w:rsidP="000F3319">
            <w:pPr>
              <w:jc w:val="both"/>
            </w:pPr>
            <w:r>
              <w:t xml:space="preserve">The </w:t>
            </w:r>
            <w:r w:rsidR="0090254E">
              <w:t>draft</w:t>
            </w:r>
            <w:r>
              <w:t xml:space="preserve"> </w:t>
            </w:r>
            <w:r w:rsidR="0090254E">
              <w:t xml:space="preserve">local government </w:t>
            </w:r>
            <w:r>
              <w:t xml:space="preserve">settlement </w:t>
            </w:r>
            <w:r w:rsidR="00776EAA">
              <w:t xml:space="preserve">was a </w:t>
            </w:r>
            <w:r w:rsidR="00482E33">
              <w:t>one-year</w:t>
            </w:r>
            <w:r w:rsidR="00776EAA">
              <w:t xml:space="preserve"> settlement for </w:t>
            </w:r>
            <w:r w:rsidR="00422261">
              <w:t>2022</w:t>
            </w:r>
            <w:r w:rsidR="00DB5A52">
              <w:t>/</w:t>
            </w:r>
            <w:r w:rsidR="00422261">
              <w:t xml:space="preserve">23 only </w:t>
            </w:r>
            <w:r w:rsidR="00776EAA">
              <w:t xml:space="preserve">and draft allocations were </w:t>
            </w:r>
            <w:r w:rsidR="0090254E">
              <w:t xml:space="preserve">provided </w:t>
            </w:r>
            <w:r>
              <w:t xml:space="preserve">to local authorities on </w:t>
            </w:r>
            <w:r w:rsidR="6055F020">
              <w:t>16</w:t>
            </w:r>
            <w:r>
              <w:t xml:space="preserve"> December</w:t>
            </w:r>
            <w:r w:rsidR="0090254E">
              <w:t xml:space="preserve"> </w:t>
            </w:r>
            <w:r w:rsidR="00776EAA">
              <w:t>and have been f</w:t>
            </w:r>
            <w:r w:rsidR="0090254E">
              <w:t xml:space="preserve">actored into the updated funding position for 2022/23 </w:t>
            </w:r>
            <w:r w:rsidR="00776EAA">
              <w:t xml:space="preserve">with the </w:t>
            </w:r>
            <w:r w:rsidR="0090254E">
              <w:t xml:space="preserve">final settlement </w:t>
            </w:r>
            <w:r w:rsidR="00776EAA">
              <w:t>to be confirmed</w:t>
            </w:r>
            <w:r w:rsidR="0090254E">
              <w:t xml:space="preserve"> in early February.</w:t>
            </w:r>
            <w:r>
              <w:t xml:space="preserve"> </w:t>
            </w:r>
            <w:r w:rsidR="0090254E">
              <w:t xml:space="preserve"> A</w:t>
            </w:r>
            <w:r>
              <w:t xml:space="preserve">ssumptions </w:t>
            </w:r>
            <w:r w:rsidR="0090254E">
              <w:t xml:space="preserve">have been made regarding funding in future years </w:t>
            </w:r>
            <w:r>
              <w:t xml:space="preserve">based on </w:t>
            </w:r>
            <w:r w:rsidR="00B74D8E">
              <w:t>advice from national bodies, benchmarking, and discussion with peers</w:t>
            </w:r>
            <w:r w:rsidR="0090254E">
              <w:t xml:space="preserve"> in the absence of a longer-term settlement beyond 2022/23 and the likelihood of formula and business rate funding changes </w:t>
            </w:r>
            <w:r w:rsidR="00776EAA">
              <w:t>being implemented</w:t>
            </w:r>
            <w:r w:rsidR="0090254E">
              <w:t xml:space="preserve"> from 202</w:t>
            </w:r>
            <w:r w:rsidR="00776EAA">
              <w:t>3</w:t>
            </w:r>
            <w:r w:rsidR="0090254E">
              <w:t>/2</w:t>
            </w:r>
            <w:r w:rsidR="00776EAA">
              <w:t>4</w:t>
            </w:r>
            <w:r w:rsidR="00B74D8E">
              <w:t xml:space="preserve">. </w:t>
            </w:r>
          </w:p>
          <w:p w14:paraId="53128261" w14:textId="77777777" w:rsidR="006A09A2" w:rsidRPr="00B74D8E" w:rsidRDefault="006A09A2" w:rsidP="000F3319">
            <w:pPr>
              <w:jc w:val="both"/>
              <w:rPr>
                <w:rFonts w:cs="Arial"/>
                <w:color w:val="0B0C0C"/>
                <w:shd w:val="clear" w:color="auto" w:fill="FFFFFF"/>
              </w:rPr>
            </w:pPr>
          </w:p>
          <w:p w14:paraId="2EBD981D" w14:textId="77777777" w:rsidR="00B74D8E" w:rsidRPr="00B74D8E" w:rsidRDefault="00B74D8E" w:rsidP="000F3319">
            <w:pPr>
              <w:jc w:val="both"/>
            </w:pPr>
            <w:r w:rsidRPr="00B74D8E">
              <w:t xml:space="preserve">Whilst the quarter </w:t>
            </w:r>
            <w:r w:rsidR="00B87F49">
              <w:t>3</w:t>
            </w:r>
            <w:r w:rsidRPr="00B74D8E">
              <w:t xml:space="preserve"> forecast presents an underspend of £</w:t>
            </w:r>
            <w:r w:rsidR="001A52E0">
              <w:t>23.</w:t>
            </w:r>
            <w:r w:rsidR="00422261">
              <w:t>45</w:t>
            </w:r>
            <w:r w:rsidRPr="00B74D8E">
              <w:t xml:space="preserve">m for the current financial year, there remains a level of uncertainty about the longer-term impacts of the ongoing pandemic. </w:t>
            </w:r>
            <w:r w:rsidR="00D3275D">
              <w:t>The extent and profiling of a</w:t>
            </w:r>
            <w:r w:rsidRPr="00B74D8E">
              <w:t xml:space="preserve">ny latent impact on price or demand for our services also remains unclear. </w:t>
            </w:r>
          </w:p>
          <w:p w14:paraId="62486C05" w14:textId="77777777" w:rsidR="00B74D8E" w:rsidRPr="00B74D8E" w:rsidRDefault="00B74D8E" w:rsidP="000F3319">
            <w:pPr>
              <w:jc w:val="both"/>
            </w:pPr>
          </w:p>
          <w:p w14:paraId="74C69992" w14:textId="6ED2C6AF" w:rsidR="001A52E0" w:rsidRDefault="001A52E0" w:rsidP="00EF2B15">
            <w:pPr>
              <w:tabs>
                <w:tab w:val="left" w:pos="567"/>
                <w:tab w:val="left" w:pos="1134"/>
              </w:tabs>
              <w:jc w:val="both"/>
            </w:pPr>
            <w:r>
              <w:t>With the initial settlement information now received we have updated the projections based on this information, which may still be subject to changes</w:t>
            </w:r>
            <w:r w:rsidR="0090254E">
              <w:t xml:space="preserve"> in the final settlement</w:t>
            </w:r>
            <w:r>
              <w:t xml:space="preserve">. Services have also been through a process of identifying budget pressures and </w:t>
            </w:r>
            <w:r w:rsidR="00776EAA">
              <w:t xml:space="preserve">developing business cases for investment in </w:t>
            </w:r>
            <w:r w:rsidR="0090254E">
              <w:t xml:space="preserve">activities designed to both improve service delivery and ultimately deliver cost benefits.  </w:t>
            </w:r>
            <w:r>
              <w:t xml:space="preserve"> </w:t>
            </w:r>
          </w:p>
          <w:p w14:paraId="4101652C" w14:textId="77777777" w:rsidR="001A52E0" w:rsidRDefault="001A52E0" w:rsidP="00EF2B15">
            <w:pPr>
              <w:tabs>
                <w:tab w:val="left" w:pos="567"/>
                <w:tab w:val="left" w:pos="1134"/>
              </w:tabs>
              <w:jc w:val="both"/>
            </w:pPr>
          </w:p>
          <w:p w14:paraId="302FEFAC" w14:textId="09FAF130" w:rsidR="001A52E0" w:rsidRDefault="00DD6EF5" w:rsidP="00EF2B15">
            <w:pPr>
              <w:tabs>
                <w:tab w:val="left" w:pos="567"/>
                <w:tab w:val="left" w:pos="1134"/>
              </w:tabs>
              <w:jc w:val="both"/>
            </w:pPr>
            <w:r>
              <w:t xml:space="preserve">The </w:t>
            </w:r>
            <w:r w:rsidR="001A52E0">
              <w:t>revised position</w:t>
            </w:r>
            <w:r>
              <w:t xml:space="preserve"> also reflects some further delays to the delivery of previously agreed savings resulting from services responding to the pandemic, although these are mitigated through the identification of new savings and it is anticipated that delayed savings will be delivered during 2023/24.  </w:t>
            </w:r>
          </w:p>
          <w:p w14:paraId="4B99056E" w14:textId="77777777" w:rsidR="001A52E0" w:rsidRDefault="001A52E0" w:rsidP="00EF2B15">
            <w:pPr>
              <w:tabs>
                <w:tab w:val="left" w:pos="567"/>
                <w:tab w:val="left" w:pos="1134"/>
              </w:tabs>
              <w:jc w:val="both"/>
            </w:pPr>
          </w:p>
          <w:p w14:paraId="3CF3A76C" w14:textId="1FBCB6C1" w:rsidR="00B74D8E" w:rsidRPr="00481007" w:rsidRDefault="00B74D8E" w:rsidP="00EF2B15">
            <w:pPr>
              <w:tabs>
                <w:tab w:val="left" w:pos="567"/>
                <w:tab w:val="left" w:pos="1134"/>
              </w:tabs>
              <w:jc w:val="both"/>
            </w:pPr>
            <w:r>
              <w:t xml:space="preserve">The current </w:t>
            </w:r>
            <w:r w:rsidR="00481007">
              <w:t>M</w:t>
            </w:r>
            <w:r w:rsidR="000606A7">
              <w:t>edium-</w:t>
            </w:r>
            <w:r w:rsidR="00481007">
              <w:t>T</w:t>
            </w:r>
            <w:r w:rsidR="000606A7">
              <w:t xml:space="preserve">erm </w:t>
            </w:r>
            <w:r w:rsidR="00481007">
              <w:t>F</w:t>
            </w:r>
            <w:r w:rsidR="000606A7">
              <w:t xml:space="preserve">inancial </w:t>
            </w:r>
            <w:r w:rsidR="00481007">
              <w:t>S</w:t>
            </w:r>
            <w:r w:rsidR="000606A7">
              <w:t>trategy</w:t>
            </w:r>
            <w:r>
              <w:t xml:space="preserve"> indicates an aggregated funding gap of £</w:t>
            </w:r>
            <w:r w:rsidR="1E19FF53">
              <w:t>42.830</w:t>
            </w:r>
            <w:r>
              <w:t xml:space="preserve">m by 2024/25, </w:t>
            </w:r>
            <w:r w:rsidRPr="75848C9E">
              <w:rPr>
                <w:rFonts w:cs="Arial"/>
              </w:rPr>
              <w:t xml:space="preserve">a </w:t>
            </w:r>
            <w:r w:rsidRPr="75848C9E">
              <w:rPr>
                <w:rFonts w:eastAsia="Arial" w:cs="Arial"/>
              </w:rPr>
              <w:t>£</w:t>
            </w:r>
            <w:r w:rsidR="1E9AC6C7" w:rsidRPr="201BC6B5">
              <w:rPr>
                <w:rFonts w:eastAsia="Arial" w:cs="Arial"/>
              </w:rPr>
              <w:t>15.730</w:t>
            </w:r>
            <w:r w:rsidRPr="201BC6B5">
              <w:rPr>
                <w:rFonts w:eastAsia="Arial" w:cs="Arial"/>
              </w:rPr>
              <w:t>m</w:t>
            </w:r>
            <w:r w:rsidRPr="75848C9E">
              <w:rPr>
                <w:rFonts w:eastAsia="Arial" w:cs="Arial"/>
              </w:rPr>
              <w:t xml:space="preserve"> decrease </w:t>
            </w:r>
            <w:r w:rsidRPr="75848C9E">
              <w:rPr>
                <w:rFonts w:cs="Arial"/>
              </w:rPr>
              <w:t>from the previously reported position at Quarter</w:t>
            </w:r>
            <w:r w:rsidR="59456E26" w:rsidRPr="75848C9E">
              <w:rPr>
                <w:rFonts w:cs="Arial"/>
              </w:rPr>
              <w:t xml:space="preserve"> two</w:t>
            </w:r>
            <w:r w:rsidRPr="75848C9E">
              <w:rPr>
                <w:rFonts w:cs="Arial"/>
              </w:rPr>
              <w:t xml:space="preserve"> of this financial year. The forecast funding gap for 2022/23 is now £</w:t>
            </w:r>
            <w:r w:rsidR="541F1A47" w:rsidRPr="201BC6B5">
              <w:rPr>
                <w:rFonts w:cs="Arial"/>
              </w:rPr>
              <w:t>21.690</w:t>
            </w:r>
            <w:r w:rsidRPr="201BC6B5">
              <w:rPr>
                <w:rFonts w:cs="Arial"/>
              </w:rPr>
              <w:t>m</w:t>
            </w:r>
            <w:r w:rsidRPr="75848C9E">
              <w:rPr>
                <w:rFonts w:cs="Arial"/>
              </w:rPr>
              <w:t xml:space="preserve"> which is an improved position of £</w:t>
            </w:r>
            <w:r w:rsidR="2D79BF26" w:rsidRPr="201BC6B5">
              <w:rPr>
                <w:rFonts w:cs="Arial"/>
              </w:rPr>
              <w:t>8.780</w:t>
            </w:r>
            <w:r w:rsidRPr="201BC6B5">
              <w:rPr>
                <w:rFonts w:cs="Arial"/>
              </w:rPr>
              <w:t>m</w:t>
            </w:r>
            <w:r w:rsidRPr="75848C9E">
              <w:rPr>
                <w:rFonts w:cs="Arial"/>
              </w:rPr>
              <w:t xml:space="preserve"> from </w:t>
            </w:r>
            <w:r w:rsidR="00140D73" w:rsidRPr="75848C9E">
              <w:rPr>
                <w:rFonts w:cs="Arial"/>
              </w:rPr>
              <w:t>Quarter 2</w:t>
            </w:r>
            <w:r w:rsidRPr="75848C9E">
              <w:rPr>
                <w:rFonts w:cs="Arial"/>
              </w:rPr>
              <w:t xml:space="preserve"> resulting from </w:t>
            </w:r>
            <w:r w:rsidR="407539F8" w:rsidRPr="75848C9E">
              <w:rPr>
                <w:rFonts w:cs="Arial"/>
              </w:rPr>
              <w:t xml:space="preserve">the initial </w:t>
            </w:r>
            <w:r w:rsidRPr="75848C9E">
              <w:rPr>
                <w:rFonts w:cs="Arial"/>
              </w:rPr>
              <w:t>analysis o</w:t>
            </w:r>
            <w:r w:rsidR="407539F8" w:rsidRPr="75848C9E">
              <w:rPr>
                <w:rFonts w:cs="Arial"/>
              </w:rPr>
              <w:t>f the provisional settlement</w:t>
            </w:r>
            <w:r w:rsidR="00015609" w:rsidRPr="75848C9E">
              <w:rPr>
                <w:rFonts w:cs="Arial"/>
              </w:rPr>
              <w:t xml:space="preserve"> offset </w:t>
            </w:r>
            <w:r w:rsidR="00DD6EF5">
              <w:rPr>
                <w:rFonts w:cs="Arial"/>
              </w:rPr>
              <w:t xml:space="preserve">primarily </w:t>
            </w:r>
            <w:r w:rsidR="00015609" w:rsidRPr="75848C9E">
              <w:rPr>
                <w:rFonts w:cs="Arial"/>
              </w:rPr>
              <w:t>by</w:t>
            </w:r>
            <w:r w:rsidR="407539F8" w:rsidRPr="75848C9E">
              <w:rPr>
                <w:rFonts w:cs="Arial"/>
              </w:rPr>
              <w:t xml:space="preserve"> increasing</w:t>
            </w:r>
            <w:r w:rsidRPr="75848C9E">
              <w:rPr>
                <w:rFonts w:cs="Arial"/>
              </w:rPr>
              <w:t xml:space="preserve"> demand </w:t>
            </w:r>
            <w:r w:rsidR="00DD6EF5">
              <w:rPr>
                <w:rFonts w:cs="Arial"/>
              </w:rPr>
              <w:t xml:space="preserve">and inflationary pressures </w:t>
            </w:r>
            <w:r w:rsidR="407539F8" w:rsidRPr="75848C9E">
              <w:rPr>
                <w:rFonts w:cs="Arial"/>
              </w:rPr>
              <w:t xml:space="preserve">for both Adults and Childrens </w:t>
            </w:r>
            <w:r w:rsidR="00DD6EF5">
              <w:rPr>
                <w:rFonts w:cs="Arial"/>
              </w:rPr>
              <w:t xml:space="preserve">services.  </w:t>
            </w:r>
          </w:p>
          <w:p w14:paraId="1299C43A" w14:textId="77777777" w:rsidR="00B74D8E" w:rsidRPr="00B74D8E" w:rsidRDefault="00B74D8E" w:rsidP="000F3319">
            <w:pPr>
              <w:jc w:val="both"/>
            </w:pPr>
          </w:p>
          <w:p w14:paraId="77E4D935" w14:textId="77777777" w:rsidR="00B74D8E" w:rsidRPr="00B74D8E" w:rsidRDefault="00B74D8E" w:rsidP="000F3319">
            <w:pPr>
              <w:jc w:val="both"/>
            </w:pPr>
            <w:r w:rsidRPr="00B74D8E">
              <w:t>In summary:</w:t>
            </w:r>
          </w:p>
          <w:p w14:paraId="4DDBEF00" w14:textId="77777777" w:rsidR="00B74D8E" w:rsidRPr="00B74D8E" w:rsidRDefault="00B74D8E" w:rsidP="000F3319">
            <w:pPr>
              <w:jc w:val="both"/>
            </w:pPr>
          </w:p>
          <w:p w14:paraId="73B04921" w14:textId="0C9BA406" w:rsidR="00B74D8E" w:rsidRPr="00B74D8E" w:rsidRDefault="00DD6EF5" w:rsidP="00BE3266">
            <w:pPr>
              <w:numPr>
                <w:ilvl w:val="0"/>
                <w:numId w:val="4"/>
              </w:numPr>
              <w:jc w:val="both"/>
            </w:pPr>
            <w:r>
              <w:t xml:space="preserve">  </w:t>
            </w:r>
            <w:r w:rsidR="00B74D8E" w:rsidRPr="00B74D8E">
              <w:t>The 2021/22 revenue forecast outturn is £8</w:t>
            </w:r>
            <w:r w:rsidR="00B87F49">
              <w:t>81</w:t>
            </w:r>
            <w:r w:rsidR="00B74D8E" w:rsidRPr="00B74D8E">
              <w:t>.</w:t>
            </w:r>
            <w:r w:rsidR="00B87F49">
              <w:t>413</w:t>
            </w:r>
            <w:r w:rsidR="00B74D8E" w:rsidRPr="00B74D8E">
              <w:t>m, representing a projected underspend of £</w:t>
            </w:r>
            <w:r w:rsidR="00B3460E" w:rsidRPr="00B3460E">
              <w:t>23.</w:t>
            </w:r>
            <w:r w:rsidR="00B74D8E" w:rsidRPr="00B3460E">
              <w:t>4</w:t>
            </w:r>
            <w:r w:rsidR="00B3460E" w:rsidRPr="00B3460E">
              <w:t>6</w:t>
            </w:r>
            <w:r w:rsidR="00B74D8E" w:rsidRPr="00B3460E">
              <w:t>m (</w:t>
            </w:r>
            <w:r w:rsidR="00B3460E">
              <w:t>2</w:t>
            </w:r>
            <w:r w:rsidR="00B74D8E" w:rsidRPr="00B3460E">
              <w:t>.</w:t>
            </w:r>
            <w:r w:rsidR="00B3460E">
              <w:t>66</w:t>
            </w:r>
            <w:r w:rsidR="00B74D8E" w:rsidRPr="00B3460E">
              <w:t>%)</w:t>
            </w:r>
            <w:r w:rsidR="00B74D8E" w:rsidRPr="00B74D8E">
              <w:t xml:space="preserve"> of the agreed budget. </w:t>
            </w:r>
          </w:p>
          <w:p w14:paraId="3461D779" w14:textId="77777777" w:rsidR="00B74D8E" w:rsidRPr="00B74D8E" w:rsidRDefault="00B74D8E" w:rsidP="000F3319">
            <w:pPr>
              <w:jc w:val="both"/>
            </w:pPr>
          </w:p>
          <w:p w14:paraId="6CE0C6BE" w14:textId="662AB2B3" w:rsidR="00B74D8E" w:rsidRPr="00B74D8E" w:rsidRDefault="00DD6EF5" w:rsidP="00BE3266">
            <w:pPr>
              <w:numPr>
                <w:ilvl w:val="0"/>
                <w:numId w:val="4"/>
              </w:numPr>
              <w:jc w:val="both"/>
            </w:pPr>
            <w:r>
              <w:t xml:space="preserve"> </w:t>
            </w:r>
            <w:r w:rsidR="00B74D8E" w:rsidRPr="00B74D8E">
              <w:t xml:space="preserve">The </w:t>
            </w:r>
            <w:r w:rsidR="00481007">
              <w:t>M</w:t>
            </w:r>
            <w:r w:rsidR="000606A7" w:rsidRPr="00B74D8E">
              <w:t>edium</w:t>
            </w:r>
            <w:r w:rsidR="000606A7">
              <w:t>-</w:t>
            </w:r>
            <w:r w:rsidR="00481007">
              <w:t>T</w:t>
            </w:r>
            <w:r w:rsidR="000606A7" w:rsidRPr="00B74D8E">
              <w:t xml:space="preserve">erm </w:t>
            </w:r>
            <w:r w:rsidR="00481007">
              <w:t>F</w:t>
            </w:r>
            <w:r w:rsidR="000606A7" w:rsidRPr="00B74D8E">
              <w:t xml:space="preserve">inancial </w:t>
            </w:r>
            <w:r w:rsidR="00481007">
              <w:t>S</w:t>
            </w:r>
            <w:r w:rsidR="000606A7" w:rsidRPr="00B74D8E">
              <w:t>trategy</w:t>
            </w:r>
            <w:r w:rsidR="000606A7">
              <w:t xml:space="preserve"> </w:t>
            </w:r>
            <w:r w:rsidR="00B74D8E" w:rsidRPr="00B74D8E">
              <w:t>has been updated for our current expectations of levels of funding, savings delivery, demand, and inflation.</w:t>
            </w:r>
          </w:p>
          <w:p w14:paraId="3CF2D8B6" w14:textId="77777777" w:rsidR="00B74D8E" w:rsidRPr="00B74D8E" w:rsidRDefault="00B74D8E" w:rsidP="000F3319">
            <w:pPr>
              <w:jc w:val="both"/>
            </w:pPr>
          </w:p>
          <w:p w14:paraId="59A58F5F" w14:textId="3DF7A5DA" w:rsidR="00B74D8E" w:rsidRDefault="00DD6EF5" w:rsidP="00BE3266">
            <w:pPr>
              <w:numPr>
                <w:ilvl w:val="0"/>
                <w:numId w:val="4"/>
              </w:numPr>
              <w:jc w:val="both"/>
            </w:pPr>
            <w:r>
              <w:t xml:space="preserve"> </w:t>
            </w:r>
            <w:r w:rsidR="00B74D8E" w:rsidRPr="00B74D8E">
              <w:t xml:space="preserve">At Full Council in February 2021 the </w:t>
            </w:r>
            <w:r w:rsidR="00481007">
              <w:t>M</w:t>
            </w:r>
            <w:r w:rsidR="000606A7" w:rsidRPr="00B74D8E">
              <w:t>edium</w:t>
            </w:r>
            <w:r w:rsidR="000606A7">
              <w:t>-</w:t>
            </w:r>
            <w:r w:rsidR="00481007">
              <w:t>T</w:t>
            </w:r>
            <w:r w:rsidR="000606A7" w:rsidRPr="00B74D8E">
              <w:t xml:space="preserve">erm </w:t>
            </w:r>
            <w:r w:rsidR="00481007">
              <w:t>F</w:t>
            </w:r>
            <w:r w:rsidR="000606A7" w:rsidRPr="00B74D8E">
              <w:t xml:space="preserve">inancial </w:t>
            </w:r>
            <w:r w:rsidR="00481007">
              <w:t>S</w:t>
            </w:r>
            <w:r w:rsidR="000606A7" w:rsidRPr="00B74D8E">
              <w:t>trategy</w:t>
            </w:r>
            <w:r w:rsidR="00B74D8E" w:rsidRPr="00B74D8E">
              <w:t xml:space="preserve"> showed a deficit of </w:t>
            </w:r>
            <w:r>
              <w:t xml:space="preserve">£30.470m in 2022/23 and </w:t>
            </w:r>
            <w:r w:rsidR="00B74D8E" w:rsidRPr="00B74D8E">
              <w:t xml:space="preserve">£50.048m in 2023/24. The forecast now indicates a financial deficit of </w:t>
            </w:r>
            <w:r>
              <w:t xml:space="preserve">£21.690m in 2022/23 and </w:t>
            </w:r>
            <w:r w:rsidR="00B74D8E" w:rsidRPr="00015609">
              <w:t>£</w:t>
            </w:r>
            <w:r w:rsidR="485A51C3">
              <w:t>42.830</w:t>
            </w:r>
            <w:r w:rsidR="00B74D8E">
              <w:t>m</w:t>
            </w:r>
            <w:r w:rsidR="00B74D8E" w:rsidRPr="00015609">
              <w:t xml:space="preserve"> by 2024/25.</w:t>
            </w:r>
          </w:p>
          <w:p w14:paraId="0FB78278" w14:textId="77777777" w:rsidR="00015609" w:rsidRPr="00B74D8E" w:rsidRDefault="00015609" w:rsidP="00015609">
            <w:pPr>
              <w:jc w:val="both"/>
            </w:pPr>
          </w:p>
          <w:p w14:paraId="1943A8D2" w14:textId="5889FC7E" w:rsidR="00B74D8E" w:rsidRPr="00B74D8E" w:rsidRDefault="00B74D8E" w:rsidP="00BE3266">
            <w:pPr>
              <w:numPr>
                <w:ilvl w:val="0"/>
                <w:numId w:val="4"/>
              </w:numPr>
              <w:jc w:val="both"/>
            </w:pPr>
            <w:r>
              <w:t>The council is forecast to hold a General Reserve against unforeseen issues of £23.4</w:t>
            </w:r>
            <w:r w:rsidR="00015609">
              <w:t>4</w:t>
            </w:r>
            <w:r>
              <w:t>m representing circa 3% of net budget, which is unchanged from the previously reported position</w:t>
            </w:r>
            <w:r w:rsidR="26C4A65F">
              <w:t xml:space="preserve">. </w:t>
            </w:r>
          </w:p>
          <w:p w14:paraId="1FC39945" w14:textId="77777777" w:rsidR="00B74D8E" w:rsidRPr="00B74D8E" w:rsidRDefault="00B74D8E" w:rsidP="000F3319">
            <w:pPr>
              <w:jc w:val="both"/>
            </w:pPr>
          </w:p>
          <w:p w14:paraId="3C80F78B" w14:textId="7604E12C" w:rsidR="00B74D8E" w:rsidRPr="00B74D8E" w:rsidRDefault="00B74D8E" w:rsidP="00BE3266">
            <w:pPr>
              <w:numPr>
                <w:ilvl w:val="0"/>
                <w:numId w:val="4"/>
              </w:numPr>
              <w:jc w:val="both"/>
            </w:pPr>
            <w:r>
              <w:t>The council is forecast to hold £</w:t>
            </w:r>
            <w:r w:rsidR="3BB90164">
              <w:t>204</w:t>
            </w:r>
            <w:r w:rsidR="43A866FF">
              <w:t>.450</w:t>
            </w:r>
            <w:r>
              <w:t>m of uncommitted transitional reserve at the end of the financial year</w:t>
            </w:r>
            <w:r w:rsidR="00DB5A52">
              <w:t>,</w:t>
            </w:r>
            <w:r w:rsidR="000F6E9F">
              <w:t xml:space="preserve"> which includes the forecast underspend for 2021/22</w:t>
            </w:r>
            <w:r w:rsidR="00DB5A52">
              <w:t>.</w:t>
            </w:r>
            <w:r>
              <w:t xml:space="preserve"> This is sufficient to meet the forecast gap for all of the years covered by the </w:t>
            </w:r>
            <w:r w:rsidR="00481007">
              <w:t>M</w:t>
            </w:r>
            <w:r w:rsidR="000606A7">
              <w:t>edium-</w:t>
            </w:r>
            <w:r w:rsidR="00481007">
              <w:t>T</w:t>
            </w:r>
            <w:r w:rsidR="000606A7">
              <w:t xml:space="preserve">erm </w:t>
            </w:r>
            <w:r w:rsidR="00481007">
              <w:t>F</w:t>
            </w:r>
            <w:r w:rsidR="000606A7">
              <w:t xml:space="preserve">inancial </w:t>
            </w:r>
            <w:r w:rsidR="00481007">
              <w:t>S</w:t>
            </w:r>
            <w:r w:rsidR="000606A7">
              <w:t>trategy</w:t>
            </w:r>
            <w:r>
              <w:t>, 2022/23 to 2024/25.</w:t>
            </w:r>
          </w:p>
          <w:p w14:paraId="0562CB0E" w14:textId="77777777" w:rsidR="00B74D8E" w:rsidRPr="00B74D8E" w:rsidRDefault="00B74D8E" w:rsidP="000F3319">
            <w:pPr>
              <w:jc w:val="both"/>
            </w:pPr>
          </w:p>
          <w:p w14:paraId="08BF9F4B" w14:textId="77777777" w:rsidR="00B74D8E" w:rsidRPr="00B74D8E" w:rsidRDefault="00B74D8E" w:rsidP="000F3319">
            <w:pPr>
              <w:jc w:val="both"/>
              <w:rPr>
                <w:b/>
              </w:rPr>
            </w:pPr>
            <w:r w:rsidRPr="00B74D8E">
              <w:rPr>
                <w:b/>
              </w:rPr>
              <w:t>Recommendation</w:t>
            </w:r>
          </w:p>
          <w:p w14:paraId="34CE0A41" w14:textId="77777777" w:rsidR="00B74D8E" w:rsidRPr="00B74D8E" w:rsidRDefault="00B74D8E" w:rsidP="000F3319">
            <w:pPr>
              <w:jc w:val="both"/>
            </w:pPr>
          </w:p>
          <w:p w14:paraId="1DE1C36A" w14:textId="77777777" w:rsidR="00B74D8E" w:rsidRPr="00B74D8E" w:rsidRDefault="00B74D8E" w:rsidP="000F3319">
            <w:pPr>
              <w:jc w:val="both"/>
            </w:pPr>
            <w:r w:rsidRPr="00B74D8E">
              <w:t xml:space="preserve">Cabinet is asked to: </w:t>
            </w:r>
          </w:p>
          <w:p w14:paraId="62EBF3C5" w14:textId="77777777" w:rsidR="00B74D8E" w:rsidRPr="00B74D8E" w:rsidRDefault="00B74D8E" w:rsidP="000F3319">
            <w:pPr>
              <w:jc w:val="both"/>
            </w:pPr>
          </w:p>
          <w:p w14:paraId="7D8CB7D9" w14:textId="20817A8E" w:rsidR="00B74D8E" w:rsidRPr="00B74D8E" w:rsidRDefault="00B74D8E" w:rsidP="00DB5A52">
            <w:pPr>
              <w:numPr>
                <w:ilvl w:val="0"/>
                <w:numId w:val="8"/>
              </w:numPr>
              <w:jc w:val="both"/>
            </w:pPr>
            <w:r w:rsidRPr="00B74D8E">
              <w:rPr>
                <w:b/>
                <w:bCs/>
              </w:rPr>
              <w:t>Note</w:t>
            </w:r>
            <w:r w:rsidRPr="00B74D8E">
              <w:t xml:space="preserve"> the current forecast underspend of £</w:t>
            </w:r>
            <w:r w:rsidR="00B3460E" w:rsidRPr="00B3460E">
              <w:t>23.46</w:t>
            </w:r>
            <w:r w:rsidRPr="00B3460E">
              <w:t>m</w:t>
            </w:r>
            <w:r w:rsidRPr="00B74D8E">
              <w:t xml:space="preserve"> on the revenue budget in </w:t>
            </w:r>
            <w:r w:rsidR="006136C0">
              <w:t xml:space="preserve">  </w:t>
            </w:r>
            <w:r w:rsidRPr="00B74D8E">
              <w:t>2021/22.</w:t>
            </w:r>
          </w:p>
          <w:p w14:paraId="6D98A12B" w14:textId="77777777" w:rsidR="00B74D8E" w:rsidRPr="00B74D8E" w:rsidRDefault="00B74D8E" w:rsidP="000F3319">
            <w:pPr>
              <w:jc w:val="both"/>
            </w:pPr>
          </w:p>
          <w:p w14:paraId="3179B370" w14:textId="22474AAB" w:rsidR="00522F5A" w:rsidRDefault="00B74D8E" w:rsidP="00DB5A52">
            <w:pPr>
              <w:numPr>
                <w:ilvl w:val="0"/>
                <w:numId w:val="8"/>
              </w:numPr>
              <w:jc w:val="both"/>
            </w:pPr>
            <w:r w:rsidRPr="4539293F">
              <w:rPr>
                <w:b/>
                <w:bCs/>
              </w:rPr>
              <w:t>Note</w:t>
            </w:r>
            <w:r>
              <w:t xml:space="preserve"> the revised funding gap of </w:t>
            </w:r>
            <w:r w:rsidR="00DD6EF5">
              <w:t xml:space="preserve">£21.690m </w:t>
            </w:r>
            <w:r w:rsidR="006136C0">
              <w:t xml:space="preserve">in 2022/23 </w:t>
            </w:r>
            <w:r w:rsidR="00522F5A">
              <w:t xml:space="preserve">and </w:t>
            </w:r>
            <w:r w:rsidR="00522F5A" w:rsidRPr="0020329F">
              <w:rPr>
                <w:b/>
              </w:rPr>
              <w:t>Agree</w:t>
            </w:r>
            <w:r w:rsidR="00522F5A" w:rsidRPr="0020329F">
              <w:t xml:space="preserve"> to make recommendations to Full Council on 1</w:t>
            </w:r>
            <w:r w:rsidR="00522F5A">
              <w:t>7</w:t>
            </w:r>
            <w:r w:rsidR="00522F5A" w:rsidRPr="0020329F">
              <w:t xml:space="preserve"> February 202</w:t>
            </w:r>
            <w:r w:rsidR="00522F5A">
              <w:t>2</w:t>
            </w:r>
            <w:r w:rsidR="00522F5A" w:rsidRPr="0020329F">
              <w:t xml:space="preserve"> </w:t>
            </w:r>
            <w:r w:rsidR="00522F5A">
              <w:t>for this t</w:t>
            </w:r>
            <w:r w:rsidR="00DD6EF5">
              <w:t>o be met from the uncommitted transitional reserve</w:t>
            </w:r>
            <w:r w:rsidR="00DB5A52">
              <w:t>.</w:t>
            </w:r>
          </w:p>
          <w:p w14:paraId="24E596A6" w14:textId="77777777" w:rsidR="00522F5A" w:rsidRDefault="00522F5A" w:rsidP="00522F5A">
            <w:pPr>
              <w:pStyle w:val="ListParagraph"/>
            </w:pPr>
          </w:p>
          <w:p w14:paraId="7A3DACB6" w14:textId="240834A0" w:rsidR="00B74D8E" w:rsidRPr="00B74D8E" w:rsidRDefault="00522F5A" w:rsidP="00481007">
            <w:pPr>
              <w:numPr>
                <w:ilvl w:val="0"/>
                <w:numId w:val="8"/>
              </w:numPr>
              <w:jc w:val="both"/>
            </w:pPr>
            <w:r w:rsidRPr="00522F5A">
              <w:rPr>
                <w:b/>
                <w:bCs/>
              </w:rPr>
              <w:t xml:space="preserve">Note </w:t>
            </w:r>
            <w:r>
              <w:t xml:space="preserve">the revised forecast funding gap of </w:t>
            </w:r>
            <w:r w:rsidR="00B74D8E">
              <w:t>£</w:t>
            </w:r>
            <w:r w:rsidR="3B8CCEE4">
              <w:t>42.830</w:t>
            </w:r>
            <w:r w:rsidR="00B74D8E">
              <w:t xml:space="preserve">m </w:t>
            </w:r>
            <w:r w:rsidR="006136C0">
              <w:t xml:space="preserve">by 2024/25 as </w:t>
            </w:r>
            <w:r w:rsidR="00B74D8E">
              <w:t>set out in the revised financial outlook forecast for the council.</w:t>
            </w:r>
          </w:p>
          <w:p w14:paraId="2946DB82" w14:textId="77777777" w:rsidR="00B74D8E" w:rsidRPr="00B74D8E" w:rsidRDefault="00B74D8E" w:rsidP="00481007">
            <w:pPr>
              <w:pStyle w:val="ListParagraph"/>
              <w:jc w:val="both"/>
            </w:pPr>
          </w:p>
          <w:p w14:paraId="48557EF0" w14:textId="46F85943" w:rsidR="00B74D8E" w:rsidRPr="00B74D8E" w:rsidRDefault="00B74D8E" w:rsidP="00481007">
            <w:pPr>
              <w:numPr>
                <w:ilvl w:val="0"/>
                <w:numId w:val="8"/>
              </w:numPr>
              <w:jc w:val="both"/>
            </w:pPr>
            <w:r w:rsidRPr="00B74D8E">
              <w:rPr>
                <w:b/>
              </w:rPr>
              <w:t>Approve</w:t>
            </w:r>
            <w:r w:rsidRPr="00B74D8E">
              <w:t xml:space="preserve"> the budget adjustments for 2021/22, and following years' changes, included in the revised </w:t>
            </w:r>
            <w:r w:rsidR="00481007">
              <w:t>M</w:t>
            </w:r>
            <w:r w:rsidR="000606A7" w:rsidRPr="00B74D8E">
              <w:t>edium</w:t>
            </w:r>
            <w:r w:rsidR="000606A7">
              <w:t>-</w:t>
            </w:r>
            <w:r w:rsidR="00481007">
              <w:t>T</w:t>
            </w:r>
            <w:r w:rsidR="000606A7" w:rsidRPr="00B74D8E">
              <w:t xml:space="preserve">erm </w:t>
            </w:r>
            <w:r w:rsidR="00481007">
              <w:t>F</w:t>
            </w:r>
            <w:r w:rsidR="000606A7" w:rsidRPr="00B74D8E">
              <w:t xml:space="preserve">inancial </w:t>
            </w:r>
            <w:r w:rsidR="00481007">
              <w:t>S</w:t>
            </w:r>
            <w:r w:rsidR="000606A7" w:rsidRPr="00B74D8E">
              <w:t>trategy</w:t>
            </w:r>
            <w:r w:rsidR="000606A7">
              <w:t>.</w:t>
            </w:r>
          </w:p>
          <w:p w14:paraId="5997CC1D" w14:textId="77777777" w:rsidR="00B74D8E" w:rsidRPr="00B74D8E" w:rsidRDefault="00B74D8E" w:rsidP="00481007">
            <w:pPr>
              <w:jc w:val="both"/>
            </w:pPr>
          </w:p>
          <w:p w14:paraId="3209916F" w14:textId="77777777" w:rsidR="00B74D8E" w:rsidRPr="00B74D8E" w:rsidRDefault="00B74D8E" w:rsidP="00481007">
            <w:pPr>
              <w:numPr>
                <w:ilvl w:val="0"/>
                <w:numId w:val="8"/>
              </w:numPr>
              <w:jc w:val="both"/>
            </w:pPr>
            <w:r w:rsidRPr="00B74D8E">
              <w:rPr>
                <w:b/>
              </w:rPr>
              <w:t>Note</w:t>
            </w:r>
            <w:r w:rsidRPr="00B74D8E">
              <w:t xml:space="preserve"> the contents of the county council's reserves position.</w:t>
            </w:r>
          </w:p>
          <w:p w14:paraId="110FFD37" w14:textId="77777777" w:rsidR="00B74D8E" w:rsidRPr="00B74D8E" w:rsidRDefault="00B74D8E" w:rsidP="00481007">
            <w:pPr>
              <w:jc w:val="both"/>
            </w:pPr>
          </w:p>
          <w:p w14:paraId="307D8AB3" w14:textId="6B58DFF9" w:rsidR="00CC3739" w:rsidRDefault="00B74D8E" w:rsidP="00481007">
            <w:pPr>
              <w:numPr>
                <w:ilvl w:val="0"/>
                <w:numId w:val="8"/>
              </w:numPr>
              <w:jc w:val="both"/>
            </w:pPr>
            <w:r w:rsidRPr="006136C0">
              <w:rPr>
                <w:b/>
                <w:bCs/>
              </w:rPr>
              <w:t>Note</w:t>
            </w:r>
            <w:r>
              <w:t xml:space="preserve"> the</w:t>
            </w:r>
            <w:r w:rsidRPr="006136C0">
              <w:rPr>
                <w:b/>
                <w:bCs/>
              </w:rPr>
              <w:t xml:space="preserve"> </w:t>
            </w:r>
            <w:r>
              <w:t>revised 2021/22 capital delivery programme of £16</w:t>
            </w:r>
            <w:r w:rsidR="646B2653">
              <w:t>5.567</w:t>
            </w:r>
            <w:r>
              <w:t>m and the forecast outturn of £16</w:t>
            </w:r>
            <w:r w:rsidR="48CEC8DC">
              <w:t>4.050</w:t>
            </w:r>
            <w:r w:rsidR="43A29DA5">
              <w:t xml:space="preserve">m. </w:t>
            </w:r>
          </w:p>
          <w:p w14:paraId="3ACB6B50" w14:textId="77777777" w:rsidR="006136C0" w:rsidRDefault="006136C0" w:rsidP="00481007">
            <w:pPr>
              <w:pStyle w:val="ListParagraph"/>
              <w:jc w:val="both"/>
            </w:pPr>
          </w:p>
          <w:p w14:paraId="4B95542F" w14:textId="4DBA2D90" w:rsidR="006136C0" w:rsidRDefault="00141FE8" w:rsidP="00481007">
            <w:pPr>
              <w:numPr>
                <w:ilvl w:val="0"/>
                <w:numId w:val="8"/>
              </w:numPr>
              <w:jc w:val="both"/>
            </w:pPr>
            <w:r w:rsidRPr="0020329F">
              <w:rPr>
                <w:b/>
              </w:rPr>
              <w:t>Agree</w:t>
            </w:r>
            <w:r w:rsidRPr="0020329F">
              <w:t xml:space="preserve"> to make recommendations to Full Council on 1</w:t>
            </w:r>
            <w:r>
              <w:t>7</w:t>
            </w:r>
            <w:r w:rsidRPr="0020329F">
              <w:t xml:space="preserve"> February 202</w:t>
            </w:r>
            <w:r>
              <w:t>2</w:t>
            </w:r>
            <w:r w:rsidR="006136C0">
              <w:t xml:space="preserve"> </w:t>
            </w:r>
            <w:r>
              <w:t xml:space="preserve">for an </w:t>
            </w:r>
            <w:r w:rsidR="006136C0">
              <w:t>indicative capital delivery programme of £206.263m in 2022/23.</w:t>
            </w:r>
          </w:p>
          <w:p w14:paraId="0E73B47E" w14:textId="77777777" w:rsidR="006136C0" w:rsidRDefault="006136C0" w:rsidP="00481007">
            <w:pPr>
              <w:ind w:left="720"/>
              <w:jc w:val="both"/>
            </w:pPr>
          </w:p>
          <w:p w14:paraId="389FB5BE" w14:textId="392044D0" w:rsidR="00BE3266" w:rsidRPr="000D3048" w:rsidRDefault="00BE3266" w:rsidP="00481007">
            <w:pPr>
              <w:numPr>
                <w:ilvl w:val="0"/>
                <w:numId w:val="8"/>
              </w:numPr>
              <w:jc w:val="both"/>
            </w:pPr>
            <w:r w:rsidRPr="0020329F">
              <w:rPr>
                <w:b/>
              </w:rPr>
              <w:t>Agree</w:t>
            </w:r>
            <w:r w:rsidRPr="0020329F">
              <w:t xml:space="preserve"> to make recommendations to Full Council on 1</w:t>
            </w:r>
            <w:r w:rsidR="00522F5A">
              <w:t>7</w:t>
            </w:r>
            <w:r w:rsidRPr="0020329F">
              <w:t xml:space="preserve"> February 202</w:t>
            </w:r>
            <w:r w:rsidR="00522F5A">
              <w:t>2</w:t>
            </w:r>
            <w:r w:rsidRPr="0020329F">
              <w:t xml:space="preserve"> </w:t>
            </w:r>
            <w:r>
              <w:t xml:space="preserve">for </w:t>
            </w:r>
            <w:r w:rsidRPr="0020329F">
              <w:t>a Band D Counci</w:t>
            </w:r>
            <w:r>
              <w:t xml:space="preserve">l Tax for 2022/23 reflecting a </w:t>
            </w:r>
            <w:r w:rsidR="002623AB">
              <w:t>3</w:t>
            </w:r>
            <w:r>
              <w:t xml:space="preserve">.99% increase including </w:t>
            </w:r>
            <w:r w:rsidR="002623AB">
              <w:t>2</w:t>
            </w:r>
            <w:r w:rsidRPr="0020329F">
              <w:t>% to be used for adult social care as per the new flexibilities</w:t>
            </w:r>
            <w:r>
              <w:t>.</w:t>
            </w:r>
          </w:p>
          <w:p w14:paraId="43975B9D" w14:textId="5833FFE6" w:rsidR="008B046A" w:rsidRDefault="008B046A" w:rsidP="00BE3266">
            <w:pPr>
              <w:ind w:left="720"/>
              <w:jc w:val="both"/>
            </w:pPr>
          </w:p>
        </w:tc>
      </w:tr>
    </w:tbl>
    <w:p w14:paraId="54DB01F5" w14:textId="77777777" w:rsidR="00DB5A52" w:rsidRDefault="00DB5A52" w:rsidP="00B74D8E">
      <w:pPr>
        <w:jc w:val="both"/>
        <w:rPr>
          <w:b/>
        </w:rPr>
      </w:pPr>
    </w:p>
    <w:p w14:paraId="3C39D6EF" w14:textId="609BD22D" w:rsidR="000606A7" w:rsidRDefault="006B1D2A" w:rsidP="00B74D8E">
      <w:pPr>
        <w:jc w:val="both"/>
        <w:rPr>
          <w:b/>
        </w:rPr>
      </w:pPr>
      <w:r>
        <w:rPr>
          <w:b/>
        </w:rPr>
        <w:t>Detail</w:t>
      </w:r>
    </w:p>
    <w:p w14:paraId="6B699379" w14:textId="77777777" w:rsidR="000606A7" w:rsidRDefault="000606A7" w:rsidP="00B74D8E">
      <w:pPr>
        <w:jc w:val="both"/>
        <w:rPr>
          <w:b/>
        </w:rPr>
      </w:pPr>
    </w:p>
    <w:p w14:paraId="3ED0CBD0" w14:textId="77777777" w:rsidR="00B74D8E" w:rsidRPr="000D3048" w:rsidRDefault="00B74D8E" w:rsidP="00B74D8E">
      <w:pPr>
        <w:jc w:val="both"/>
      </w:pPr>
      <w:r w:rsidRPr="000D3048">
        <w:t xml:space="preserve">The detailed reports present the quarter </w:t>
      </w:r>
      <w:r w:rsidR="000B3CEB">
        <w:t>3</w:t>
      </w:r>
      <w:r w:rsidRPr="000D3048">
        <w:t xml:space="preserve"> position and are appended as follows:</w:t>
      </w:r>
    </w:p>
    <w:p w14:paraId="3FE9F23F" w14:textId="77777777" w:rsidR="00B74D8E" w:rsidRPr="000D3048" w:rsidRDefault="00B74D8E" w:rsidP="00B74D8E">
      <w:pPr>
        <w:jc w:val="both"/>
      </w:pPr>
    </w:p>
    <w:p w14:paraId="21D33B10" w14:textId="77777777" w:rsidR="00B74D8E" w:rsidRPr="000D3048" w:rsidRDefault="00B74D8E" w:rsidP="00B74D8E">
      <w:pPr>
        <w:numPr>
          <w:ilvl w:val="0"/>
          <w:numId w:val="3"/>
        </w:numPr>
        <w:jc w:val="both"/>
      </w:pPr>
      <w:r w:rsidRPr="000D3048">
        <w:t xml:space="preserve">Appendix </w:t>
      </w:r>
      <w:r w:rsidR="001D11FC">
        <w:t xml:space="preserve">'A' </w:t>
      </w:r>
      <w:r w:rsidRPr="000D3048">
        <w:t>- the 202</w:t>
      </w:r>
      <w:r>
        <w:t>1</w:t>
      </w:r>
      <w:r w:rsidRPr="000D3048">
        <w:t>/2</w:t>
      </w:r>
      <w:r>
        <w:t>2</w:t>
      </w:r>
      <w:r w:rsidRPr="000D3048">
        <w:t xml:space="preserve"> forecast revenue position.</w:t>
      </w:r>
    </w:p>
    <w:p w14:paraId="3AE6C471" w14:textId="77777777" w:rsidR="00B74D8E" w:rsidRPr="000D3048" w:rsidRDefault="00B74D8E" w:rsidP="00B74D8E">
      <w:pPr>
        <w:numPr>
          <w:ilvl w:val="0"/>
          <w:numId w:val="3"/>
        </w:numPr>
        <w:jc w:val="both"/>
      </w:pPr>
      <w:r w:rsidRPr="000D3048">
        <w:t xml:space="preserve">Appendix </w:t>
      </w:r>
      <w:r w:rsidR="001D11FC">
        <w:t>'</w:t>
      </w:r>
      <w:r w:rsidRPr="000D3048">
        <w:t>B</w:t>
      </w:r>
      <w:r w:rsidR="001D11FC">
        <w:t>'</w:t>
      </w:r>
      <w:r w:rsidRPr="000D3048">
        <w:t xml:space="preserve"> - revised medium</w:t>
      </w:r>
      <w:r w:rsidR="000606A7">
        <w:t>-</w:t>
      </w:r>
      <w:r w:rsidRPr="000D3048">
        <w:t>term financial strategy for the period 202</w:t>
      </w:r>
      <w:r>
        <w:t>2</w:t>
      </w:r>
      <w:r w:rsidRPr="000D3048">
        <w:t>/2</w:t>
      </w:r>
      <w:r>
        <w:t>3</w:t>
      </w:r>
      <w:r w:rsidRPr="000D3048">
        <w:t xml:space="preserve"> to 202</w:t>
      </w:r>
      <w:r>
        <w:t>4</w:t>
      </w:r>
      <w:r w:rsidRPr="000D3048">
        <w:t>/2</w:t>
      </w:r>
      <w:r>
        <w:t>5</w:t>
      </w:r>
      <w:r w:rsidRPr="000D3048">
        <w:t xml:space="preserve">, including reserves position. </w:t>
      </w:r>
    </w:p>
    <w:p w14:paraId="7043890C" w14:textId="1EDEBB53" w:rsidR="00B74D8E" w:rsidRPr="000D3048" w:rsidRDefault="00B74D8E" w:rsidP="00B74D8E">
      <w:pPr>
        <w:numPr>
          <w:ilvl w:val="0"/>
          <w:numId w:val="3"/>
        </w:numPr>
        <w:jc w:val="both"/>
      </w:pPr>
      <w:r>
        <w:t xml:space="preserve">Appendix </w:t>
      </w:r>
      <w:r w:rsidR="001D11FC">
        <w:t>'</w:t>
      </w:r>
      <w:r>
        <w:t>C</w:t>
      </w:r>
      <w:r w:rsidR="001D11FC">
        <w:t>'</w:t>
      </w:r>
      <w:r>
        <w:t xml:space="preserve"> - the 2021/22 </w:t>
      </w:r>
      <w:r w:rsidR="006136C0">
        <w:t>capital financial position and draft capital delivery programme</w:t>
      </w:r>
      <w:r>
        <w:t xml:space="preserve"> </w:t>
      </w:r>
      <w:r w:rsidR="006136C0">
        <w:t>for 2022/23 to 2024/25.</w:t>
      </w:r>
    </w:p>
    <w:p w14:paraId="1F72F646" w14:textId="77777777" w:rsidR="00B74D8E" w:rsidRPr="00830F88" w:rsidRDefault="00B74D8E" w:rsidP="00B74D8E">
      <w:pPr>
        <w:jc w:val="both"/>
        <w:rPr>
          <w:highlight w:val="yellow"/>
        </w:rPr>
      </w:pPr>
    </w:p>
    <w:p w14:paraId="52372919" w14:textId="77777777" w:rsidR="00B74D8E" w:rsidRPr="000D3048" w:rsidRDefault="00B74D8E" w:rsidP="00B74D8E">
      <w:pPr>
        <w:jc w:val="both"/>
        <w:rPr>
          <w:u w:val="single"/>
        </w:rPr>
      </w:pPr>
      <w:r w:rsidRPr="12CE7978">
        <w:rPr>
          <w:u w:val="single"/>
        </w:rPr>
        <w:t xml:space="preserve">2021/22 Revenue Position as of 30 </w:t>
      </w:r>
      <w:r w:rsidR="00B87F49">
        <w:rPr>
          <w:u w:val="single"/>
        </w:rPr>
        <w:t>November</w:t>
      </w:r>
      <w:r w:rsidRPr="12CE7978">
        <w:rPr>
          <w:u w:val="single"/>
        </w:rPr>
        <w:t xml:space="preserve"> 2021 (Appendix </w:t>
      </w:r>
      <w:r w:rsidR="001D11FC">
        <w:rPr>
          <w:u w:val="single"/>
        </w:rPr>
        <w:t>'</w:t>
      </w:r>
      <w:r w:rsidRPr="12CE7978">
        <w:rPr>
          <w:u w:val="single"/>
        </w:rPr>
        <w:t>A</w:t>
      </w:r>
      <w:r w:rsidR="001D11FC">
        <w:rPr>
          <w:u w:val="single"/>
        </w:rPr>
        <w:t>'</w:t>
      </w:r>
      <w:r w:rsidRPr="12CE7978">
        <w:rPr>
          <w:u w:val="single"/>
        </w:rPr>
        <w:t>)</w:t>
      </w:r>
    </w:p>
    <w:p w14:paraId="08CE6F91" w14:textId="77777777" w:rsidR="00B74D8E" w:rsidRPr="000D3048" w:rsidRDefault="00B74D8E" w:rsidP="00B74D8E">
      <w:pPr>
        <w:jc w:val="both"/>
      </w:pPr>
    </w:p>
    <w:p w14:paraId="1F45D75B" w14:textId="59C6CB0E" w:rsidR="00B74D8E" w:rsidRPr="00830F88" w:rsidRDefault="00B74D8E" w:rsidP="00B74D8E">
      <w:pPr>
        <w:jc w:val="both"/>
        <w:rPr>
          <w:highlight w:val="yellow"/>
        </w:rPr>
      </w:pPr>
      <w:r>
        <w:t>A revenue underspend is currently forecast at £</w:t>
      </w:r>
      <w:r w:rsidR="000B3CEB">
        <w:t>23.46</w:t>
      </w:r>
      <w:r>
        <w:t xml:space="preserve">m and represents a variance of </w:t>
      </w:r>
      <w:r w:rsidR="000B3CEB">
        <w:t>2.66</w:t>
      </w:r>
      <w:r>
        <w:t xml:space="preserve">% against the overall revenue budget of £881.41m. The forecast outturn position </w:t>
      </w:r>
      <w:r w:rsidR="006136C0">
        <w:t xml:space="preserve">reflects an increasing underspend including significant gains on Treasury Management and some service areas with lower than anticipated demand when setting the budget.  </w:t>
      </w:r>
      <w:r>
        <w:t xml:space="preserve">The report </w:t>
      </w:r>
      <w:r w:rsidR="006136C0">
        <w:t xml:space="preserve">also </w:t>
      </w:r>
      <w:r>
        <w:t xml:space="preserve">identifies those areas where forecast pressures exist and </w:t>
      </w:r>
      <w:r w:rsidR="00B318F7">
        <w:t xml:space="preserve">are </w:t>
      </w:r>
      <w:r>
        <w:t>subject to ongoing detailed review</w:t>
      </w:r>
      <w:r w:rsidR="00B318F7">
        <w:t xml:space="preserve"> with the</w:t>
      </w:r>
      <w:r>
        <w:t xml:space="preserve"> focus on continuing to tightly control and drive down costs wherever possible</w:t>
      </w:r>
      <w:r w:rsidR="2DAA8CE3">
        <w:t xml:space="preserve">. </w:t>
      </w:r>
    </w:p>
    <w:p w14:paraId="61CDCEAD" w14:textId="77777777" w:rsidR="00B74D8E" w:rsidRPr="00830F88" w:rsidRDefault="00B74D8E" w:rsidP="00B74D8E">
      <w:pPr>
        <w:jc w:val="both"/>
        <w:rPr>
          <w:highlight w:val="yellow"/>
        </w:rPr>
      </w:pPr>
    </w:p>
    <w:p w14:paraId="7F31EF52" w14:textId="097AB8EA" w:rsidR="00B74D8E" w:rsidRPr="006136C0" w:rsidRDefault="00B74D8E" w:rsidP="00B74D8E">
      <w:pPr>
        <w:jc w:val="both"/>
        <w:rPr>
          <w:rFonts w:cs="Arial"/>
          <w:i/>
          <w:iCs/>
        </w:rPr>
      </w:pPr>
      <w:r w:rsidRPr="4BAFEB07">
        <w:rPr>
          <w:rFonts w:cs="Arial"/>
        </w:rPr>
        <w:t>The savings that have been agreed to date are also closely monitored, with a total of £42.727m to be delivered in 2021/22. This is a combination of savings that were planned to be delivered in 2020/21 and were delayed due to the pandemic, and the budgeted savings agreed to be removed from the budget in 2021/22.</w:t>
      </w:r>
      <w:r w:rsidR="00B318F7">
        <w:rPr>
          <w:rFonts w:cs="Arial"/>
        </w:rPr>
        <w:t xml:space="preserve">  Delays to the delivery of some of those savings has been experienced due to the pandemic offset by utilisation of C</w:t>
      </w:r>
      <w:r w:rsidR="00481007">
        <w:rPr>
          <w:rFonts w:cs="Arial"/>
        </w:rPr>
        <w:t>OVID-19</w:t>
      </w:r>
      <w:r w:rsidR="00B318F7">
        <w:rPr>
          <w:rFonts w:cs="Arial"/>
        </w:rPr>
        <w:t xml:space="preserve"> grant funding and offsetting cost reductions.  </w:t>
      </w:r>
    </w:p>
    <w:p w14:paraId="6BB9E253" w14:textId="70E6E646" w:rsidR="00B74D8E" w:rsidRDefault="00B74D8E" w:rsidP="00B74D8E">
      <w:pPr>
        <w:jc w:val="both"/>
        <w:rPr>
          <w:highlight w:val="yellow"/>
        </w:rPr>
      </w:pPr>
    </w:p>
    <w:p w14:paraId="651CF633" w14:textId="231DFC96" w:rsidR="00DB5A52" w:rsidRDefault="00DB5A52" w:rsidP="00B74D8E">
      <w:pPr>
        <w:jc w:val="both"/>
        <w:rPr>
          <w:highlight w:val="yellow"/>
        </w:rPr>
      </w:pPr>
    </w:p>
    <w:p w14:paraId="506FDC36" w14:textId="6E5FD5A9" w:rsidR="00DB5A52" w:rsidRDefault="00DB5A52" w:rsidP="00B74D8E">
      <w:pPr>
        <w:jc w:val="both"/>
        <w:rPr>
          <w:highlight w:val="yellow"/>
        </w:rPr>
      </w:pPr>
    </w:p>
    <w:p w14:paraId="4F3AAA8D" w14:textId="77777777" w:rsidR="00481007" w:rsidRDefault="00481007" w:rsidP="00B74D8E">
      <w:pPr>
        <w:jc w:val="both"/>
      </w:pPr>
    </w:p>
    <w:p w14:paraId="0AEEA0BC" w14:textId="1CAD1191" w:rsidR="00B74D8E" w:rsidRPr="000D3048" w:rsidRDefault="00B74D8E" w:rsidP="00B74D8E">
      <w:pPr>
        <w:jc w:val="both"/>
        <w:rPr>
          <w:u w:val="single"/>
        </w:rPr>
      </w:pPr>
      <w:r w:rsidRPr="12CE7978">
        <w:rPr>
          <w:u w:val="single"/>
        </w:rPr>
        <w:t xml:space="preserve">The </w:t>
      </w:r>
      <w:r w:rsidR="00481007">
        <w:rPr>
          <w:u w:val="single"/>
        </w:rPr>
        <w:t>M</w:t>
      </w:r>
      <w:r w:rsidRPr="12CE7978">
        <w:rPr>
          <w:u w:val="single"/>
        </w:rPr>
        <w:t>edium-</w:t>
      </w:r>
      <w:r w:rsidR="00481007">
        <w:rPr>
          <w:u w:val="single"/>
        </w:rPr>
        <w:t>T</w:t>
      </w:r>
      <w:r w:rsidRPr="12CE7978">
        <w:rPr>
          <w:u w:val="single"/>
        </w:rPr>
        <w:t xml:space="preserve">erm </w:t>
      </w:r>
      <w:r w:rsidR="00481007">
        <w:rPr>
          <w:u w:val="single"/>
        </w:rPr>
        <w:t>F</w:t>
      </w:r>
      <w:r w:rsidRPr="12CE7978">
        <w:rPr>
          <w:u w:val="single"/>
        </w:rPr>
        <w:t xml:space="preserve">inancial </w:t>
      </w:r>
      <w:r w:rsidR="00481007">
        <w:rPr>
          <w:u w:val="single"/>
        </w:rPr>
        <w:t>S</w:t>
      </w:r>
      <w:r w:rsidRPr="12CE7978">
        <w:rPr>
          <w:u w:val="single"/>
        </w:rPr>
        <w:t xml:space="preserve">trategy and reserves position (Appendix </w:t>
      </w:r>
      <w:r w:rsidR="001D11FC">
        <w:rPr>
          <w:u w:val="single"/>
        </w:rPr>
        <w:t>'</w:t>
      </w:r>
      <w:r w:rsidRPr="12CE7978">
        <w:rPr>
          <w:u w:val="single"/>
        </w:rPr>
        <w:t>B</w:t>
      </w:r>
      <w:r w:rsidR="001D11FC">
        <w:rPr>
          <w:u w:val="single"/>
        </w:rPr>
        <w:t>'</w:t>
      </w:r>
      <w:r w:rsidRPr="12CE7978">
        <w:rPr>
          <w:u w:val="single"/>
        </w:rPr>
        <w:t>)</w:t>
      </w:r>
    </w:p>
    <w:p w14:paraId="23DE523C" w14:textId="77777777" w:rsidR="00B74D8E" w:rsidRPr="000D3048" w:rsidRDefault="00B74D8E" w:rsidP="00B74D8E">
      <w:pPr>
        <w:jc w:val="both"/>
        <w:rPr>
          <w:u w:val="single"/>
        </w:rPr>
      </w:pPr>
    </w:p>
    <w:p w14:paraId="46F58866" w14:textId="4F034F60" w:rsidR="00B74D8E" w:rsidRDefault="00B74D8E" w:rsidP="00B74D8E">
      <w:pPr>
        <w:jc w:val="both"/>
        <w:rPr>
          <w:rFonts w:cs="Arial"/>
        </w:rPr>
      </w:pPr>
      <w:r>
        <w:t xml:space="preserve">The previous updated </w:t>
      </w:r>
      <w:r w:rsidR="00481007">
        <w:t>M</w:t>
      </w:r>
      <w:r w:rsidR="001D11FC">
        <w:t>edium-</w:t>
      </w:r>
      <w:r w:rsidR="00481007">
        <w:t>T</w:t>
      </w:r>
      <w:r w:rsidR="001D11FC">
        <w:t xml:space="preserve">erm </w:t>
      </w:r>
      <w:r w:rsidR="00481007">
        <w:t>F</w:t>
      </w:r>
      <w:r w:rsidR="001D11FC">
        <w:t xml:space="preserve">inancial </w:t>
      </w:r>
      <w:r w:rsidR="00481007">
        <w:t>S</w:t>
      </w:r>
      <w:r w:rsidR="001D11FC">
        <w:t>trategy</w:t>
      </w:r>
      <w:r>
        <w:t xml:space="preserve"> reported to </w:t>
      </w:r>
      <w:r w:rsidR="00B318F7">
        <w:t xml:space="preserve">Cabinet in November </w:t>
      </w:r>
      <w:r>
        <w:t xml:space="preserve">forecast a funding gap of </w:t>
      </w:r>
      <w:r w:rsidR="00B318F7">
        <w:t xml:space="preserve">£30.470m in 2022/23 and </w:t>
      </w:r>
      <w:r>
        <w:t>£</w:t>
      </w:r>
      <w:r w:rsidR="00B318F7">
        <w:t>58.560</w:t>
      </w:r>
      <w:r>
        <w:t xml:space="preserve">m by 2024/25. </w:t>
      </w:r>
      <w:r>
        <w:lastRenderedPageBreak/>
        <w:t xml:space="preserve">The updated funding gap contained within this report is </w:t>
      </w:r>
      <w:r w:rsidR="00B318F7">
        <w:t>£</w:t>
      </w:r>
      <w:r w:rsidR="00B318F7">
        <w:rPr>
          <w:rFonts w:eastAsia="Arial" w:cs="Arial"/>
        </w:rPr>
        <w:t xml:space="preserve">21.690m in 2022/23 and £42.830m by 2024/25 </w:t>
      </w:r>
      <w:r w:rsidRPr="201BC6B5">
        <w:rPr>
          <w:rFonts w:cs="Arial"/>
        </w:rPr>
        <w:t xml:space="preserve">which is a reduction of </w:t>
      </w:r>
      <w:r w:rsidR="00B318F7">
        <w:rPr>
          <w:rFonts w:cs="Arial"/>
        </w:rPr>
        <w:t xml:space="preserve">£8.780m in 2022/23 and </w:t>
      </w:r>
      <w:r w:rsidRPr="201BC6B5">
        <w:rPr>
          <w:rFonts w:cs="Arial"/>
        </w:rPr>
        <w:t>£</w:t>
      </w:r>
      <w:r w:rsidR="4F316EE0" w:rsidRPr="201BC6B5">
        <w:rPr>
          <w:rFonts w:cs="Arial"/>
        </w:rPr>
        <w:t>15.730</w:t>
      </w:r>
      <w:r w:rsidRPr="201BC6B5">
        <w:rPr>
          <w:rFonts w:cs="Arial"/>
        </w:rPr>
        <w:t xml:space="preserve">m </w:t>
      </w:r>
      <w:r w:rsidR="00B318F7">
        <w:rPr>
          <w:rFonts w:cs="Arial"/>
        </w:rPr>
        <w:t xml:space="preserve">by 2024/25. </w:t>
      </w:r>
      <w:r w:rsidRPr="201BC6B5">
        <w:rPr>
          <w:rFonts w:cs="Arial"/>
        </w:rPr>
        <w:t xml:space="preserve">The reduction is </w:t>
      </w:r>
      <w:r w:rsidR="00714B0E" w:rsidRPr="201BC6B5">
        <w:rPr>
          <w:rFonts w:cs="Arial"/>
        </w:rPr>
        <w:t xml:space="preserve">primarily </w:t>
      </w:r>
      <w:r w:rsidRPr="201BC6B5">
        <w:rPr>
          <w:rFonts w:cs="Arial"/>
        </w:rPr>
        <w:t>due to</w:t>
      </w:r>
      <w:r w:rsidRPr="75848C9E">
        <w:rPr>
          <w:rFonts w:cs="Arial"/>
        </w:rPr>
        <w:t xml:space="preserve"> </w:t>
      </w:r>
      <w:r w:rsidR="00B318F7">
        <w:rPr>
          <w:rFonts w:cs="Arial"/>
        </w:rPr>
        <w:t xml:space="preserve">the impact of the one-year </w:t>
      </w:r>
      <w:r w:rsidR="00015609" w:rsidRPr="75848C9E">
        <w:rPr>
          <w:rFonts w:cs="Arial"/>
        </w:rPr>
        <w:t xml:space="preserve">provisional </w:t>
      </w:r>
      <w:r w:rsidR="00B318F7">
        <w:rPr>
          <w:rFonts w:cs="Arial"/>
        </w:rPr>
        <w:t xml:space="preserve">finance </w:t>
      </w:r>
      <w:r w:rsidR="00015609" w:rsidRPr="75848C9E">
        <w:rPr>
          <w:rFonts w:cs="Arial"/>
        </w:rPr>
        <w:t xml:space="preserve">settlement offset by </w:t>
      </w:r>
      <w:r w:rsidRPr="75848C9E">
        <w:rPr>
          <w:rFonts w:cs="Arial"/>
        </w:rPr>
        <w:t>a revision of the demand position</w:t>
      </w:r>
      <w:r w:rsidR="3A243142" w:rsidRPr="75848C9E">
        <w:rPr>
          <w:rFonts w:cs="Arial"/>
        </w:rPr>
        <w:t xml:space="preserve">. </w:t>
      </w:r>
    </w:p>
    <w:p w14:paraId="4FA2B406" w14:textId="2FE138B3" w:rsidR="00D279B1" w:rsidRDefault="00D279B1" w:rsidP="00B74D8E">
      <w:pPr>
        <w:jc w:val="both"/>
        <w:rPr>
          <w:rFonts w:cs="Arial"/>
        </w:rPr>
      </w:pPr>
    </w:p>
    <w:p w14:paraId="388BDE98" w14:textId="3EAD1EC8" w:rsidR="00AD5CB9" w:rsidRDefault="00B74D8E" w:rsidP="00B74D8E">
      <w:pPr>
        <w:jc w:val="both"/>
      </w:pPr>
      <w:r>
        <w:t>The value of the uncommitted transitional reserve is currently forecast to be £</w:t>
      </w:r>
      <w:r w:rsidR="18E50F26">
        <w:t>204.450</w:t>
      </w:r>
      <w:r>
        <w:t>m by the end of March 2022</w:t>
      </w:r>
      <w:r w:rsidR="00141FE8">
        <w:t xml:space="preserve">, including the impact of the </w:t>
      </w:r>
      <w:r>
        <w:t>forecast underspend within the 2021/22 outturn position. The value of the uncommitted transitional reserve is currently forecast to be sufficient to meet the identified funding gaps for financial years 2022/23 - 2024/25, but the intention is to identify further savings, thereby securing a sustainable financial position for the council going forward</w:t>
      </w:r>
      <w:r w:rsidR="4D5BC115">
        <w:t>.</w:t>
      </w:r>
    </w:p>
    <w:p w14:paraId="3A0DD73B" w14:textId="77777777" w:rsidR="00522F5A" w:rsidRDefault="00522F5A" w:rsidP="00AD5CB9">
      <w:pPr>
        <w:jc w:val="both"/>
        <w:rPr>
          <w:u w:val="single"/>
        </w:rPr>
      </w:pPr>
    </w:p>
    <w:p w14:paraId="567E517C" w14:textId="37C85172" w:rsidR="00AD5CB9" w:rsidRPr="008411DD" w:rsidRDefault="00AD5CB9" w:rsidP="00AD5CB9">
      <w:pPr>
        <w:jc w:val="both"/>
        <w:rPr>
          <w:u w:val="single"/>
        </w:rPr>
      </w:pPr>
      <w:r w:rsidRPr="008411DD">
        <w:rPr>
          <w:u w:val="single"/>
        </w:rPr>
        <w:t>Capital delivery programme for 202</w:t>
      </w:r>
      <w:r>
        <w:rPr>
          <w:u w:val="single"/>
        </w:rPr>
        <w:t>1</w:t>
      </w:r>
      <w:r w:rsidRPr="008411DD">
        <w:rPr>
          <w:u w:val="single"/>
        </w:rPr>
        <w:t>/2</w:t>
      </w:r>
      <w:r>
        <w:rPr>
          <w:u w:val="single"/>
        </w:rPr>
        <w:t>2</w:t>
      </w:r>
      <w:r w:rsidRPr="008411DD">
        <w:rPr>
          <w:u w:val="single"/>
        </w:rPr>
        <w:t xml:space="preserve"> </w:t>
      </w:r>
      <w:r w:rsidR="00522F5A">
        <w:rPr>
          <w:u w:val="single"/>
        </w:rPr>
        <w:t xml:space="preserve">and Indicative Capital Delivery Programme for 2022/23 to 2024/25 </w:t>
      </w:r>
      <w:r w:rsidRPr="008411DD">
        <w:rPr>
          <w:u w:val="single"/>
        </w:rPr>
        <w:t xml:space="preserve">(Appendix </w:t>
      </w:r>
      <w:r>
        <w:rPr>
          <w:u w:val="single"/>
        </w:rPr>
        <w:t>'</w:t>
      </w:r>
      <w:r w:rsidRPr="008411DD">
        <w:rPr>
          <w:u w:val="single"/>
        </w:rPr>
        <w:t>C</w:t>
      </w:r>
      <w:r>
        <w:rPr>
          <w:u w:val="single"/>
        </w:rPr>
        <w:t>'</w:t>
      </w:r>
      <w:r w:rsidRPr="008411DD">
        <w:rPr>
          <w:u w:val="single"/>
        </w:rPr>
        <w:t>)</w:t>
      </w:r>
    </w:p>
    <w:p w14:paraId="4708E5C7" w14:textId="77777777" w:rsidR="00AD5CB9" w:rsidRPr="008411DD" w:rsidRDefault="00AD5CB9" w:rsidP="00AD5CB9">
      <w:pPr>
        <w:jc w:val="both"/>
      </w:pPr>
    </w:p>
    <w:p w14:paraId="654C5066" w14:textId="38354F27" w:rsidR="0007025E" w:rsidRPr="00830F88" w:rsidRDefault="0007025E" w:rsidP="0007025E">
      <w:pPr>
        <w:jc w:val="both"/>
        <w:rPr>
          <w:rFonts w:eastAsia="Arial" w:cs="Arial"/>
        </w:rPr>
      </w:pPr>
      <w:r w:rsidRPr="5381C825">
        <w:rPr>
          <w:rFonts w:eastAsia="Arial" w:cs="Arial"/>
        </w:rPr>
        <w:t>In February 2021, an indicative Capital Delivery Programme of £</w:t>
      </w:r>
      <w:r w:rsidRPr="2538C628">
        <w:rPr>
          <w:rFonts w:eastAsia="Arial" w:cs="Arial"/>
        </w:rPr>
        <w:t>152.439m</w:t>
      </w:r>
      <w:r w:rsidRPr="5381C825">
        <w:rPr>
          <w:rFonts w:eastAsia="Arial" w:cs="Arial"/>
        </w:rPr>
        <w:t xml:space="preserve"> was agreed with Cabinet. This delivery programme figure has been revisited following confirmation of the final 2020/21 slipped delivery figures, additions to the capital programme agreed post February 2021 and re-profiling of the programme deliverables in year which have increased the in-year programme to </w:t>
      </w:r>
      <w:r w:rsidRPr="2538C628">
        <w:rPr>
          <w:rFonts w:eastAsia="Arial" w:cs="Arial"/>
        </w:rPr>
        <w:t>£165.567m</w:t>
      </w:r>
      <w:r>
        <w:rPr>
          <w:rFonts w:eastAsia="Arial" w:cs="Arial"/>
        </w:rPr>
        <w:t xml:space="preserve"> with a </w:t>
      </w:r>
      <w:r w:rsidRPr="5381C825">
        <w:rPr>
          <w:rFonts w:eastAsia="Arial" w:cs="Arial"/>
        </w:rPr>
        <w:t xml:space="preserve">forecast outturn </w:t>
      </w:r>
      <w:r>
        <w:rPr>
          <w:rFonts w:eastAsia="Arial" w:cs="Arial"/>
        </w:rPr>
        <w:t>of £164.050</w:t>
      </w:r>
      <w:r w:rsidRPr="5381C825">
        <w:rPr>
          <w:rFonts w:eastAsia="Arial" w:cs="Arial"/>
        </w:rPr>
        <w:t xml:space="preserve">, a variance of </w:t>
      </w:r>
      <w:r w:rsidRPr="2538C628">
        <w:rPr>
          <w:rFonts w:eastAsia="Arial" w:cs="Arial"/>
        </w:rPr>
        <w:t>-£1.517m</w:t>
      </w:r>
      <w:r w:rsidRPr="5381C825">
        <w:rPr>
          <w:rFonts w:eastAsia="Arial" w:cs="Arial"/>
        </w:rPr>
        <w:t xml:space="preserve"> or </w:t>
      </w:r>
      <w:r w:rsidRPr="2538C628">
        <w:rPr>
          <w:rFonts w:eastAsia="Arial" w:cs="Arial"/>
        </w:rPr>
        <w:t>c-0.9</w:t>
      </w:r>
      <w:r w:rsidRPr="5381C825">
        <w:rPr>
          <w:rFonts w:eastAsia="Arial" w:cs="Arial"/>
        </w:rPr>
        <w:t>%.</w:t>
      </w:r>
      <w:r w:rsidRPr="2538C628">
        <w:rPr>
          <w:rFonts w:eastAsia="Arial" w:cs="Arial"/>
        </w:rPr>
        <w:t xml:space="preserve"> </w:t>
      </w:r>
      <w:r w:rsidR="00522F5A">
        <w:rPr>
          <w:rFonts w:eastAsia="Arial" w:cs="Arial"/>
        </w:rPr>
        <w:t xml:space="preserve">An indicative capital delivery programme of £206.263m is proposed for 2022/23 but will be reviewed once the outturn position for 2021/22 is confirmed and </w:t>
      </w:r>
      <w:r w:rsidR="009E64DA">
        <w:rPr>
          <w:rFonts w:eastAsia="Arial" w:cs="Arial"/>
        </w:rPr>
        <w:t xml:space="preserve">any </w:t>
      </w:r>
      <w:r w:rsidR="00522F5A">
        <w:rPr>
          <w:rFonts w:eastAsia="Arial" w:cs="Arial"/>
        </w:rPr>
        <w:t>reprofiling that is necessary at that point reported to Cabinet.</w:t>
      </w:r>
    </w:p>
    <w:p w14:paraId="4FD734BB" w14:textId="77777777" w:rsidR="00AD5CB9" w:rsidRPr="005462F3" w:rsidRDefault="00AD5CB9" w:rsidP="00AD5CB9">
      <w:pPr>
        <w:jc w:val="both"/>
      </w:pPr>
    </w:p>
    <w:p w14:paraId="0E0EB9CF" w14:textId="77777777" w:rsidR="00AD5CB9" w:rsidRPr="004C41BC" w:rsidRDefault="00AD5CB9" w:rsidP="00AD5CB9">
      <w:pPr>
        <w:autoSpaceDE w:val="0"/>
        <w:autoSpaceDN w:val="0"/>
        <w:adjustRightInd w:val="0"/>
        <w:rPr>
          <w:rFonts w:cs="Arial"/>
          <w:b/>
          <w:szCs w:val="24"/>
        </w:rPr>
      </w:pPr>
      <w:r w:rsidRPr="004C41BC">
        <w:rPr>
          <w:rFonts w:cs="Arial"/>
          <w:b/>
          <w:szCs w:val="24"/>
        </w:rPr>
        <w:t>The Robustness of the Budget and the Adequacy of Reserves</w:t>
      </w:r>
    </w:p>
    <w:p w14:paraId="65FB05CD" w14:textId="77777777" w:rsidR="00AD5CB9" w:rsidRPr="004C41BC" w:rsidRDefault="00AD5CB9" w:rsidP="00AD5CB9">
      <w:pPr>
        <w:autoSpaceDE w:val="0"/>
        <w:autoSpaceDN w:val="0"/>
        <w:adjustRightInd w:val="0"/>
        <w:rPr>
          <w:rFonts w:cs="Arial"/>
          <w:szCs w:val="24"/>
        </w:rPr>
      </w:pPr>
    </w:p>
    <w:p w14:paraId="6A1A6DE0" w14:textId="62B6C263" w:rsidR="00AD5CB9" w:rsidRPr="004C41BC" w:rsidRDefault="00AD5CB9" w:rsidP="00AD5CB9">
      <w:pPr>
        <w:autoSpaceDE w:val="0"/>
        <w:autoSpaceDN w:val="0"/>
        <w:adjustRightInd w:val="0"/>
        <w:jc w:val="both"/>
        <w:rPr>
          <w:rFonts w:cs="Arial"/>
          <w:szCs w:val="24"/>
        </w:rPr>
      </w:pPr>
      <w:r w:rsidRPr="004C41BC">
        <w:rPr>
          <w:rFonts w:cs="Arial"/>
          <w:szCs w:val="24"/>
        </w:rPr>
        <w:t xml:space="preserve">Section 25 of the Local Government Act 2003 requires that, in giving consideration to budget proposals, Members must have regard to the advice of the </w:t>
      </w:r>
      <w:r>
        <w:rPr>
          <w:rFonts w:cs="Arial"/>
          <w:szCs w:val="24"/>
        </w:rPr>
        <w:t>c</w:t>
      </w:r>
      <w:r w:rsidRPr="004C41BC">
        <w:rPr>
          <w:rFonts w:cs="Arial"/>
          <w:szCs w:val="24"/>
        </w:rPr>
        <w:t xml:space="preserve">ouncil's Chief Finance Officer (in the case of the county council the Chief Executive and Director </w:t>
      </w:r>
      <w:r w:rsidR="00482E33" w:rsidRPr="004C41BC">
        <w:rPr>
          <w:rFonts w:cs="Arial"/>
          <w:szCs w:val="24"/>
        </w:rPr>
        <w:t>of Resources</w:t>
      </w:r>
      <w:r w:rsidRPr="004C41BC">
        <w:rPr>
          <w:rFonts w:cs="Arial"/>
          <w:szCs w:val="24"/>
        </w:rPr>
        <w:t xml:space="preserve">) on the robustness of the estimates and the adequacy of the council's reserves. </w:t>
      </w:r>
    </w:p>
    <w:p w14:paraId="12F61381" w14:textId="77777777" w:rsidR="00AD5CB9" w:rsidRPr="004C41BC" w:rsidRDefault="00AD5CB9" w:rsidP="00AD5CB9">
      <w:pPr>
        <w:autoSpaceDE w:val="0"/>
        <w:autoSpaceDN w:val="0"/>
        <w:adjustRightInd w:val="0"/>
        <w:rPr>
          <w:rFonts w:cs="Arial"/>
          <w:i/>
          <w:szCs w:val="24"/>
        </w:rPr>
      </w:pPr>
    </w:p>
    <w:p w14:paraId="0556E946" w14:textId="77777777" w:rsidR="00AD5CB9" w:rsidRPr="004C41BC" w:rsidRDefault="00AD5CB9" w:rsidP="00AD5CB9">
      <w:pPr>
        <w:autoSpaceDE w:val="0"/>
        <w:autoSpaceDN w:val="0"/>
        <w:adjustRightInd w:val="0"/>
        <w:rPr>
          <w:rFonts w:cs="Arial"/>
          <w:b/>
          <w:szCs w:val="24"/>
        </w:rPr>
      </w:pPr>
      <w:r w:rsidRPr="004C41BC">
        <w:rPr>
          <w:rFonts w:cs="Arial"/>
          <w:b/>
          <w:szCs w:val="24"/>
        </w:rPr>
        <w:t>Robustness of the Estimates</w:t>
      </w:r>
    </w:p>
    <w:p w14:paraId="723FD8C0" w14:textId="77777777" w:rsidR="00AD5CB9" w:rsidRPr="004C41BC" w:rsidRDefault="00AD5CB9" w:rsidP="00AD5CB9">
      <w:pPr>
        <w:autoSpaceDE w:val="0"/>
        <w:autoSpaceDN w:val="0"/>
        <w:adjustRightInd w:val="0"/>
        <w:rPr>
          <w:rFonts w:cs="Arial"/>
          <w:szCs w:val="24"/>
        </w:rPr>
      </w:pPr>
    </w:p>
    <w:p w14:paraId="166B320B" w14:textId="77777777" w:rsidR="00AD5CB9" w:rsidRPr="004C41BC" w:rsidRDefault="00AD5CB9" w:rsidP="00AD5CB9">
      <w:pPr>
        <w:autoSpaceDE w:val="0"/>
        <w:autoSpaceDN w:val="0"/>
        <w:adjustRightInd w:val="0"/>
        <w:jc w:val="both"/>
        <w:rPr>
          <w:rFonts w:cs="Arial"/>
          <w:szCs w:val="24"/>
        </w:rPr>
      </w:pPr>
      <w:r w:rsidRPr="004C41BC">
        <w:rPr>
          <w:rFonts w:cs="Arial"/>
          <w:szCs w:val="24"/>
        </w:rPr>
        <w:t xml:space="preserve">This section is concerned with the scale of financial risks faced by the council as a result of the estimates and assumptions which support any budget. The basis of the estimates on which the budget has been prepared, as in previous years, relies on the forecast of activity and the impact of changes in policy previously agreed by the council. These forecasts are kept under review as part of the budget monitoring process and actions identified to address financial risks arising from changes in the forecast as they occur. </w:t>
      </w:r>
    </w:p>
    <w:p w14:paraId="296B7FE1" w14:textId="77777777" w:rsidR="00AD5CB9" w:rsidRPr="004C41BC" w:rsidRDefault="00AD5CB9" w:rsidP="00AD5CB9">
      <w:pPr>
        <w:autoSpaceDE w:val="0"/>
        <w:autoSpaceDN w:val="0"/>
        <w:adjustRightInd w:val="0"/>
        <w:jc w:val="both"/>
        <w:rPr>
          <w:rFonts w:cs="Arial"/>
          <w:szCs w:val="24"/>
        </w:rPr>
      </w:pPr>
    </w:p>
    <w:p w14:paraId="1C1590D7" w14:textId="6D70EC6C" w:rsidR="00AD5CB9" w:rsidRPr="004C41BC" w:rsidRDefault="00AD5CB9" w:rsidP="00AD5CB9">
      <w:pPr>
        <w:autoSpaceDE w:val="0"/>
        <w:autoSpaceDN w:val="0"/>
        <w:adjustRightInd w:val="0"/>
        <w:jc w:val="both"/>
        <w:rPr>
          <w:rFonts w:cs="Arial"/>
          <w:szCs w:val="24"/>
        </w:rPr>
      </w:pPr>
      <w:r w:rsidRPr="004C41BC">
        <w:rPr>
          <w:rFonts w:cs="Arial"/>
          <w:szCs w:val="24"/>
        </w:rPr>
        <w:t xml:space="preserve">The table below demonstrates the scale of just a small variance in the assumptions made, showing the potential impact of both a positive and negative movement of 1% across the main areas within the </w:t>
      </w:r>
      <w:r w:rsidR="00482E33" w:rsidRPr="004C41BC">
        <w:rPr>
          <w:rFonts w:cs="Arial"/>
          <w:szCs w:val="24"/>
        </w:rPr>
        <w:t>M</w:t>
      </w:r>
      <w:r w:rsidR="00482E33">
        <w:rPr>
          <w:rFonts w:cs="Arial"/>
          <w:szCs w:val="24"/>
        </w:rPr>
        <w:t>edium-Term</w:t>
      </w:r>
      <w:r>
        <w:rPr>
          <w:rFonts w:cs="Arial"/>
          <w:szCs w:val="24"/>
        </w:rPr>
        <w:t xml:space="preserve"> </w:t>
      </w:r>
      <w:r w:rsidRPr="004C41BC">
        <w:rPr>
          <w:rFonts w:cs="Arial"/>
          <w:szCs w:val="24"/>
        </w:rPr>
        <w:t>F</w:t>
      </w:r>
      <w:r>
        <w:rPr>
          <w:rFonts w:cs="Arial"/>
          <w:szCs w:val="24"/>
        </w:rPr>
        <w:t xml:space="preserve">inancial </w:t>
      </w:r>
      <w:r w:rsidRPr="004C41BC">
        <w:rPr>
          <w:rFonts w:cs="Arial"/>
          <w:szCs w:val="24"/>
        </w:rPr>
        <w:t>S</w:t>
      </w:r>
      <w:r>
        <w:rPr>
          <w:rFonts w:cs="Arial"/>
          <w:szCs w:val="24"/>
        </w:rPr>
        <w:t>trategy</w:t>
      </w:r>
      <w:r w:rsidRPr="004C41BC">
        <w:rPr>
          <w:rFonts w:cs="Arial"/>
          <w:szCs w:val="24"/>
        </w:rPr>
        <w:t>:</w:t>
      </w:r>
    </w:p>
    <w:p w14:paraId="02624121" w14:textId="77777777" w:rsidR="00AD5CB9" w:rsidRPr="004C41BC" w:rsidRDefault="00AD5CB9" w:rsidP="00AD5CB9">
      <w:pPr>
        <w:autoSpaceDE w:val="0"/>
        <w:autoSpaceDN w:val="0"/>
        <w:adjustRightInd w:val="0"/>
        <w:jc w:val="both"/>
        <w:rPr>
          <w:rFonts w:cs="Arial"/>
          <w:szCs w:val="24"/>
          <w:highlight w:val="cyan"/>
        </w:rPr>
      </w:pPr>
    </w:p>
    <w:tbl>
      <w:tblPr>
        <w:tblW w:w="0" w:type="auto"/>
        <w:tblCellMar>
          <w:left w:w="0" w:type="dxa"/>
          <w:right w:w="0" w:type="dxa"/>
        </w:tblCellMar>
        <w:tblLook w:val="04A0" w:firstRow="1" w:lastRow="0" w:firstColumn="1" w:lastColumn="0" w:noHBand="0" w:noVBand="1"/>
      </w:tblPr>
      <w:tblGrid>
        <w:gridCol w:w="5934"/>
        <w:gridCol w:w="3063"/>
      </w:tblGrid>
      <w:tr w:rsidR="00AD5CB9" w:rsidRPr="00BB0F7A" w14:paraId="2C831385" w14:textId="77777777" w:rsidTr="002121D5">
        <w:tc>
          <w:tcPr>
            <w:tcW w:w="5948" w:type="dxa"/>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tcPr>
          <w:p w14:paraId="0E694B3C" w14:textId="77777777" w:rsidR="00AD5CB9" w:rsidRPr="004C41BC" w:rsidRDefault="00AD5CB9" w:rsidP="002121D5">
            <w:pPr>
              <w:rPr>
                <w:rFonts w:eastAsia="Calibri" w:cs="Arial"/>
                <w:b/>
                <w:bCs/>
              </w:rPr>
            </w:pPr>
          </w:p>
        </w:tc>
        <w:tc>
          <w:tcPr>
            <w:tcW w:w="3068" w:type="dxa"/>
            <w:tcBorders>
              <w:top w:val="single" w:sz="8" w:space="0" w:color="auto"/>
              <w:left w:val="nil"/>
              <w:bottom w:val="single" w:sz="8" w:space="0" w:color="auto"/>
              <w:right w:val="single" w:sz="12" w:space="0" w:color="auto"/>
            </w:tcBorders>
            <w:tcMar>
              <w:top w:w="0" w:type="dxa"/>
              <w:left w:w="108" w:type="dxa"/>
              <w:bottom w:w="0" w:type="dxa"/>
              <w:right w:w="108" w:type="dxa"/>
            </w:tcMar>
            <w:hideMark/>
          </w:tcPr>
          <w:p w14:paraId="7877F1C5" w14:textId="77777777" w:rsidR="00AD5CB9" w:rsidRPr="00BB0F7A" w:rsidRDefault="00AD5CB9" w:rsidP="002121D5">
            <w:pPr>
              <w:jc w:val="center"/>
              <w:rPr>
                <w:rFonts w:cs="Arial"/>
              </w:rPr>
            </w:pPr>
            <w:r w:rsidRPr="00BB0F7A">
              <w:rPr>
                <w:rFonts w:cs="Arial"/>
              </w:rPr>
              <w:t>Potential Full - Year Impact (£m)</w:t>
            </w:r>
          </w:p>
        </w:tc>
      </w:tr>
      <w:tr w:rsidR="00AD5CB9" w:rsidRPr="00BB0F7A" w14:paraId="5F070D5D" w14:textId="77777777" w:rsidTr="002121D5">
        <w:tc>
          <w:tcPr>
            <w:tcW w:w="59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3B90A005" w14:textId="77777777" w:rsidR="00AD5CB9" w:rsidRPr="00BB0F7A" w:rsidRDefault="00AD5CB9" w:rsidP="002121D5">
            <w:pPr>
              <w:rPr>
                <w:rFonts w:cs="Arial"/>
              </w:rPr>
            </w:pPr>
            <w:r w:rsidRPr="00BB0F7A">
              <w:rPr>
                <w:rFonts w:cs="Arial"/>
              </w:rPr>
              <w:t>Funding - Council Tax (1%)</w:t>
            </w:r>
          </w:p>
        </w:tc>
        <w:tc>
          <w:tcPr>
            <w:tcW w:w="3068" w:type="dxa"/>
            <w:tcBorders>
              <w:top w:val="nil"/>
              <w:left w:val="nil"/>
              <w:bottom w:val="single" w:sz="8" w:space="0" w:color="auto"/>
              <w:right w:val="single" w:sz="12" w:space="0" w:color="auto"/>
            </w:tcBorders>
            <w:tcMar>
              <w:top w:w="0" w:type="dxa"/>
              <w:left w:w="108" w:type="dxa"/>
              <w:bottom w:w="0" w:type="dxa"/>
              <w:right w:w="108" w:type="dxa"/>
            </w:tcMar>
            <w:hideMark/>
          </w:tcPr>
          <w:p w14:paraId="3657BD54" w14:textId="4EA5C434" w:rsidR="00AD5CB9" w:rsidRPr="00BB0F7A" w:rsidRDefault="00AD5CB9" w:rsidP="002121D5">
            <w:pPr>
              <w:jc w:val="right"/>
              <w:rPr>
                <w:rFonts w:cs="Arial"/>
              </w:rPr>
            </w:pPr>
            <w:r w:rsidRPr="00BB0F7A">
              <w:rPr>
                <w:rFonts w:cs="Arial"/>
              </w:rPr>
              <w:t>+/- 5.</w:t>
            </w:r>
            <w:r w:rsidR="00263C37">
              <w:rPr>
                <w:rFonts w:cs="Arial"/>
              </w:rPr>
              <w:t>700</w:t>
            </w:r>
          </w:p>
        </w:tc>
      </w:tr>
      <w:tr w:rsidR="00AD5CB9" w:rsidRPr="00BB0F7A" w14:paraId="576EB1EF" w14:textId="77777777" w:rsidTr="002121D5">
        <w:tc>
          <w:tcPr>
            <w:tcW w:w="59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2C989E6D" w14:textId="77777777" w:rsidR="00AD5CB9" w:rsidRPr="00BB0F7A" w:rsidRDefault="00AD5CB9" w:rsidP="002121D5">
            <w:pPr>
              <w:rPr>
                <w:rFonts w:cs="Arial"/>
              </w:rPr>
            </w:pPr>
            <w:r w:rsidRPr="00BB0F7A">
              <w:rPr>
                <w:rFonts w:cs="Arial"/>
              </w:rPr>
              <w:t>Pay (1%)</w:t>
            </w:r>
          </w:p>
        </w:tc>
        <w:tc>
          <w:tcPr>
            <w:tcW w:w="3068" w:type="dxa"/>
            <w:tcBorders>
              <w:top w:val="nil"/>
              <w:left w:val="nil"/>
              <w:bottom w:val="single" w:sz="8" w:space="0" w:color="auto"/>
              <w:right w:val="single" w:sz="12" w:space="0" w:color="auto"/>
            </w:tcBorders>
            <w:tcMar>
              <w:top w:w="0" w:type="dxa"/>
              <w:left w:w="108" w:type="dxa"/>
              <w:bottom w:w="0" w:type="dxa"/>
              <w:right w:w="108" w:type="dxa"/>
            </w:tcMar>
            <w:hideMark/>
          </w:tcPr>
          <w:p w14:paraId="760275D0" w14:textId="675534F0" w:rsidR="00AD5CB9" w:rsidRPr="00BB0F7A" w:rsidRDefault="00AD5CB9" w:rsidP="002121D5">
            <w:pPr>
              <w:jc w:val="right"/>
              <w:rPr>
                <w:rFonts w:cs="Arial"/>
              </w:rPr>
            </w:pPr>
            <w:r w:rsidRPr="00BB0F7A">
              <w:rPr>
                <w:rFonts w:cs="Arial"/>
              </w:rPr>
              <w:t xml:space="preserve">+/- </w:t>
            </w:r>
            <w:r w:rsidR="00263C37">
              <w:rPr>
                <w:rFonts w:cs="Arial"/>
              </w:rPr>
              <w:t>3.290</w:t>
            </w:r>
          </w:p>
        </w:tc>
      </w:tr>
      <w:tr w:rsidR="00AD5CB9" w:rsidRPr="00BB0F7A" w14:paraId="7B6D596A" w14:textId="77777777" w:rsidTr="002121D5">
        <w:tc>
          <w:tcPr>
            <w:tcW w:w="59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4CAD03F3" w14:textId="77777777" w:rsidR="00AD5CB9" w:rsidRPr="00BB0F7A" w:rsidRDefault="00AD5CB9" w:rsidP="002121D5">
            <w:pPr>
              <w:rPr>
                <w:rFonts w:cs="Arial"/>
              </w:rPr>
            </w:pPr>
            <w:r w:rsidRPr="00BB0F7A">
              <w:rPr>
                <w:rFonts w:cs="Arial"/>
              </w:rPr>
              <w:t>Price Inflation (1%)</w:t>
            </w:r>
          </w:p>
        </w:tc>
        <w:tc>
          <w:tcPr>
            <w:tcW w:w="3068" w:type="dxa"/>
            <w:tcBorders>
              <w:top w:val="nil"/>
              <w:left w:val="nil"/>
              <w:bottom w:val="single" w:sz="8" w:space="0" w:color="auto"/>
              <w:right w:val="single" w:sz="12" w:space="0" w:color="auto"/>
            </w:tcBorders>
            <w:tcMar>
              <w:top w:w="0" w:type="dxa"/>
              <w:left w:w="108" w:type="dxa"/>
              <w:bottom w:w="0" w:type="dxa"/>
              <w:right w:w="108" w:type="dxa"/>
            </w:tcMar>
            <w:hideMark/>
          </w:tcPr>
          <w:p w14:paraId="247D7139" w14:textId="41539DD7" w:rsidR="00AD5CB9" w:rsidRPr="00BB0F7A" w:rsidRDefault="00AD5CB9" w:rsidP="002121D5">
            <w:pPr>
              <w:jc w:val="right"/>
              <w:rPr>
                <w:rFonts w:cs="Arial"/>
              </w:rPr>
            </w:pPr>
            <w:r w:rsidRPr="00BB0F7A">
              <w:rPr>
                <w:rFonts w:cs="Arial"/>
              </w:rPr>
              <w:t>+/- 6.</w:t>
            </w:r>
            <w:r w:rsidR="00263C37">
              <w:rPr>
                <w:rFonts w:cs="Arial"/>
              </w:rPr>
              <w:t>990</w:t>
            </w:r>
          </w:p>
        </w:tc>
      </w:tr>
      <w:tr w:rsidR="00AD5CB9" w:rsidRPr="00BB0F7A" w14:paraId="406CF20B" w14:textId="77777777" w:rsidTr="002121D5">
        <w:tc>
          <w:tcPr>
            <w:tcW w:w="5948"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14:paraId="2D0C432D" w14:textId="77777777" w:rsidR="00AD5CB9" w:rsidRPr="00BB0F7A" w:rsidRDefault="00AD5CB9" w:rsidP="002121D5">
            <w:pPr>
              <w:rPr>
                <w:rFonts w:cs="Arial"/>
              </w:rPr>
            </w:pPr>
            <w:r w:rsidRPr="00BB0F7A">
              <w:rPr>
                <w:rFonts w:cs="Arial"/>
              </w:rPr>
              <w:t>Demand (1%)</w:t>
            </w:r>
          </w:p>
        </w:tc>
        <w:tc>
          <w:tcPr>
            <w:tcW w:w="3068" w:type="dxa"/>
            <w:tcBorders>
              <w:top w:val="nil"/>
              <w:left w:val="nil"/>
              <w:bottom w:val="single" w:sz="12" w:space="0" w:color="auto"/>
              <w:right w:val="single" w:sz="12" w:space="0" w:color="auto"/>
            </w:tcBorders>
            <w:tcMar>
              <w:top w:w="0" w:type="dxa"/>
              <w:left w:w="108" w:type="dxa"/>
              <w:bottom w:w="0" w:type="dxa"/>
              <w:right w:w="108" w:type="dxa"/>
            </w:tcMar>
            <w:hideMark/>
          </w:tcPr>
          <w:p w14:paraId="4A79DF00" w14:textId="7128282B" w:rsidR="00AD5CB9" w:rsidRPr="00BB0F7A" w:rsidRDefault="00AD5CB9" w:rsidP="002121D5">
            <w:pPr>
              <w:jc w:val="right"/>
              <w:rPr>
                <w:rFonts w:cs="Arial"/>
              </w:rPr>
            </w:pPr>
            <w:r w:rsidRPr="00BB0F7A">
              <w:rPr>
                <w:rFonts w:cs="Arial"/>
              </w:rPr>
              <w:t>+/- 5.</w:t>
            </w:r>
            <w:r w:rsidR="00263C37">
              <w:rPr>
                <w:rFonts w:cs="Arial"/>
              </w:rPr>
              <w:t>230</w:t>
            </w:r>
          </w:p>
        </w:tc>
      </w:tr>
    </w:tbl>
    <w:p w14:paraId="18D519D8" w14:textId="68E72D94" w:rsidR="00B74D8E" w:rsidRPr="000D3048" w:rsidRDefault="4D5BC115" w:rsidP="00B74D8E">
      <w:pPr>
        <w:jc w:val="both"/>
      </w:pPr>
      <w:r>
        <w:t xml:space="preserve"> </w:t>
      </w:r>
    </w:p>
    <w:p w14:paraId="1A16C602" w14:textId="77777777" w:rsidR="000F6E9F" w:rsidRPr="00DE7914" w:rsidRDefault="000F6E9F" w:rsidP="000F6E9F">
      <w:pPr>
        <w:autoSpaceDE w:val="0"/>
        <w:autoSpaceDN w:val="0"/>
        <w:adjustRightInd w:val="0"/>
        <w:jc w:val="both"/>
        <w:rPr>
          <w:rFonts w:cs="Arial"/>
          <w:szCs w:val="24"/>
        </w:rPr>
      </w:pPr>
      <w:r w:rsidRPr="004C41BC">
        <w:rPr>
          <w:rFonts w:cs="Arial"/>
          <w:szCs w:val="24"/>
        </w:rPr>
        <w:t xml:space="preserve">A number of </w:t>
      </w:r>
      <w:r w:rsidRPr="00DE7914">
        <w:rPr>
          <w:rFonts w:cs="Arial"/>
          <w:szCs w:val="24"/>
        </w:rPr>
        <w:t>specific risks remain within the budget as follows:</w:t>
      </w:r>
    </w:p>
    <w:p w14:paraId="76B6EA9A" w14:textId="77777777" w:rsidR="000F6E9F" w:rsidRPr="00DE7914" w:rsidRDefault="000F6E9F" w:rsidP="000F6E9F">
      <w:pPr>
        <w:autoSpaceDE w:val="0"/>
        <w:autoSpaceDN w:val="0"/>
        <w:adjustRightInd w:val="0"/>
        <w:rPr>
          <w:rFonts w:cs="Arial"/>
          <w:i/>
          <w:szCs w:val="24"/>
        </w:rPr>
      </w:pPr>
    </w:p>
    <w:p w14:paraId="625318C5" w14:textId="77777777" w:rsidR="000F6E9F" w:rsidRPr="00DE7914" w:rsidRDefault="000F6E9F" w:rsidP="000F6E9F">
      <w:pPr>
        <w:numPr>
          <w:ilvl w:val="0"/>
          <w:numId w:val="5"/>
        </w:numPr>
        <w:autoSpaceDE w:val="0"/>
        <w:autoSpaceDN w:val="0"/>
        <w:adjustRightInd w:val="0"/>
        <w:ind w:left="142" w:hanging="142"/>
        <w:outlineLvl w:val="0"/>
        <w:rPr>
          <w:rFonts w:cs="Arial"/>
          <w:b/>
          <w:szCs w:val="24"/>
        </w:rPr>
      </w:pPr>
      <w:r w:rsidRPr="00DE7914">
        <w:rPr>
          <w:rFonts w:cs="Arial"/>
          <w:szCs w:val="24"/>
        </w:rPr>
        <w:t xml:space="preserve"> </w:t>
      </w:r>
      <w:r w:rsidRPr="00DE7914">
        <w:rPr>
          <w:rFonts w:cs="Arial"/>
          <w:b/>
          <w:szCs w:val="24"/>
        </w:rPr>
        <w:t>Government Funding</w:t>
      </w:r>
    </w:p>
    <w:p w14:paraId="28EA1D1A" w14:textId="77777777" w:rsidR="000F6E9F" w:rsidRPr="00DE7914" w:rsidRDefault="000F6E9F" w:rsidP="000F6E9F">
      <w:pPr>
        <w:autoSpaceDE w:val="0"/>
        <w:autoSpaceDN w:val="0"/>
        <w:adjustRightInd w:val="0"/>
        <w:ind w:left="142"/>
        <w:outlineLvl w:val="0"/>
        <w:rPr>
          <w:rFonts w:cs="Arial"/>
          <w:szCs w:val="24"/>
        </w:rPr>
      </w:pPr>
    </w:p>
    <w:p w14:paraId="386B38A0" w14:textId="04F86CEA" w:rsidR="000F6E9F" w:rsidRPr="00DE7914" w:rsidRDefault="000F6E9F" w:rsidP="000F6E9F">
      <w:pPr>
        <w:tabs>
          <w:tab w:val="left" w:pos="0"/>
        </w:tabs>
        <w:autoSpaceDE w:val="0"/>
        <w:autoSpaceDN w:val="0"/>
        <w:adjustRightInd w:val="0"/>
        <w:jc w:val="both"/>
        <w:rPr>
          <w:rFonts w:cs="Arial"/>
          <w:szCs w:val="24"/>
        </w:rPr>
      </w:pPr>
      <w:r w:rsidRPr="00DE7914">
        <w:rPr>
          <w:rFonts w:cs="Arial"/>
          <w:szCs w:val="24"/>
        </w:rPr>
        <w:t>On 2</w:t>
      </w:r>
      <w:r>
        <w:rPr>
          <w:rFonts w:cs="Arial"/>
          <w:szCs w:val="24"/>
        </w:rPr>
        <w:t xml:space="preserve">7 October 2021 </w:t>
      </w:r>
      <w:r w:rsidRPr="00DE7914">
        <w:rPr>
          <w:rFonts w:cs="Arial"/>
          <w:szCs w:val="24"/>
        </w:rPr>
        <w:t>the Chancellor announced the Spending Review 202</w:t>
      </w:r>
      <w:r w:rsidR="001D61AE">
        <w:rPr>
          <w:rFonts w:cs="Arial"/>
          <w:szCs w:val="24"/>
        </w:rPr>
        <w:t>1</w:t>
      </w:r>
      <w:r w:rsidRPr="00DE7914">
        <w:rPr>
          <w:rFonts w:cs="Arial"/>
          <w:szCs w:val="24"/>
        </w:rPr>
        <w:t xml:space="preserve"> (SR2</w:t>
      </w:r>
      <w:r w:rsidR="001D61AE">
        <w:rPr>
          <w:rFonts w:cs="Arial"/>
          <w:szCs w:val="24"/>
        </w:rPr>
        <w:t>1</w:t>
      </w:r>
      <w:r w:rsidRPr="00DE7914">
        <w:rPr>
          <w:rFonts w:cs="Arial"/>
          <w:szCs w:val="24"/>
        </w:rPr>
        <w:t>). Whilst a multi-year Spending Review was originally expected, the Chancellor and the Prime Minister decided to conduct a one-year Spending Review, setting department’s resource and capital budgets for 202</w:t>
      </w:r>
      <w:r w:rsidR="001D61AE">
        <w:rPr>
          <w:rFonts w:cs="Arial"/>
          <w:szCs w:val="24"/>
        </w:rPr>
        <w:t>2</w:t>
      </w:r>
      <w:r w:rsidRPr="00DE7914">
        <w:rPr>
          <w:rFonts w:cs="Arial"/>
          <w:szCs w:val="24"/>
        </w:rPr>
        <w:t>/2</w:t>
      </w:r>
      <w:r w:rsidR="001D61AE">
        <w:rPr>
          <w:rFonts w:cs="Arial"/>
          <w:szCs w:val="24"/>
        </w:rPr>
        <w:t>3</w:t>
      </w:r>
      <w:r w:rsidRPr="00DE7914">
        <w:rPr>
          <w:rFonts w:cs="Arial"/>
          <w:szCs w:val="24"/>
        </w:rPr>
        <w:t xml:space="preserve"> only in order to prioritise the response to C</w:t>
      </w:r>
      <w:r>
        <w:rPr>
          <w:rFonts w:cs="Arial"/>
          <w:szCs w:val="24"/>
        </w:rPr>
        <w:t>OVID</w:t>
      </w:r>
      <w:r w:rsidRPr="00DE7914">
        <w:rPr>
          <w:rFonts w:cs="Arial"/>
          <w:szCs w:val="24"/>
        </w:rPr>
        <w:t>-19 and focus on supporting jobs.</w:t>
      </w:r>
    </w:p>
    <w:p w14:paraId="04682539" w14:textId="77777777" w:rsidR="000F6E9F" w:rsidRPr="00DE7914" w:rsidRDefault="000F6E9F" w:rsidP="000F6E9F">
      <w:pPr>
        <w:tabs>
          <w:tab w:val="left" w:pos="0"/>
        </w:tabs>
        <w:autoSpaceDE w:val="0"/>
        <w:autoSpaceDN w:val="0"/>
        <w:adjustRightInd w:val="0"/>
        <w:jc w:val="both"/>
        <w:rPr>
          <w:rFonts w:cs="Arial"/>
          <w:szCs w:val="24"/>
        </w:rPr>
      </w:pPr>
    </w:p>
    <w:p w14:paraId="2A68C00B" w14:textId="0C55CE7F" w:rsidR="000F6E9F" w:rsidRPr="00DE7914" w:rsidRDefault="000F6E9F" w:rsidP="000F6E9F">
      <w:pPr>
        <w:tabs>
          <w:tab w:val="left" w:pos="0"/>
        </w:tabs>
        <w:autoSpaceDE w:val="0"/>
        <w:autoSpaceDN w:val="0"/>
        <w:adjustRightInd w:val="0"/>
        <w:jc w:val="both"/>
        <w:rPr>
          <w:rFonts w:cs="Arial"/>
          <w:szCs w:val="24"/>
        </w:rPr>
      </w:pPr>
      <w:r w:rsidRPr="00DE7914">
        <w:rPr>
          <w:rFonts w:cs="Arial"/>
          <w:szCs w:val="24"/>
        </w:rPr>
        <w:t>The Provisional Settlement was announced on 1</w:t>
      </w:r>
      <w:r w:rsidR="001D61AE">
        <w:rPr>
          <w:rFonts w:cs="Arial"/>
          <w:szCs w:val="24"/>
        </w:rPr>
        <w:t>6</w:t>
      </w:r>
      <w:r w:rsidRPr="00DE7914">
        <w:rPr>
          <w:rFonts w:cs="Arial"/>
          <w:szCs w:val="24"/>
        </w:rPr>
        <w:t xml:space="preserve"> December 20</w:t>
      </w:r>
      <w:r w:rsidR="001D61AE">
        <w:rPr>
          <w:rFonts w:cs="Arial"/>
          <w:szCs w:val="24"/>
        </w:rPr>
        <w:t>21</w:t>
      </w:r>
      <w:r w:rsidRPr="00DE7914">
        <w:rPr>
          <w:rFonts w:cs="Arial"/>
          <w:szCs w:val="24"/>
        </w:rPr>
        <w:t xml:space="preserve"> and confirmed the funding streams that were included within SR2</w:t>
      </w:r>
      <w:r w:rsidR="001D61AE">
        <w:rPr>
          <w:rFonts w:cs="Arial"/>
          <w:szCs w:val="24"/>
        </w:rPr>
        <w:t>1</w:t>
      </w:r>
      <w:r w:rsidRPr="00DE7914">
        <w:rPr>
          <w:rFonts w:cs="Arial"/>
          <w:szCs w:val="24"/>
        </w:rPr>
        <w:t xml:space="preserve"> and provided more detailed information and allocations for councils.</w:t>
      </w:r>
    </w:p>
    <w:p w14:paraId="0F9C32A7" w14:textId="77777777" w:rsidR="000F6E9F" w:rsidRPr="00DE7914" w:rsidRDefault="000F6E9F" w:rsidP="000F6E9F">
      <w:pPr>
        <w:tabs>
          <w:tab w:val="left" w:pos="0"/>
        </w:tabs>
        <w:autoSpaceDE w:val="0"/>
        <w:autoSpaceDN w:val="0"/>
        <w:adjustRightInd w:val="0"/>
        <w:jc w:val="both"/>
        <w:rPr>
          <w:rFonts w:cs="Arial"/>
          <w:szCs w:val="24"/>
        </w:rPr>
      </w:pPr>
    </w:p>
    <w:p w14:paraId="764FDD2C" w14:textId="1C6CFDF6" w:rsidR="000F6E9F" w:rsidRPr="00DE7914" w:rsidRDefault="000F6E9F" w:rsidP="000F6E9F">
      <w:pPr>
        <w:tabs>
          <w:tab w:val="left" w:pos="0"/>
        </w:tabs>
        <w:autoSpaceDE w:val="0"/>
        <w:autoSpaceDN w:val="0"/>
        <w:adjustRightInd w:val="0"/>
        <w:jc w:val="both"/>
        <w:rPr>
          <w:rFonts w:cs="Arial"/>
          <w:szCs w:val="24"/>
        </w:rPr>
      </w:pPr>
      <w:r w:rsidRPr="00DE7914">
        <w:rPr>
          <w:rFonts w:cs="Arial"/>
          <w:szCs w:val="24"/>
        </w:rPr>
        <w:t xml:space="preserve">The </w:t>
      </w:r>
      <w:r w:rsidR="00482E33" w:rsidRPr="00DE7914">
        <w:rPr>
          <w:rFonts w:cs="Arial"/>
          <w:szCs w:val="24"/>
        </w:rPr>
        <w:t>M</w:t>
      </w:r>
      <w:r w:rsidR="00482E33">
        <w:rPr>
          <w:rFonts w:cs="Arial"/>
          <w:szCs w:val="24"/>
        </w:rPr>
        <w:t>edium-Term</w:t>
      </w:r>
      <w:r>
        <w:rPr>
          <w:rFonts w:cs="Arial"/>
          <w:szCs w:val="24"/>
        </w:rPr>
        <w:t xml:space="preserve"> </w:t>
      </w:r>
      <w:r w:rsidRPr="00DE7914">
        <w:rPr>
          <w:rFonts w:cs="Arial"/>
          <w:szCs w:val="24"/>
        </w:rPr>
        <w:t>F</w:t>
      </w:r>
      <w:r>
        <w:rPr>
          <w:rFonts w:cs="Arial"/>
          <w:szCs w:val="24"/>
        </w:rPr>
        <w:t xml:space="preserve">inancial </w:t>
      </w:r>
      <w:r w:rsidRPr="00DE7914">
        <w:rPr>
          <w:rFonts w:cs="Arial"/>
          <w:szCs w:val="24"/>
        </w:rPr>
        <w:t>S</w:t>
      </w:r>
      <w:r>
        <w:rPr>
          <w:rFonts w:cs="Arial"/>
          <w:szCs w:val="24"/>
        </w:rPr>
        <w:t>trategy</w:t>
      </w:r>
      <w:r w:rsidRPr="00DE7914">
        <w:rPr>
          <w:rFonts w:cs="Arial"/>
          <w:szCs w:val="24"/>
        </w:rPr>
        <w:t xml:space="preserve"> contains a best estimate of the funding envelope that the county council expects to achieve over coming years</w:t>
      </w:r>
      <w:r w:rsidR="00141FE8">
        <w:rPr>
          <w:rFonts w:cs="Arial"/>
          <w:szCs w:val="24"/>
        </w:rPr>
        <w:t xml:space="preserve"> based on a lack of any certainty regarding funding levels post 2022/23. </w:t>
      </w:r>
      <w:r w:rsidRPr="00DE7914">
        <w:rPr>
          <w:rFonts w:cs="Arial"/>
          <w:szCs w:val="24"/>
        </w:rPr>
        <w:t xml:space="preserve"> </w:t>
      </w:r>
      <w:r w:rsidR="00141FE8">
        <w:rPr>
          <w:rFonts w:cs="Arial"/>
          <w:szCs w:val="24"/>
        </w:rPr>
        <w:t>W</w:t>
      </w:r>
      <w:r w:rsidRPr="00DE7914">
        <w:rPr>
          <w:rFonts w:cs="Arial"/>
          <w:szCs w:val="24"/>
        </w:rPr>
        <w:t>e anticipate the delayed fair funding review</w:t>
      </w:r>
      <w:r w:rsidR="00141FE8">
        <w:rPr>
          <w:rFonts w:cs="Arial"/>
          <w:szCs w:val="24"/>
        </w:rPr>
        <w:t xml:space="preserve"> and</w:t>
      </w:r>
      <w:r w:rsidRPr="00DE7914">
        <w:rPr>
          <w:rFonts w:cs="Arial"/>
          <w:szCs w:val="24"/>
        </w:rPr>
        <w:t xml:space="preserve"> business rates system review </w:t>
      </w:r>
      <w:r w:rsidR="00141FE8">
        <w:rPr>
          <w:rFonts w:cs="Arial"/>
          <w:szCs w:val="24"/>
        </w:rPr>
        <w:t>to take effect from 2023/24</w:t>
      </w:r>
      <w:r w:rsidRPr="00DE7914">
        <w:rPr>
          <w:rFonts w:cs="Arial"/>
          <w:szCs w:val="24"/>
        </w:rPr>
        <w:t xml:space="preserve">.  </w:t>
      </w:r>
    </w:p>
    <w:p w14:paraId="70E4DD23" w14:textId="77777777" w:rsidR="000F6E9F" w:rsidRDefault="000F6E9F" w:rsidP="000F6E9F">
      <w:pPr>
        <w:tabs>
          <w:tab w:val="left" w:pos="0"/>
        </w:tabs>
        <w:autoSpaceDE w:val="0"/>
        <w:autoSpaceDN w:val="0"/>
        <w:adjustRightInd w:val="0"/>
        <w:jc w:val="both"/>
        <w:rPr>
          <w:rFonts w:cs="Arial"/>
          <w:szCs w:val="24"/>
          <w:highlight w:val="cyan"/>
        </w:rPr>
      </w:pPr>
    </w:p>
    <w:p w14:paraId="1704872C" w14:textId="77777777" w:rsidR="000F6E9F" w:rsidRPr="00DE7914" w:rsidRDefault="000F6E9F" w:rsidP="000F6E9F">
      <w:pPr>
        <w:tabs>
          <w:tab w:val="left" w:pos="0"/>
        </w:tabs>
        <w:autoSpaceDE w:val="0"/>
        <w:autoSpaceDN w:val="0"/>
        <w:adjustRightInd w:val="0"/>
        <w:jc w:val="both"/>
        <w:rPr>
          <w:rFonts w:cs="Arial"/>
          <w:szCs w:val="24"/>
        </w:rPr>
      </w:pPr>
      <w:r w:rsidRPr="00DE7914">
        <w:rPr>
          <w:rFonts w:cs="Arial"/>
          <w:szCs w:val="24"/>
        </w:rPr>
        <w:t>Assumptions have been made that include the continuation of social care grants, improved better care fund and that business rates will chan</w:t>
      </w:r>
      <w:r>
        <w:rPr>
          <w:rFonts w:cs="Arial"/>
          <w:szCs w:val="24"/>
        </w:rPr>
        <w:t>ge to a 75% share from 2022/23.</w:t>
      </w:r>
    </w:p>
    <w:p w14:paraId="23C2556A" w14:textId="77777777" w:rsidR="000F6E9F" w:rsidRPr="004C41BC" w:rsidRDefault="000F6E9F" w:rsidP="000F6E9F">
      <w:pPr>
        <w:tabs>
          <w:tab w:val="left" w:pos="0"/>
        </w:tabs>
        <w:autoSpaceDE w:val="0"/>
        <w:autoSpaceDN w:val="0"/>
        <w:adjustRightInd w:val="0"/>
        <w:jc w:val="both"/>
        <w:rPr>
          <w:rFonts w:cs="Arial"/>
          <w:szCs w:val="24"/>
          <w:highlight w:val="cyan"/>
        </w:rPr>
      </w:pPr>
    </w:p>
    <w:p w14:paraId="71538059" w14:textId="496ADC19" w:rsidR="000F6E9F" w:rsidRPr="00691A14" w:rsidRDefault="000F6E9F" w:rsidP="000F6E9F">
      <w:pPr>
        <w:autoSpaceDE w:val="0"/>
        <w:autoSpaceDN w:val="0"/>
        <w:adjustRightInd w:val="0"/>
        <w:jc w:val="both"/>
        <w:outlineLvl w:val="0"/>
        <w:rPr>
          <w:rFonts w:cs="Arial"/>
          <w:szCs w:val="24"/>
        </w:rPr>
      </w:pPr>
      <w:r w:rsidRPr="00DE7914">
        <w:rPr>
          <w:rFonts w:cs="Arial"/>
          <w:szCs w:val="24"/>
        </w:rPr>
        <w:t xml:space="preserve">As part of the provisional </w:t>
      </w:r>
      <w:r w:rsidR="00482E33" w:rsidRPr="00DE7914">
        <w:rPr>
          <w:rFonts w:cs="Arial"/>
          <w:szCs w:val="24"/>
        </w:rPr>
        <w:t>settlement,</w:t>
      </w:r>
      <w:r w:rsidRPr="00DE7914">
        <w:rPr>
          <w:rFonts w:cs="Arial"/>
          <w:szCs w:val="24"/>
        </w:rPr>
        <w:t xml:space="preserve"> it was confirmed that the maximum increase that we will be able to apply to council tax, without a referendum, will be 1.99%. In </w:t>
      </w:r>
      <w:r w:rsidR="00482E33" w:rsidRPr="00DE7914">
        <w:rPr>
          <w:rFonts w:cs="Arial"/>
          <w:szCs w:val="24"/>
        </w:rPr>
        <w:t>addition,</w:t>
      </w:r>
      <w:r w:rsidRPr="00DE7914">
        <w:rPr>
          <w:rFonts w:cs="Arial"/>
          <w:szCs w:val="24"/>
        </w:rPr>
        <w:t xml:space="preserve"> those authorities with responsibility for adult social care have the ability to raise council tax by an additional </w:t>
      </w:r>
      <w:r w:rsidR="001D61AE">
        <w:rPr>
          <w:rFonts w:cs="Arial"/>
          <w:szCs w:val="24"/>
        </w:rPr>
        <w:t>1</w:t>
      </w:r>
      <w:r w:rsidRPr="00DE7914">
        <w:rPr>
          <w:rFonts w:cs="Arial"/>
          <w:szCs w:val="24"/>
        </w:rPr>
        <w:t xml:space="preserve">% through as adult social care precept. It has also been confirmed that </w:t>
      </w:r>
      <w:r w:rsidR="00141FE8">
        <w:rPr>
          <w:rFonts w:cs="Arial"/>
          <w:szCs w:val="24"/>
        </w:rPr>
        <w:t xml:space="preserve">any of the </w:t>
      </w:r>
      <w:r w:rsidR="001D61AE">
        <w:rPr>
          <w:rFonts w:cs="Arial"/>
          <w:szCs w:val="24"/>
        </w:rPr>
        <w:t xml:space="preserve">previous Adult Social care precept </w:t>
      </w:r>
      <w:r w:rsidR="00141FE8">
        <w:rPr>
          <w:rFonts w:cs="Arial"/>
          <w:szCs w:val="24"/>
        </w:rPr>
        <w:t xml:space="preserve">flexibility allowed but not taken in 2021/22 </w:t>
      </w:r>
      <w:r w:rsidR="001D61AE">
        <w:rPr>
          <w:rFonts w:cs="Arial"/>
          <w:szCs w:val="24"/>
        </w:rPr>
        <w:t xml:space="preserve">can be </w:t>
      </w:r>
      <w:r w:rsidR="00141FE8">
        <w:rPr>
          <w:rFonts w:cs="Arial"/>
          <w:szCs w:val="24"/>
        </w:rPr>
        <w:t xml:space="preserve">applied </w:t>
      </w:r>
      <w:r w:rsidR="001D61AE">
        <w:rPr>
          <w:rFonts w:cs="Arial"/>
          <w:szCs w:val="24"/>
        </w:rPr>
        <w:t>in 2022/23</w:t>
      </w:r>
      <w:r w:rsidRPr="00691A14">
        <w:rPr>
          <w:rFonts w:cs="Arial"/>
          <w:szCs w:val="24"/>
        </w:rPr>
        <w:t xml:space="preserve">.  </w:t>
      </w:r>
    </w:p>
    <w:p w14:paraId="2B6FC30E" w14:textId="77777777" w:rsidR="000F6E9F" w:rsidRPr="00691A14" w:rsidRDefault="000F6E9F" w:rsidP="000F6E9F">
      <w:pPr>
        <w:autoSpaceDE w:val="0"/>
        <w:autoSpaceDN w:val="0"/>
        <w:adjustRightInd w:val="0"/>
        <w:outlineLvl w:val="0"/>
        <w:rPr>
          <w:rFonts w:cs="Arial"/>
          <w:szCs w:val="24"/>
        </w:rPr>
      </w:pPr>
    </w:p>
    <w:p w14:paraId="799AB923" w14:textId="77777777" w:rsidR="000F6E9F" w:rsidRPr="00691A14" w:rsidRDefault="000F6E9F" w:rsidP="000F6E9F">
      <w:pPr>
        <w:numPr>
          <w:ilvl w:val="0"/>
          <w:numId w:val="5"/>
        </w:numPr>
        <w:autoSpaceDE w:val="0"/>
        <w:autoSpaceDN w:val="0"/>
        <w:adjustRightInd w:val="0"/>
        <w:ind w:left="426" w:hanging="426"/>
        <w:outlineLvl w:val="0"/>
        <w:rPr>
          <w:rFonts w:cs="Arial"/>
          <w:b/>
          <w:szCs w:val="24"/>
        </w:rPr>
      </w:pPr>
      <w:r w:rsidRPr="00691A14">
        <w:rPr>
          <w:rFonts w:cs="Arial"/>
          <w:b/>
          <w:szCs w:val="24"/>
        </w:rPr>
        <w:t>Service Demand</w:t>
      </w:r>
    </w:p>
    <w:p w14:paraId="3FBD77BD" w14:textId="77777777" w:rsidR="000F6E9F" w:rsidRPr="00691A14" w:rsidRDefault="000F6E9F" w:rsidP="000F6E9F">
      <w:pPr>
        <w:autoSpaceDE w:val="0"/>
        <w:autoSpaceDN w:val="0"/>
        <w:adjustRightInd w:val="0"/>
        <w:ind w:left="142"/>
        <w:outlineLvl w:val="0"/>
        <w:rPr>
          <w:rFonts w:cs="Arial"/>
          <w:szCs w:val="24"/>
        </w:rPr>
      </w:pPr>
    </w:p>
    <w:p w14:paraId="62A76998" w14:textId="6F813A44" w:rsidR="000F6E9F" w:rsidRPr="00DE7914" w:rsidRDefault="000F6E9F" w:rsidP="000F6E9F">
      <w:pPr>
        <w:autoSpaceDE w:val="0"/>
        <w:autoSpaceDN w:val="0"/>
        <w:adjustRightInd w:val="0"/>
        <w:jc w:val="both"/>
        <w:rPr>
          <w:rFonts w:cs="Arial"/>
          <w:szCs w:val="24"/>
        </w:rPr>
      </w:pPr>
      <w:r w:rsidRPr="00691A14">
        <w:rPr>
          <w:rFonts w:cs="Arial"/>
          <w:szCs w:val="24"/>
        </w:rPr>
        <w:t>In 202</w:t>
      </w:r>
      <w:r w:rsidR="001D61AE">
        <w:rPr>
          <w:rFonts w:cs="Arial"/>
          <w:szCs w:val="24"/>
        </w:rPr>
        <w:t>1</w:t>
      </w:r>
      <w:r w:rsidRPr="00691A14">
        <w:rPr>
          <w:rFonts w:cs="Arial"/>
          <w:szCs w:val="24"/>
        </w:rPr>
        <w:t>/2</w:t>
      </w:r>
      <w:r w:rsidR="001D61AE">
        <w:rPr>
          <w:rFonts w:cs="Arial"/>
          <w:szCs w:val="24"/>
        </w:rPr>
        <w:t>2</w:t>
      </w:r>
      <w:r w:rsidRPr="00691A14">
        <w:rPr>
          <w:rFonts w:cs="Arial"/>
          <w:szCs w:val="24"/>
        </w:rPr>
        <w:t xml:space="preserve"> we have seen the impact of the pandemic on demand levels, with areas such as nursing and residential</w:t>
      </w:r>
      <w:r>
        <w:rPr>
          <w:rFonts w:cs="Arial"/>
          <w:szCs w:val="24"/>
        </w:rPr>
        <w:t xml:space="preserve"> </w:t>
      </w:r>
      <w:r w:rsidRPr="00DE7914">
        <w:rPr>
          <w:rFonts w:cs="Arial"/>
          <w:szCs w:val="24"/>
        </w:rPr>
        <w:t xml:space="preserve">care </w:t>
      </w:r>
      <w:r>
        <w:rPr>
          <w:rFonts w:cs="Arial"/>
          <w:szCs w:val="24"/>
        </w:rPr>
        <w:t>being</w:t>
      </w:r>
      <w:r w:rsidRPr="00DE7914">
        <w:rPr>
          <w:rFonts w:cs="Arial"/>
          <w:szCs w:val="24"/>
        </w:rPr>
        <w:t xml:space="preserve"> </w:t>
      </w:r>
      <w:r w:rsidR="00141FE8">
        <w:rPr>
          <w:rFonts w:cs="Arial"/>
          <w:szCs w:val="24"/>
        </w:rPr>
        <w:t xml:space="preserve">initially </w:t>
      </w:r>
      <w:r w:rsidRPr="00DE7914">
        <w:rPr>
          <w:rFonts w:cs="Arial"/>
          <w:szCs w:val="24"/>
        </w:rPr>
        <w:t>lower than budgeted, due to a number of factors including lockdown</w:t>
      </w:r>
      <w:r w:rsidR="00014E49">
        <w:rPr>
          <w:rFonts w:cs="Arial"/>
          <w:szCs w:val="24"/>
        </w:rPr>
        <w:t xml:space="preserve"> </w:t>
      </w:r>
      <w:r w:rsidRPr="00DE7914">
        <w:rPr>
          <w:rFonts w:cs="Arial"/>
          <w:szCs w:val="24"/>
        </w:rPr>
        <w:t xml:space="preserve">and the impact of the acute health sector commissioning some residential placements as part of NHS funded scheme to create capacity in hospitals in support of the crisis. </w:t>
      </w:r>
      <w:r w:rsidR="00A223D9">
        <w:rPr>
          <w:rFonts w:cs="Arial"/>
          <w:szCs w:val="24"/>
        </w:rPr>
        <w:t>As 2021/22 has progresse</w:t>
      </w:r>
      <w:r w:rsidR="00A40302">
        <w:rPr>
          <w:rFonts w:cs="Arial"/>
          <w:szCs w:val="24"/>
        </w:rPr>
        <w:t>d we have seen large increases in demand for both Adults and Childrens services</w:t>
      </w:r>
      <w:r w:rsidR="003D6EA3">
        <w:rPr>
          <w:rFonts w:cs="Arial"/>
          <w:szCs w:val="24"/>
        </w:rPr>
        <w:t xml:space="preserve">, as a consequence of </w:t>
      </w:r>
      <w:r w:rsidR="001800D5">
        <w:rPr>
          <w:rFonts w:cs="Arial"/>
          <w:szCs w:val="24"/>
        </w:rPr>
        <w:t>this</w:t>
      </w:r>
      <w:r w:rsidR="009A4877">
        <w:rPr>
          <w:rFonts w:cs="Arial"/>
          <w:szCs w:val="24"/>
        </w:rPr>
        <w:t>,</w:t>
      </w:r>
      <w:r w:rsidR="001800D5">
        <w:rPr>
          <w:rFonts w:cs="Arial"/>
          <w:szCs w:val="24"/>
        </w:rPr>
        <w:t xml:space="preserve"> increased </w:t>
      </w:r>
      <w:r w:rsidR="009065AA">
        <w:rPr>
          <w:rFonts w:cs="Arial"/>
          <w:szCs w:val="24"/>
        </w:rPr>
        <w:t xml:space="preserve">demand </w:t>
      </w:r>
      <w:r w:rsidR="001800D5">
        <w:rPr>
          <w:rFonts w:cs="Arial"/>
          <w:szCs w:val="24"/>
        </w:rPr>
        <w:t xml:space="preserve">and </w:t>
      </w:r>
      <w:r w:rsidR="00141FE8">
        <w:rPr>
          <w:rFonts w:cs="Arial"/>
          <w:szCs w:val="24"/>
        </w:rPr>
        <w:t xml:space="preserve">inflationary </w:t>
      </w:r>
      <w:r w:rsidR="001800D5">
        <w:rPr>
          <w:rFonts w:cs="Arial"/>
          <w:szCs w:val="24"/>
        </w:rPr>
        <w:t xml:space="preserve">price </w:t>
      </w:r>
      <w:r w:rsidR="00141FE8">
        <w:rPr>
          <w:rFonts w:cs="Arial"/>
          <w:szCs w:val="24"/>
        </w:rPr>
        <w:t xml:space="preserve">pressures </w:t>
      </w:r>
      <w:r w:rsidR="001800D5">
        <w:rPr>
          <w:rFonts w:cs="Arial"/>
          <w:szCs w:val="24"/>
        </w:rPr>
        <w:t xml:space="preserve">have had to be factored into the </w:t>
      </w:r>
      <w:r w:rsidR="00DB5A52" w:rsidRPr="00691A14">
        <w:rPr>
          <w:rFonts w:cs="Arial"/>
          <w:szCs w:val="24"/>
        </w:rPr>
        <w:t>M</w:t>
      </w:r>
      <w:r w:rsidR="00DB5A52">
        <w:rPr>
          <w:rFonts w:cs="Arial"/>
          <w:szCs w:val="24"/>
        </w:rPr>
        <w:t xml:space="preserve">edium-Term </w:t>
      </w:r>
      <w:r w:rsidR="00DB5A52" w:rsidRPr="00691A14">
        <w:rPr>
          <w:rFonts w:cs="Arial"/>
          <w:szCs w:val="24"/>
        </w:rPr>
        <w:t>F</w:t>
      </w:r>
      <w:r w:rsidR="00DB5A52">
        <w:rPr>
          <w:rFonts w:cs="Arial"/>
          <w:szCs w:val="24"/>
        </w:rPr>
        <w:t xml:space="preserve">inancial </w:t>
      </w:r>
      <w:r w:rsidR="00DB5A52" w:rsidRPr="00691A14">
        <w:rPr>
          <w:rFonts w:cs="Arial"/>
          <w:szCs w:val="24"/>
        </w:rPr>
        <w:t>S</w:t>
      </w:r>
      <w:r w:rsidR="00DB5A52">
        <w:rPr>
          <w:rFonts w:cs="Arial"/>
          <w:szCs w:val="24"/>
        </w:rPr>
        <w:t>trategy</w:t>
      </w:r>
      <w:r w:rsidR="001800D5">
        <w:rPr>
          <w:rFonts w:cs="Arial"/>
          <w:szCs w:val="24"/>
        </w:rPr>
        <w:t xml:space="preserve">.  </w:t>
      </w:r>
      <w:r w:rsidR="00EF4D54">
        <w:rPr>
          <w:rFonts w:cs="Arial"/>
          <w:szCs w:val="24"/>
        </w:rPr>
        <w:t xml:space="preserve">For Adults social care services </w:t>
      </w:r>
      <w:r w:rsidR="005229CA">
        <w:rPr>
          <w:rFonts w:cs="Arial"/>
          <w:szCs w:val="24"/>
        </w:rPr>
        <w:t xml:space="preserve">an additional </w:t>
      </w:r>
      <w:r w:rsidR="00EF4D54">
        <w:rPr>
          <w:rFonts w:cs="Arial"/>
          <w:szCs w:val="24"/>
        </w:rPr>
        <w:t>£</w:t>
      </w:r>
      <w:r w:rsidR="009A4877">
        <w:rPr>
          <w:rFonts w:cs="Arial"/>
          <w:szCs w:val="24"/>
        </w:rPr>
        <w:t>92m</w:t>
      </w:r>
      <w:r w:rsidR="00EF4D54">
        <w:rPr>
          <w:rFonts w:cs="Arial"/>
          <w:szCs w:val="24"/>
        </w:rPr>
        <w:t xml:space="preserve"> has been built in</w:t>
      </w:r>
      <w:r w:rsidR="009A4877">
        <w:rPr>
          <w:rFonts w:cs="Arial"/>
          <w:szCs w:val="24"/>
        </w:rPr>
        <w:t xml:space="preserve"> </w:t>
      </w:r>
      <w:r w:rsidR="001A4331">
        <w:rPr>
          <w:rFonts w:cs="Arial"/>
          <w:szCs w:val="24"/>
        </w:rPr>
        <w:t xml:space="preserve">covering both demand and inflationary </w:t>
      </w:r>
      <w:r w:rsidR="00062622">
        <w:rPr>
          <w:rFonts w:cs="Arial"/>
          <w:szCs w:val="24"/>
        </w:rPr>
        <w:t xml:space="preserve">fee pressures </w:t>
      </w:r>
      <w:r w:rsidR="009A4877">
        <w:rPr>
          <w:rFonts w:cs="Arial"/>
          <w:szCs w:val="24"/>
        </w:rPr>
        <w:t>over the next three years</w:t>
      </w:r>
      <w:r w:rsidR="00EF4D54">
        <w:rPr>
          <w:rFonts w:cs="Arial"/>
          <w:szCs w:val="24"/>
        </w:rPr>
        <w:t xml:space="preserve"> </w:t>
      </w:r>
    </w:p>
    <w:p w14:paraId="4B8AE78D" w14:textId="77777777" w:rsidR="000F6E9F" w:rsidRPr="00DE7914" w:rsidRDefault="000F6E9F" w:rsidP="000F6E9F">
      <w:pPr>
        <w:autoSpaceDE w:val="0"/>
        <w:autoSpaceDN w:val="0"/>
        <w:adjustRightInd w:val="0"/>
        <w:jc w:val="both"/>
        <w:rPr>
          <w:rFonts w:cs="Arial"/>
          <w:szCs w:val="24"/>
        </w:rPr>
      </w:pPr>
    </w:p>
    <w:p w14:paraId="2AE1E550" w14:textId="09BE3F54" w:rsidR="000F6E9F" w:rsidRPr="004C41BC" w:rsidRDefault="000F6E9F" w:rsidP="000F6E9F">
      <w:pPr>
        <w:autoSpaceDE w:val="0"/>
        <w:autoSpaceDN w:val="0"/>
        <w:adjustRightInd w:val="0"/>
        <w:jc w:val="both"/>
        <w:rPr>
          <w:rFonts w:cs="Arial"/>
          <w:szCs w:val="24"/>
          <w:highlight w:val="cyan"/>
        </w:rPr>
      </w:pPr>
      <w:r w:rsidRPr="00DE7914">
        <w:rPr>
          <w:rFonts w:cs="Arial"/>
          <w:szCs w:val="24"/>
        </w:rPr>
        <w:lastRenderedPageBreak/>
        <w:t xml:space="preserve">In addition to current lower than budgeted demand levels, we have some benefits from the current remote working arrangements with costs such as </w:t>
      </w:r>
      <w:r w:rsidR="008B7CD9">
        <w:rPr>
          <w:rFonts w:cs="Arial"/>
          <w:szCs w:val="24"/>
        </w:rPr>
        <w:t>premises</w:t>
      </w:r>
      <w:r w:rsidRPr="00DE7914">
        <w:rPr>
          <w:rFonts w:cs="Arial"/>
          <w:szCs w:val="24"/>
        </w:rPr>
        <w:t xml:space="preserve">, printing and mileage being reduced. </w:t>
      </w:r>
    </w:p>
    <w:p w14:paraId="372706C7" w14:textId="77777777" w:rsidR="000F6E9F" w:rsidRPr="004C41BC" w:rsidRDefault="000F6E9F" w:rsidP="000F6E9F">
      <w:pPr>
        <w:autoSpaceDE w:val="0"/>
        <w:autoSpaceDN w:val="0"/>
        <w:adjustRightInd w:val="0"/>
        <w:rPr>
          <w:rFonts w:cs="Arial"/>
          <w:i/>
          <w:szCs w:val="24"/>
          <w:highlight w:val="cyan"/>
        </w:rPr>
      </w:pPr>
    </w:p>
    <w:p w14:paraId="6F3BDC87" w14:textId="48E1B94F" w:rsidR="000F6E9F" w:rsidRPr="00691A14" w:rsidRDefault="00062622" w:rsidP="000F6E9F">
      <w:pPr>
        <w:autoSpaceDE w:val="0"/>
        <w:autoSpaceDN w:val="0"/>
        <w:adjustRightInd w:val="0"/>
        <w:jc w:val="both"/>
        <w:rPr>
          <w:rFonts w:cs="Arial"/>
          <w:szCs w:val="24"/>
        </w:rPr>
      </w:pPr>
      <w:r w:rsidRPr="00062622">
        <w:rPr>
          <w:rFonts w:cs="Arial"/>
          <w:szCs w:val="24"/>
        </w:rPr>
        <w:t>Demand pressures are i</w:t>
      </w:r>
      <w:r w:rsidR="000F6E9F" w:rsidRPr="00062622">
        <w:rPr>
          <w:rFonts w:cs="Arial"/>
          <w:szCs w:val="24"/>
        </w:rPr>
        <w:t>dentified based on current and historical trends and population projections where appropriate (particularly linked to the ageing population in respect of adult social care). Estimates are based on assumptions that have previously been a reasonable prediction of demand, during the current financial year.</w:t>
      </w:r>
      <w:r w:rsidR="000F6E9F" w:rsidRPr="00691A14">
        <w:rPr>
          <w:rFonts w:cs="Arial"/>
          <w:szCs w:val="24"/>
        </w:rPr>
        <w:t xml:space="preserve"> </w:t>
      </w:r>
    </w:p>
    <w:p w14:paraId="668817E2" w14:textId="77777777" w:rsidR="000F6E9F" w:rsidRPr="00691A14" w:rsidRDefault="000F6E9F" w:rsidP="000F6E9F">
      <w:pPr>
        <w:autoSpaceDE w:val="0"/>
        <w:autoSpaceDN w:val="0"/>
        <w:adjustRightInd w:val="0"/>
        <w:jc w:val="both"/>
        <w:rPr>
          <w:rFonts w:cs="Arial"/>
          <w:szCs w:val="24"/>
        </w:rPr>
      </w:pPr>
    </w:p>
    <w:p w14:paraId="0E092839" w14:textId="72800918" w:rsidR="000F6E9F" w:rsidRPr="00691A14" w:rsidRDefault="000F6E9F" w:rsidP="000F6E9F">
      <w:pPr>
        <w:autoSpaceDE w:val="0"/>
        <w:autoSpaceDN w:val="0"/>
        <w:adjustRightInd w:val="0"/>
        <w:jc w:val="both"/>
        <w:rPr>
          <w:rFonts w:cs="Arial"/>
          <w:szCs w:val="24"/>
        </w:rPr>
      </w:pPr>
      <w:r w:rsidRPr="00691A14">
        <w:rPr>
          <w:rFonts w:cs="Arial"/>
          <w:szCs w:val="24"/>
        </w:rPr>
        <w:t>Detailed work continues to be undertaken focused on a better understanding of the causes of increasing demand</w:t>
      </w:r>
      <w:r w:rsidR="00062622">
        <w:rPr>
          <w:rFonts w:cs="Arial"/>
          <w:szCs w:val="24"/>
        </w:rPr>
        <w:t xml:space="preserve">, </w:t>
      </w:r>
      <w:r w:rsidR="00DA4941">
        <w:rPr>
          <w:rFonts w:cs="Arial"/>
          <w:szCs w:val="24"/>
        </w:rPr>
        <w:t xml:space="preserve">including the impact of the pandemic, </w:t>
      </w:r>
      <w:r w:rsidRPr="00691A14">
        <w:rPr>
          <w:rFonts w:cs="Arial"/>
          <w:szCs w:val="24"/>
        </w:rPr>
        <w:t xml:space="preserve">and what steps can be taken to mitigate the financial impact, which is a major contributing factor towards the funding gap reported in the </w:t>
      </w:r>
      <w:r w:rsidR="00482E33" w:rsidRPr="00691A14">
        <w:rPr>
          <w:rFonts w:cs="Arial"/>
          <w:szCs w:val="24"/>
        </w:rPr>
        <w:t>M</w:t>
      </w:r>
      <w:r w:rsidR="00482E33">
        <w:rPr>
          <w:rFonts w:cs="Arial"/>
          <w:szCs w:val="24"/>
        </w:rPr>
        <w:t>edium-Term</w:t>
      </w:r>
      <w:r>
        <w:rPr>
          <w:rFonts w:cs="Arial"/>
          <w:szCs w:val="24"/>
        </w:rPr>
        <w:t xml:space="preserve"> </w:t>
      </w:r>
      <w:r w:rsidRPr="00691A14">
        <w:rPr>
          <w:rFonts w:cs="Arial"/>
          <w:szCs w:val="24"/>
        </w:rPr>
        <w:t>F</w:t>
      </w:r>
      <w:r>
        <w:rPr>
          <w:rFonts w:cs="Arial"/>
          <w:szCs w:val="24"/>
        </w:rPr>
        <w:t xml:space="preserve">inancial </w:t>
      </w:r>
      <w:r w:rsidRPr="00691A14">
        <w:rPr>
          <w:rFonts w:cs="Arial"/>
          <w:szCs w:val="24"/>
        </w:rPr>
        <w:t>S</w:t>
      </w:r>
      <w:r>
        <w:rPr>
          <w:rFonts w:cs="Arial"/>
          <w:szCs w:val="24"/>
        </w:rPr>
        <w:t>trategy</w:t>
      </w:r>
      <w:r w:rsidRPr="00691A14">
        <w:rPr>
          <w:rFonts w:cs="Arial"/>
          <w:szCs w:val="24"/>
        </w:rPr>
        <w:t xml:space="preserve">.  </w:t>
      </w:r>
    </w:p>
    <w:p w14:paraId="1058D47F" w14:textId="77777777" w:rsidR="000F6E9F" w:rsidRPr="00691A14" w:rsidRDefault="000F6E9F" w:rsidP="000F6E9F">
      <w:pPr>
        <w:autoSpaceDE w:val="0"/>
        <w:autoSpaceDN w:val="0"/>
        <w:adjustRightInd w:val="0"/>
        <w:rPr>
          <w:rFonts w:cs="Arial"/>
          <w:i/>
          <w:szCs w:val="24"/>
        </w:rPr>
      </w:pPr>
    </w:p>
    <w:p w14:paraId="3ADCD20C" w14:textId="77777777" w:rsidR="000F6E9F" w:rsidRPr="00691A14" w:rsidRDefault="000F6E9F" w:rsidP="000F6E9F">
      <w:pPr>
        <w:numPr>
          <w:ilvl w:val="0"/>
          <w:numId w:val="5"/>
        </w:numPr>
        <w:jc w:val="both"/>
        <w:rPr>
          <w:rFonts w:eastAsia="Calibri" w:cs="Arial"/>
          <w:b/>
          <w:szCs w:val="24"/>
          <w:lang w:eastAsia="en-US"/>
        </w:rPr>
      </w:pPr>
      <w:r w:rsidRPr="00691A14">
        <w:rPr>
          <w:rFonts w:eastAsia="Calibri" w:cs="Arial"/>
          <w:b/>
          <w:szCs w:val="24"/>
          <w:lang w:eastAsia="en-US"/>
        </w:rPr>
        <w:t xml:space="preserve">Pay </w:t>
      </w:r>
    </w:p>
    <w:p w14:paraId="4472DBE5" w14:textId="77777777" w:rsidR="000F6E9F" w:rsidRPr="00691A14" w:rsidRDefault="000F6E9F" w:rsidP="000F6E9F">
      <w:pPr>
        <w:jc w:val="both"/>
        <w:rPr>
          <w:rFonts w:eastAsia="Calibri" w:cs="Arial"/>
          <w:szCs w:val="24"/>
          <w:lang w:eastAsia="en-US"/>
        </w:rPr>
      </w:pPr>
    </w:p>
    <w:p w14:paraId="056AA940" w14:textId="1D695704" w:rsidR="000F6E9F" w:rsidRDefault="000F6E9F" w:rsidP="000F6E9F">
      <w:pPr>
        <w:autoSpaceDE w:val="0"/>
        <w:autoSpaceDN w:val="0"/>
        <w:adjustRightInd w:val="0"/>
        <w:jc w:val="both"/>
        <w:rPr>
          <w:rFonts w:cs="Arial"/>
          <w:szCs w:val="24"/>
        </w:rPr>
      </w:pPr>
      <w:r w:rsidRPr="00691A14">
        <w:rPr>
          <w:rFonts w:cs="Arial"/>
          <w:szCs w:val="24"/>
        </w:rPr>
        <w:t>The majority of the pay bill is driven by the national pay agreement and the announcement of a new pay spine represents a significant additional cost pressure reflected in the updated M</w:t>
      </w:r>
      <w:r>
        <w:rPr>
          <w:rFonts w:cs="Arial"/>
          <w:szCs w:val="24"/>
        </w:rPr>
        <w:t>edium</w:t>
      </w:r>
      <w:r w:rsidR="00DB5A52">
        <w:rPr>
          <w:rFonts w:cs="Arial"/>
          <w:szCs w:val="24"/>
        </w:rPr>
        <w:t>-</w:t>
      </w:r>
      <w:r w:rsidRPr="00691A14">
        <w:rPr>
          <w:rFonts w:cs="Arial"/>
          <w:szCs w:val="24"/>
        </w:rPr>
        <w:t>T</w:t>
      </w:r>
      <w:r>
        <w:rPr>
          <w:rFonts w:cs="Arial"/>
          <w:szCs w:val="24"/>
        </w:rPr>
        <w:t xml:space="preserve">erm </w:t>
      </w:r>
      <w:r w:rsidRPr="00691A14">
        <w:rPr>
          <w:rFonts w:cs="Arial"/>
          <w:szCs w:val="24"/>
        </w:rPr>
        <w:t>F</w:t>
      </w:r>
      <w:r>
        <w:rPr>
          <w:rFonts w:cs="Arial"/>
          <w:szCs w:val="24"/>
        </w:rPr>
        <w:t xml:space="preserve">inancial </w:t>
      </w:r>
      <w:r w:rsidRPr="00691A14">
        <w:rPr>
          <w:rFonts w:cs="Arial"/>
          <w:szCs w:val="24"/>
        </w:rPr>
        <w:t>S</w:t>
      </w:r>
      <w:r>
        <w:rPr>
          <w:rFonts w:cs="Arial"/>
          <w:szCs w:val="24"/>
        </w:rPr>
        <w:t>trategy</w:t>
      </w:r>
      <w:r w:rsidRPr="00691A14">
        <w:rPr>
          <w:rFonts w:cs="Arial"/>
          <w:szCs w:val="24"/>
        </w:rPr>
        <w:t>. The county council also remains committed to paying its employees as an accredited member of the Living Wage Foundation</w:t>
      </w:r>
      <w:r>
        <w:rPr>
          <w:rFonts w:cs="Arial"/>
          <w:szCs w:val="24"/>
        </w:rPr>
        <w:t xml:space="preserve">. </w:t>
      </w:r>
    </w:p>
    <w:p w14:paraId="246AF057" w14:textId="77777777" w:rsidR="000F6E9F" w:rsidRPr="00691A14" w:rsidRDefault="000F6E9F" w:rsidP="000F6E9F">
      <w:pPr>
        <w:autoSpaceDE w:val="0"/>
        <w:autoSpaceDN w:val="0"/>
        <w:adjustRightInd w:val="0"/>
        <w:rPr>
          <w:rFonts w:cs="Arial"/>
          <w:i/>
          <w:szCs w:val="24"/>
        </w:rPr>
      </w:pPr>
    </w:p>
    <w:p w14:paraId="3592F493" w14:textId="77777777" w:rsidR="000F6E9F" w:rsidRPr="00691A14" w:rsidRDefault="000F6E9F" w:rsidP="000F6E9F">
      <w:pPr>
        <w:numPr>
          <w:ilvl w:val="0"/>
          <w:numId w:val="5"/>
        </w:numPr>
        <w:autoSpaceDE w:val="0"/>
        <w:autoSpaceDN w:val="0"/>
        <w:adjustRightInd w:val="0"/>
        <w:outlineLvl w:val="0"/>
        <w:rPr>
          <w:rFonts w:cs="Arial"/>
          <w:b/>
          <w:szCs w:val="24"/>
        </w:rPr>
      </w:pPr>
      <w:r w:rsidRPr="00691A14">
        <w:rPr>
          <w:rFonts w:cs="Arial"/>
          <w:b/>
          <w:szCs w:val="24"/>
        </w:rPr>
        <w:t>Inflation</w:t>
      </w:r>
    </w:p>
    <w:p w14:paraId="61BD835E" w14:textId="77777777" w:rsidR="000F6E9F" w:rsidRPr="00691A14" w:rsidRDefault="000F6E9F" w:rsidP="000F6E9F">
      <w:pPr>
        <w:autoSpaceDE w:val="0"/>
        <w:autoSpaceDN w:val="0"/>
        <w:adjustRightInd w:val="0"/>
        <w:rPr>
          <w:rFonts w:cs="Arial"/>
          <w:i/>
          <w:szCs w:val="24"/>
        </w:rPr>
      </w:pPr>
    </w:p>
    <w:p w14:paraId="3E65906E" w14:textId="3A7ACCE4" w:rsidR="000F6E9F" w:rsidRPr="00691A14" w:rsidRDefault="000F6E9F" w:rsidP="000F6E9F">
      <w:pPr>
        <w:autoSpaceDE w:val="0"/>
        <w:autoSpaceDN w:val="0"/>
        <w:adjustRightInd w:val="0"/>
        <w:jc w:val="both"/>
        <w:rPr>
          <w:rFonts w:cs="Arial"/>
          <w:szCs w:val="24"/>
        </w:rPr>
      </w:pPr>
      <w:r>
        <w:rPr>
          <w:rFonts w:cs="Arial"/>
          <w:szCs w:val="24"/>
        </w:rPr>
        <w:t xml:space="preserve">Levels of inflation have </w:t>
      </w:r>
      <w:r w:rsidR="008B7CD9">
        <w:rPr>
          <w:rFonts w:cs="Arial"/>
          <w:szCs w:val="24"/>
        </w:rPr>
        <w:t xml:space="preserve">been increasing during the year with the UK Consumer Price Index (CPI) for November registered 5.1% year on year, up from 4.2% in the previous month.  Inflation is now forecast by the Monetary Policy Committee to peak at 6% in April 2022.  </w:t>
      </w:r>
    </w:p>
    <w:p w14:paraId="59629949" w14:textId="77777777" w:rsidR="000F6E9F" w:rsidRPr="00691A14" w:rsidRDefault="000F6E9F" w:rsidP="000F6E9F">
      <w:pPr>
        <w:autoSpaceDE w:val="0"/>
        <w:autoSpaceDN w:val="0"/>
        <w:adjustRightInd w:val="0"/>
        <w:jc w:val="both"/>
        <w:rPr>
          <w:rFonts w:cs="Arial"/>
          <w:szCs w:val="24"/>
        </w:rPr>
      </w:pPr>
    </w:p>
    <w:p w14:paraId="369F70BE" w14:textId="6D3BE6CD" w:rsidR="000F6E9F" w:rsidRPr="00691A14" w:rsidRDefault="000F6E9F" w:rsidP="000F6E9F">
      <w:pPr>
        <w:autoSpaceDE w:val="0"/>
        <w:autoSpaceDN w:val="0"/>
        <w:adjustRightInd w:val="0"/>
        <w:jc w:val="both"/>
        <w:rPr>
          <w:rFonts w:cs="Arial"/>
          <w:szCs w:val="24"/>
        </w:rPr>
      </w:pPr>
      <w:r w:rsidRPr="00691A14">
        <w:rPr>
          <w:rFonts w:cs="Arial"/>
          <w:szCs w:val="24"/>
        </w:rPr>
        <w:t>Provision made within the budget is limited to areas where the council has no choice but to pay increased prices</w:t>
      </w:r>
      <w:r>
        <w:rPr>
          <w:rFonts w:cs="Arial"/>
          <w:szCs w:val="24"/>
        </w:rPr>
        <w:t>,</w:t>
      </w:r>
      <w:r w:rsidRPr="00691A14">
        <w:rPr>
          <w:rFonts w:cs="Arial"/>
          <w:szCs w:val="24"/>
        </w:rPr>
        <w:t xml:space="preserve"> </w:t>
      </w:r>
      <w:r w:rsidR="00482E33" w:rsidRPr="00691A14">
        <w:rPr>
          <w:rFonts w:cs="Arial"/>
          <w:szCs w:val="24"/>
        </w:rPr>
        <w:t>e.g.</w:t>
      </w:r>
      <w:r w:rsidRPr="00691A14">
        <w:rPr>
          <w:rFonts w:cs="Arial"/>
          <w:szCs w:val="24"/>
        </w:rPr>
        <w:t xml:space="preserve"> due to contractual terms. The inflation forecasts used in recent years are based on the future level of inflation implied by yields on interest linked gilts. Historically, this has tended to give a more accurate forecast than the methodology previously used. It is anticipated that the continued use of this methodology will reduce the risk of needing to make catch up additions to the budget for "missed" inflation or the need to absorb additional inflationary costs in year.</w:t>
      </w:r>
    </w:p>
    <w:p w14:paraId="1DB50018" w14:textId="77777777" w:rsidR="000F6E9F" w:rsidRPr="00691A14" w:rsidRDefault="000F6E9F" w:rsidP="000F6E9F">
      <w:pPr>
        <w:autoSpaceDE w:val="0"/>
        <w:autoSpaceDN w:val="0"/>
        <w:adjustRightInd w:val="0"/>
        <w:jc w:val="both"/>
        <w:rPr>
          <w:rFonts w:cs="Arial"/>
          <w:szCs w:val="24"/>
        </w:rPr>
      </w:pPr>
    </w:p>
    <w:p w14:paraId="43D14EBE" w14:textId="2E124913" w:rsidR="000F6E9F" w:rsidRPr="008411DD" w:rsidRDefault="000F6E9F" w:rsidP="000F6E9F">
      <w:pPr>
        <w:autoSpaceDE w:val="0"/>
        <w:autoSpaceDN w:val="0"/>
        <w:adjustRightInd w:val="0"/>
        <w:jc w:val="both"/>
        <w:rPr>
          <w:rFonts w:cs="Arial"/>
          <w:szCs w:val="24"/>
        </w:rPr>
      </w:pPr>
      <w:r w:rsidRPr="00691A14">
        <w:rPr>
          <w:rFonts w:cs="Arial"/>
          <w:szCs w:val="24"/>
        </w:rPr>
        <w:t xml:space="preserve">A particularly significant area is the care market, primarily residential, nursing and homecare, the funding of which is recognised as a significant issue regionally and nationally. A significant amount of resource has been included within the </w:t>
      </w:r>
      <w:r w:rsidR="00482E33" w:rsidRPr="00691A14">
        <w:rPr>
          <w:rFonts w:cs="Arial"/>
          <w:szCs w:val="24"/>
        </w:rPr>
        <w:t>M</w:t>
      </w:r>
      <w:r w:rsidR="00482E33">
        <w:rPr>
          <w:rFonts w:cs="Arial"/>
          <w:szCs w:val="24"/>
        </w:rPr>
        <w:t>edium-Term</w:t>
      </w:r>
      <w:r>
        <w:rPr>
          <w:rFonts w:cs="Arial"/>
          <w:szCs w:val="24"/>
        </w:rPr>
        <w:t xml:space="preserve"> </w:t>
      </w:r>
      <w:r w:rsidRPr="00691A14">
        <w:rPr>
          <w:rFonts w:cs="Arial"/>
          <w:szCs w:val="24"/>
        </w:rPr>
        <w:t>F</w:t>
      </w:r>
      <w:r>
        <w:rPr>
          <w:rFonts w:cs="Arial"/>
          <w:szCs w:val="24"/>
        </w:rPr>
        <w:t xml:space="preserve">inancial </w:t>
      </w:r>
      <w:r w:rsidRPr="00691A14">
        <w:rPr>
          <w:rFonts w:cs="Arial"/>
          <w:szCs w:val="24"/>
        </w:rPr>
        <w:t>S</w:t>
      </w:r>
      <w:r>
        <w:rPr>
          <w:rFonts w:cs="Arial"/>
          <w:szCs w:val="24"/>
        </w:rPr>
        <w:t>trategy</w:t>
      </w:r>
      <w:r w:rsidRPr="00691A14">
        <w:rPr>
          <w:rFonts w:cs="Arial"/>
          <w:szCs w:val="24"/>
        </w:rPr>
        <w:t xml:space="preserve"> to fund price increases and the estimated impact of the national living wage on care </w:t>
      </w:r>
      <w:r w:rsidRPr="008411DD">
        <w:rPr>
          <w:rFonts w:cs="Arial"/>
          <w:szCs w:val="24"/>
        </w:rPr>
        <w:t>providers.</w:t>
      </w:r>
    </w:p>
    <w:p w14:paraId="4FC6A770" w14:textId="77777777" w:rsidR="000F6E9F" w:rsidRPr="008411DD" w:rsidRDefault="000F6E9F" w:rsidP="000F6E9F">
      <w:pPr>
        <w:jc w:val="both"/>
        <w:rPr>
          <w:rFonts w:cs="Arial"/>
          <w:szCs w:val="24"/>
        </w:rPr>
      </w:pPr>
      <w:r w:rsidRPr="008411DD">
        <w:rPr>
          <w:rFonts w:cs="Arial"/>
          <w:szCs w:val="24"/>
        </w:rPr>
        <w:t xml:space="preserve"> </w:t>
      </w:r>
    </w:p>
    <w:p w14:paraId="13125A6B" w14:textId="77777777" w:rsidR="000F6E9F" w:rsidRPr="008411DD" w:rsidRDefault="000F6E9F" w:rsidP="000F6E9F">
      <w:pPr>
        <w:pStyle w:val="ListParagraph"/>
        <w:numPr>
          <w:ilvl w:val="0"/>
          <w:numId w:val="5"/>
        </w:numPr>
        <w:jc w:val="both"/>
        <w:outlineLvl w:val="0"/>
        <w:rPr>
          <w:rFonts w:cs="Arial"/>
          <w:b/>
        </w:rPr>
      </w:pPr>
      <w:r w:rsidRPr="008411DD">
        <w:rPr>
          <w:rFonts w:cs="Arial"/>
          <w:b/>
        </w:rPr>
        <w:t>Interest Rates</w:t>
      </w:r>
    </w:p>
    <w:p w14:paraId="42236F79" w14:textId="77777777" w:rsidR="000F6E9F" w:rsidRPr="008411DD" w:rsidRDefault="000F6E9F" w:rsidP="000F6E9F">
      <w:pPr>
        <w:pStyle w:val="ListParagraph"/>
        <w:ind w:left="360"/>
        <w:jc w:val="both"/>
        <w:rPr>
          <w:rFonts w:cs="Arial"/>
        </w:rPr>
      </w:pPr>
    </w:p>
    <w:p w14:paraId="726E429E" w14:textId="653EE013" w:rsidR="008352E3" w:rsidRDefault="008352E3" w:rsidP="008B7CD9">
      <w:pPr>
        <w:jc w:val="both"/>
        <w:rPr>
          <w:rFonts w:ascii="Calibri" w:hAnsi="Calibri"/>
          <w:sz w:val="22"/>
        </w:rPr>
      </w:pPr>
      <w:bookmarkStart w:id="0" w:name="_Hlk94104669"/>
      <w:r>
        <w:t>As a result of the inflationary pressures there was an expectation that the Bank Rate would be increased</w:t>
      </w:r>
      <w:r w:rsidR="00F97661">
        <w:t>,</w:t>
      </w:r>
      <w:r>
        <w:t xml:space="preserve"> and the Bank of England did increase the Bank Rate to 0.25% in December 2021.  Arlingclose, the council's Treasury Management advisors, expect </w:t>
      </w:r>
      <w:r>
        <w:lastRenderedPageBreak/>
        <w:t>the Bank Rate to rise to 0.5% in quarter one of 2022 and then stay at that level for the foreseeable future</w:t>
      </w:r>
      <w:r w:rsidR="00DB5A52">
        <w:t>.</w:t>
      </w:r>
    </w:p>
    <w:p w14:paraId="0AFE91E0" w14:textId="77777777" w:rsidR="008352E3" w:rsidRDefault="008352E3" w:rsidP="008352E3"/>
    <w:bookmarkEnd w:id="0"/>
    <w:p w14:paraId="1FE79E62" w14:textId="77777777" w:rsidR="000F6E9F" w:rsidRPr="00691A14" w:rsidRDefault="000F6E9F" w:rsidP="000F6E9F">
      <w:pPr>
        <w:numPr>
          <w:ilvl w:val="0"/>
          <w:numId w:val="5"/>
        </w:numPr>
        <w:autoSpaceDE w:val="0"/>
        <w:autoSpaceDN w:val="0"/>
        <w:adjustRightInd w:val="0"/>
        <w:ind w:left="284" w:hanging="284"/>
        <w:outlineLvl w:val="0"/>
        <w:rPr>
          <w:rFonts w:cs="Arial"/>
          <w:b/>
          <w:szCs w:val="24"/>
        </w:rPr>
      </w:pPr>
      <w:r w:rsidRPr="00691A14">
        <w:rPr>
          <w:rFonts w:cs="Arial"/>
          <w:b/>
          <w:szCs w:val="24"/>
        </w:rPr>
        <w:t>Savings Programme Delivery</w:t>
      </w:r>
    </w:p>
    <w:p w14:paraId="13B3D2F9" w14:textId="77777777" w:rsidR="000F6E9F" w:rsidRDefault="000F6E9F" w:rsidP="000F6E9F">
      <w:pPr>
        <w:autoSpaceDE w:val="0"/>
        <w:autoSpaceDN w:val="0"/>
        <w:adjustRightInd w:val="0"/>
        <w:rPr>
          <w:rFonts w:cs="Arial"/>
          <w:i/>
          <w:szCs w:val="24"/>
          <w:highlight w:val="cyan"/>
        </w:rPr>
      </w:pPr>
    </w:p>
    <w:p w14:paraId="0C9D23D6" w14:textId="34F47304" w:rsidR="000F6E9F" w:rsidRPr="006427E4" w:rsidRDefault="000F6E9F" w:rsidP="000F6E9F">
      <w:pPr>
        <w:jc w:val="both"/>
        <w:rPr>
          <w:rFonts w:cs="Arial"/>
        </w:rPr>
      </w:pPr>
      <w:r w:rsidRPr="006427E4">
        <w:rPr>
          <w:rFonts w:cs="Arial"/>
        </w:rPr>
        <w:t>The scale of savings agreed to be delivered remains significant with £</w:t>
      </w:r>
      <w:r w:rsidR="001D61AE">
        <w:rPr>
          <w:rFonts w:cs="Arial"/>
        </w:rPr>
        <w:t xml:space="preserve">42m </w:t>
      </w:r>
      <w:r w:rsidR="00D62B99">
        <w:rPr>
          <w:rFonts w:cs="Arial"/>
        </w:rPr>
        <w:t xml:space="preserve">of </w:t>
      </w:r>
      <w:r w:rsidR="008B7CD9">
        <w:rPr>
          <w:rFonts w:cs="Arial"/>
        </w:rPr>
        <w:t xml:space="preserve">previously agreed </w:t>
      </w:r>
      <w:r w:rsidR="00D62B99">
        <w:rPr>
          <w:rFonts w:cs="Arial"/>
        </w:rPr>
        <w:t xml:space="preserve">savings budgeted </w:t>
      </w:r>
      <w:r w:rsidR="008B7CD9">
        <w:rPr>
          <w:rFonts w:cs="Arial"/>
        </w:rPr>
        <w:t xml:space="preserve">to be delivered </w:t>
      </w:r>
      <w:r w:rsidR="00D62B99">
        <w:rPr>
          <w:rFonts w:cs="Arial"/>
        </w:rPr>
        <w:t xml:space="preserve">by </w:t>
      </w:r>
      <w:r w:rsidR="008B7CD9">
        <w:rPr>
          <w:rFonts w:cs="Arial"/>
        </w:rPr>
        <w:t>202</w:t>
      </w:r>
      <w:r w:rsidR="00D62B99">
        <w:rPr>
          <w:rFonts w:cs="Arial"/>
        </w:rPr>
        <w:t>2</w:t>
      </w:r>
      <w:r w:rsidR="008B7CD9">
        <w:rPr>
          <w:rFonts w:cs="Arial"/>
        </w:rPr>
        <w:t>/2</w:t>
      </w:r>
      <w:r w:rsidR="00D62B99">
        <w:rPr>
          <w:rFonts w:cs="Arial"/>
        </w:rPr>
        <w:t>3</w:t>
      </w:r>
      <w:r w:rsidR="008B7CD9">
        <w:rPr>
          <w:rFonts w:cs="Arial"/>
        </w:rPr>
        <w:t>, £8.5m of which is now forecast not to be delivered until 2023/24</w:t>
      </w:r>
      <w:r w:rsidR="00D62B99">
        <w:rPr>
          <w:rFonts w:cs="Arial"/>
        </w:rPr>
        <w:t xml:space="preserve"> due to the refocussing of officer priorities during the pandemic.  </w:t>
      </w:r>
    </w:p>
    <w:p w14:paraId="0374709C" w14:textId="77777777" w:rsidR="000F6E9F" w:rsidRPr="006427E4" w:rsidRDefault="000F6E9F" w:rsidP="000F6E9F">
      <w:pPr>
        <w:jc w:val="both"/>
        <w:rPr>
          <w:rFonts w:cs="Arial"/>
        </w:rPr>
      </w:pPr>
    </w:p>
    <w:p w14:paraId="2510B610" w14:textId="01C90B2E" w:rsidR="000F6E9F" w:rsidRPr="006427E4" w:rsidRDefault="000F6E9F" w:rsidP="000F6E9F">
      <w:pPr>
        <w:jc w:val="both"/>
        <w:rPr>
          <w:rFonts w:cs="Arial"/>
        </w:rPr>
      </w:pPr>
      <w:r w:rsidRPr="006427E4">
        <w:rPr>
          <w:rFonts w:cs="Arial"/>
        </w:rPr>
        <w:t xml:space="preserve">Any </w:t>
      </w:r>
      <w:r w:rsidR="00D62B99">
        <w:rPr>
          <w:rFonts w:cs="Arial"/>
        </w:rPr>
        <w:t xml:space="preserve">further </w:t>
      </w:r>
      <w:r w:rsidRPr="006427E4">
        <w:rPr>
          <w:rFonts w:cs="Arial"/>
        </w:rPr>
        <w:t xml:space="preserve">significant under-delivery or slippage to delivery timeframes will create an additional funding pressure and impact on the ongoing and longer-term financial health of the council if those costs are not mitigated by the Government providing additional funding in future years.    </w:t>
      </w:r>
    </w:p>
    <w:p w14:paraId="0D254FCB" w14:textId="77777777" w:rsidR="000F6E9F" w:rsidRPr="006427E4" w:rsidRDefault="000F6E9F" w:rsidP="000F6E9F">
      <w:pPr>
        <w:jc w:val="both"/>
        <w:rPr>
          <w:rFonts w:cs="Arial"/>
        </w:rPr>
      </w:pPr>
    </w:p>
    <w:p w14:paraId="6B72D943" w14:textId="77777777" w:rsidR="000F6E9F" w:rsidRPr="006427E4" w:rsidRDefault="000F6E9F" w:rsidP="000F6E9F">
      <w:pPr>
        <w:jc w:val="both"/>
        <w:rPr>
          <w:rFonts w:cs="Arial"/>
        </w:rPr>
      </w:pPr>
      <w:r w:rsidRPr="006427E4">
        <w:rPr>
          <w:rFonts w:cs="Arial"/>
        </w:rPr>
        <w:t xml:space="preserve">There are inherent risks in the delivery of any savings programme of this scale, particularly where they are directly linked to reducing the future demand for services. However, there is a strong track record of delivery of the vast majority of previous savings plans and there are comprehensive arrangements in place to track delivery of financial savings and take corrective actions where required. </w:t>
      </w:r>
    </w:p>
    <w:p w14:paraId="3005DA39" w14:textId="77777777" w:rsidR="000F6E9F" w:rsidRPr="00691A14" w:rsidRDefault="000F6E9F" w:rsidP="000F6E9F">
      <w:pPr>
        <w:autoSpaceDE w:val="0"/>
        <w:autoSpaceDN w:val="0"/>
        <w:adjustRightInd w:val="0"/>
        <w:jc w:val="both"/>
        <w:rPr>
          <w:rFonts w:cs="Arial"/>
          <w:i/>
          <w:szCs w:val="24"/>
        </w:rPr>
      </w:pPr>
    </w:p>
    <w:p w14:paraId="6B919259" w14:textId="0B6A01C8" w:rsidR="000F6E9F" w:rsidRPr="00691A14" w:rsidRDefault="000F6E9F" w:rsidP="000F6E9F">
      <w:pPr>
        <w:autoSpaceDE w:val="0"/>
        <w:autoSpaceDN w:val="0"/>
        <w:adjustRightInd w:val="0"/>
        <w:jc w:val="both"/>
        <w:rPr>
          <w:rFonts w:cs="Arial"/>
          <w:szCs w:val="24"/>
        </w:rPr>
      </w:pPr>
      <w:r w:rsidRPr="00691A14">
        <w:rPr>
          <w:rFonts w:cs="Arial"/>
          <w:szCs w:val="24"/>
        </w:rPr>
        <w:t xml:space="preserve">This has been identified as one of the </w:t>
      </w:r>
      <w:r w:rsidR="00482E33" w:rsidRPr="00691A14">
        <w:rPr>
          <w:rFonts w:cs="Arial"/>
          <w:szCs w:val="24"/>
        </w:rPr>
        <w:t>highest-level</w:t>
      </w:r>
      <w:r w:rsidRPr="00691A14">
        <w:rPr>
          <w:rFonts w:cs="Arial"/>
          <w:szCs w:val="24"/>
        </w:rPr>
        <w:t xml:space="preserve"> risks in the council's Risk and Opportunity Register and there are comprehensive arrangements in place to track delivery of financial savings and take corrective actions as required.  </w:t>
      </w:r>
    </w:p>
    <w:p w14:paraId="4AA851C6" w14:textId="77777777" w:rsidR="000F6E9F" w:rsidRPr="00691A14" w:rsidRDefault="000F6E9F" w:rsidP="000F6E9F">
      <w:pPr>
        <w:autoSpaceDE w:val="0"/>
        <w:autoSpaceDN w:val="0"/>
        <w:adjustRightInd w:val="0"/>
        <w:jc w:val="both"/>
        <w:rPr>
          <w:rFonts w:cs="Arial"/>
          <w:szCs w:val="24"/>
        </w:rPr>
      </w:pPr>
    </w:p>
    <w:p w14:paraId="3655F312" w14:textId="77777777" w:rsidR="000F6E9F" w:rsidRPr="00691A14" w:rsidRDefault="000F6E9F" w:rsidP="000F6E9F">
      <w:pPr>
        <w:autoSpaceDE w:val="0"/>
        <w:autoSpaceDN w:val="0"/>
        <w:adjustRightInd w:val="0"/>
        <w:rPr>
          <w:rFonts w:cs="Arial"/>
          <w:b/>
          <w:szCs w:val="24"/>
        </w:rPr>
      </w:pPr>
      <w:r w:rsidRPr="00691A14">
        <w:rPr>
          <w:rFonts w:cs="Arial"/>
          <w:b/>
          <w:szCs w:val="24"/>
        </w:rPr>
        <w:t>Adequacy of Reserves</w:t>
      </w:r>
    </w:p>
    <w:p w14:paraId="1A5AC0B9" w14:textId="77777777" w:rsidR="000F6E9F" w:rsidRPr="00691A14" w:rsidRDefault="000F6E9F" w:rsidP="000F6E9F">
      <w:pPr>
        <w:autoSpaceDE w:val="0"/>
        <w:autoSpaceDN w:val="0"/>
        <w:adjustRightInd w:val="0"/>
        <w:rPr>
          <w:rFonts w:cs="Arial"/>
          <w:b/>
          <w:szCs w:val="24"/>
        </w:rPr>
      </w:pPr>
    </w:p>
    <w:p w14:paraId="26A0421D" w14:textId="77777777" w:rsidR="000F6E9F" w:rsidRPr="00691A14" w:rsidRDefault="000F6E9F" w:rsidP="000F6E9F">
      <w:pPr>
        <w:autoSpaceDE w:val="0"/>
        <w:autoSpaceDN w:val="0"/>
        <w:adjustRightInd w:val="0"/>
        <w:rPr>
          <w:rFonts w:cs="Arial"/>
          <w:szCs w:val="24"/>
        </w:rPr>
      </w:pPr>
      <w:r w:rsidRPr="00691A14">
        <w:rPr>
          <w:rFonts w:cs="Arial"/>
          <w:szCs w:val="24"/>
        </w:rPr>
        <w:t>The council holds reserves for a number of reasons:</w:t>
      </w:r>
    </w:p>
    <w:p w14:paraId="6D152242" w14:textId="77777777" w:rsidR="000F6E9F" w:rsidRPr="00691A14" w:rsidRDefault="000F6E9F" w:rsidP="000F6E9F">
      <w:pPr>
        <w:autoSpaceDE w:val="0"/>
        <w:autoSpaceDN w:val="0"/>
        <w:adjustRightInd w:val="0"/>
        <w:rPr>
          <w:rFonts w:cs="Arial"/>
          <w:szCs w:val="24"/>
        </w:rPr>
      </w:pPr>
    </w:p>
    <w:p w14:paraId="5ED02201" w14:textId="77777777" w:rsidR="000F6E9F" w:rsidRPr="00691A14" w:rsidRDefault="000F6E9F" w:rsidP="000F6E9F">
      <w:pPr>
        <w:numPr>
          <w:ilvl w:val="0"/>
          <w:numId w:val="6"/>
        </w:numPr>
        <w:autoSpaceDE w:val="0"/>
        <w:autoSpaceDN w:val="0"/>
        <w:adjustRightInd w:val="0"/>
        <w:jc w:val="both"/>
        <w:outlineLvl w:val="0"/>
        <w:rPr>
          <w:rFonts w:cs="Arial"/>
          <w:szCs w:val="24"/>
        </w:rPr>
      </w:pPr>
      <w:r w:rsidRPr="00691A14">
        <w:rPr>
          <w:rFonts w:cs="Arial"/>
          <w:szCs w:val="24"/>
        </w:rPr>
        <w:t>to enable the council to deal with unexpected events such as flooding or the destruction of a major asset through fire,</w:t>
      </w:r>
    </w:p>
    <w:p w14:paraId="71B56D15" w14:textId="77777777" w:rsidR="000F6E9F" w:rsidRPr="00691A14" w:rsidRDefault="000F6E9F" w:rsidP="000F6E9F">
      <w:pPr>
        <w:numPr>
          <w:ilvl w:val="0"/>
          <w:numId w:val="6"/>
        </w:numPr>
        <w:autoSpaceDE w:val="0"/>
        <w:autoSpaceDN w:val="0"/>
        <w:adjustRightInd w:val="0"/>
        <w:jc w:val="both"/>
        <w:outlineLvl w:val="0"/>
        <w:rPr>
          <w:rFonts w:cs="Arial"/>
          <w:szCs w:val="24"/>
        </w:rPr>
      </w:pPr>
      <w:r w:rsidRPr="00691A14">
        <w:rPr>
          <w:rFonts w:cs="Arial"/>
          <w:szCs w:val="24"/>
        </w:rPr>
        <w:t>to enable the council to manage variations in the demand for services which cause in year budget pressures, and</w:t>
      </w:r>
    </w:p>
    <w:p w14:paraId="5826ADF9" w14:textId="77777777" w:rsidR="000F6E9F" w:rsidRPr="00691A14" w:rsidRDefault="000F6E9F" w:rsidP="000F6E9F">
      <w:pPr>
        <w:numPr>
          <w:ilvl w:val="0"/>
          <w:numId w:val="6"/>
        </w:numPr>
        <w:autoSpaceDE w:val="0"/>
        <w:autoSpaceDN w:val="0"/>
        <w:adjustRightInd w:val="0"/>
        <w:jc w:val="both"/>
        <w:outlineLvl w:val="0"/>
        <w:rPr>
          <w:rFonts w:cs="Arial"/>
          <w:szCs w:val="24"/>
        </w:rPr>
      </w:pPr>
      <w:r w:rsidRPr="00691A14">
        <w:rPr>
          <w:rFonts w:cs="Arial"/>
          <w:szCs w:val="24"/>
        </w:rPr>
        <w:t xml:space="preserve">to fund specific projects or identified demands on the budget. </w:t>
      </w:r>
    </w:p>
    <w:p w14:paraId="5EED004C" w14:textId="77777777" w:rsidR="000F6E9F" w:rsidRPr="00691A14" w:rsidRDefault="000F6E9F" w:rsidP="000F6E9F">
      <w:pPr>
        <w:autoSpaceDE w:val="0"/>
        <w:autoSpaceDN w:val="0"/>
        <w:adjustRightInd w:val="0"/>
        <w:jc w:val="both"/>
        <w:rPr>
          <w:rFonts w:cs="Arial"/>
          <w:szCs w:val="24"/>
        </w:rPr>
      </w:pPr>
    </w:p>
    <w:p w14:paraId="45315174" w14:textId="77777777" w:rsidR="000F6E9F" w:rsidRPr="00691A14" w:rsidRDefault="000F6E9F" w:rsidP="000F6E9F">
      <w:pPr>
        <w:autoSpaceDE w:val="0"/>
        <w:autoSpaceDN w:val="0"/>
        <w:adjustRightInd w:val="0"/>
        <w:jc w:val="both"/>
        <w:rPr>
          <w:rFonts w:cs="Arial"/>
          <w:szCs w:val="24"/>
        </w:rPr>
      </w:pPr>
      <w:r w:rsidRPr="00691A14">
        <w:rPr>
          <w:rFonts w:cs="Arial"/>
          <w:szCs w:val="24"/>
        </w:rPr>
        <w:t>There is no 'right' answer to the question of the appropriate level of reserves for a local authority; this is a matter of judgement taking into account:</w:t>
      </w:r>
    </w:p>
    <w:p w14:paraId="100EB3EC" w14:textId="77777777" w:rsidR="000F6E9F" w:rsidRPr="00691A14" w:rsidRDefault="000F6E9F" w:rsidP="000F6E9F">
      <w:pPr>
        <w:autoSpaceDE w:val="0"/>
        <w:autoSpaceDN w:val="0"/>
        <w:adjustRightInd w:val="0"/>
        <w:jc w:val="both"/>
        <w:rPr>
          <w:rFonts w:cs="Arial"/>
          <w:szCs w:val="24"/>
        </w:rPr>
      </w:pPr>
    </w:p>
    <w:p w14:paraId="1F1923FA" w14:textId="77777777" w:rsidR="000F6E9F" w:rsidRPr="00691A14" w:rsidRDefault="000F6E9F" w:rsidP="000F6E9F">
      <w:pPr>
        <w:numPr>
          <w:ilvl w:val="0"/>
          <w:numId w:val="7"/>
        </w:numPr>
        <w:autoSpaceDE w:val="0"/>
        <w:autoSpaceDN w:val="0"/>
        <w:adjustRightInd w:val="0"/>
        <w:jc w:val="both"/>
        <w:outlineLvl w:val="0"/>
        <w:rPr>
          <w:rFonts w:cs="Arial"/>
          <w:szCs w:val="24"/>
        </w:rPr>
      </w:pPr>
      <w:r w:rsidRPr="00691A14">
        <w:rPr>
          <w:rFonts w:cs="Arial"/>
          <w:szCs w:val="24"/>
        </w:rPr>
        <w:t>the level of risk evident within the budget as set out above,</w:t>
      </w:r>
    </w:p>
    <w:p w14:paraId="2285ECFD" w14:textId="77777777" w:rsidR="000F6E9F" w:rsidRPr="00691A14" w:rsidRDefault="000F6E9F" w:rsidP="000F6E9F">
      <w:pPr>
        <w:numPr>
          <w:ilvl w:val="0"/>
          <w:numId w:val="7"/>
        </w:numPr>
        <w:autoSpaceDE w:val="0"/>
        <w:autoSpaceDN w:val="0"/>
        <w:adjustRightInd w:val="0"/>
        <w:jc w:val="both"/>
        <w:outlineLvl w:val="0"/>
        <w:rPr>
          <w:rFonts w:cs="Arial"/>
          <w:szCs w:val="24"/>
        </w:rPr>
      </w:pPr>
      <w:r w:rsidRPr="00691A14">
        <w:rPr>
          <w:rFonts w:cs="Arial"/>
          <w:szCs w:val="24"/>
        </w:rPr>
        <w:t>a judgement on the effectiveness of budgetary control within the organisation, and</w:t>
      </w:r>
    </w:p>
    <w:p w14:paraId="06E15E1C" w14:textId="77777777" w:rsidR="000F6E9F" w:rsidRPr="00691A14" w:rsidRDefault="000F6E9F" w:rsidP="000F6E9F">
      <w:pPr>
        <w:numPr>
          <w:ilvl w:val="0"/>
          <w:numId w:val="7"/>
        </w:numPr>
        <w:autoSpaceDE w:val="0"/>
        <w:autoSpaceDN w:val="0"/>
        <w:adjustRightInd w:val="0"/>
        <w:outlineLvl w:val="0"/>
        <w:rPr>
          <w:rFonts w:cs="Arial"/>
          <w:szCs w:val="24"/>
        </w:rPr>
      </w:pPr>
      <w:r w:rsidRPr="00691A14">
        <w:rPr>
          <w:rFonts w:cs="Arial"/>
          <w:szCs w:val="24"/>
        </w:rPr>
        <w:t>the degree to which funds have already been set aside for specific purposes which will reduce the need for general reserves.</w:t>
      </w:r>
    </w:p>
    <w:p w14:paraId="0EE4147E" w14:textId="77777777" w:rsidR="000F6E9F" w:rsidRPr="00691A14" w:rsidRDefault="000F6E9F" w:rsidP="000F6E9F">
      <w:pPr>
        <w:autoSpaceDE w:val="0"/>
        <w:autoSpaceDN w:val="0"/>
        <w:adjustRightInd w:val="0"/>
        <w:ind w:left="720"/>
        <w:outlineLvl w:val="0"/>
        <w:rPr>
          <w:rFonts w:cs="Arial"/>
          <w:szCs w:val="24"/>
        </w:rPr>
      </w:pPr>
    </w:p>
    <w:p w14:paraId="5EF2E1B7" w14:textId="5EF665B1" w:rsidR="000F6E9F" w:rsidRPr="00691A14" w:rsidRDefault="000F6E9F" w:rsidP="000F6E9F">
      <w:pPr>
        <w:autoSpaceDE w:val="0"/>
        <w:autoSpaceDN w:val="0"/>
        <w:adjustRightInd w:val="0"/>
        <w:jc w:val="both"/>
        <w:rPr>
          <w:rFonts w:cs="Arial"/>
          <w:szCs w:val="24"/>
        </w:rPr>
      </w:pPr>
      <w:r w:rsidRPr="00691A14">
        <w:rPr>
          <w:rFonts w:cs="Arial"/>
          <w:szCs w:val="24"/>
        </w:rPr>
        <w:t>In relation to the council's general reserve (County Fund Balance), the forecast level at 31 March 202</w:t>
      </w:r>
      <w:r w:rsidR="00603837">
        <w:rPr>
          <w:rFonts w:cs="Arial"/>
          <w:szCs w:val="24"/>
        </w:rPr>
        <w:t>2</w:t>
      </w:r>
      <w:r w:rsidRPr="00691A14">
        <w:rPr>
          <w:rFonts w:cs="Arial"/>
          <w:szCs w:val="24"/>
        </w:rPr>
        <w:t xml:space="preserve"> is £23.437m.  In addition</w:t>
      </w:r>
      <w:r w:rsidR="00603837">
        <w:rPr>
          <w:rFonts w:cs="Arial"/>
          <w:szCs w:val="24"/>
        </w:rPr>
        <w:t>,</w:t>
      </w:r>
      <w:r w:rsidRPr="00691A14">
        <w:rPr>
          <w:rFonts w:cs="Arial"/>
          <w:szCs w:val="24"/>
        </w:rPr>
        <w:t xml:space="preserve"> the council is forecast to hold £</w:t>
      </w:r>
      <w:r w:rsidR="00603837">
        <w:rPr>
          <w:rFonts w:cs="Arial"/>
          <w:szCs w:val="24"/>
        </w:rPr>
        <w:t>15.4</w:t>
      </w:r>
      <w:r w:rsidRPr="00691A14">
        <w:rPr>
          <w:rFonts w:cs="Arial"/>
          <w:szCs w:val="24"/>
        </w:rPr>
        <w:t>m by t</w:t>
      </w:r>
      <w:r>
        <w:rPr>
          <w:rFonts w:cs="Arial"/>
          <w:szCs w:val="24"/>
        </w:rPr>
        <w:t>h</w:t>
      </w:r>
      <w:r w:rsidRPr="00691A14">
        <w:rPr>
          <w:rFonts w:cs="Arial"/>
          <w:szCs w:val="24"/>
        </w:rPr>
        <w:t xml:space="preserve">e end of the financial year as a formal treasury management reserve to reflect that, whilst the council's treasury management performance (covering both investment activity and financing costs) has been positive over an extended period, the outlook post-Brexit is particularly uncertain and volatile. The reserve is there </w:t>
      </w:r>
      <w:r>
        <w:rPr>
          <w:rFonts w:cs="Arial"/>
          <w:szCs w:val="24"/>
        </w:rPr>
        <w:t xml:space="preserve">to </w:t>
      </w:r>
      <w:r w:rsidRPr="00691A14">
        <w:rPr>
          <w:rFonts w:cs="Arial"/>
          <w:szCs w:val="24"/>
        </w:rPr>
        <w:t xml:space="preserve">hedge against </w:t>
      </w:r>
      <w:r w:rsidRPr="00691A14">
        <w:rPr>
          <w:rFonts w:cs="Arial"/>
          <w:szCs w:val="24"/>
        </w:rPr>
        <w:lastRenderedPageBreak/>
        <w:t>that volatility, including interest rate changes and associated risks over the short-term without directly impacting the revenue account.</w:t>
      </w:r>
    </w:p>
    <w:p w14:paraId="26CA0F4F" w14:textId="77777777" w:rsidR="000F6E9F" w:rsidRPr="00691A14" w:rsidRDefault="000F6E9F" w:rsidP="000F6E9F">
      <w:pPr>
        <w:autoSpaceDE w:val="0"/>
        <w:autoSpaceDN w:val="0"/>
        <w:adjustRightInd w:val="0"/>
        <w:jc w:val="both"/>
        <w:rPr>
          <w:rFonts w:cs="Arial"/>
          <w:i/>
          <w:szCs w:val="24"/>
        </w:rPr>
      </w:pPr>
    </w:p>
    <w:p w14:paraId="30BA1DC5" w14:textId="7CD68201" w:rsidR="000F6E9F" w:rsidRPr="00691A14" w:rsidRDefault="000F6E9F" w:rsidP="000F6E9F">
      <w:pPr>
        <w:autoSpaceDE w:val="0"/>
        <w:autoSpaceDN w:val="0"/>
        <w:adjustRightInd w:val="0"/>
        <w:jc w:val="both"/>
        <w:rPr>
          <w:rFonts w:cs="Arial"/>
          <w:szCs w:val="24"/>
        </w:rPr>
      </w:pPr>
      <w:r w:rsidRPr="00691A14">
        <w:rPr>
          <w:rFonts w:cs="Arial"/>
          <w:szCs w:val="24"/>
        </w:rPr>
        <w:t>The value of the council's uncommitted transitional reserve</w:t>
      </w:r>
      <w:r>
        <w:rPr>
          <w:rFonts w:cs="Arial"/>
          <w:szCs w:val="24"/>
        </w:rPr>
        <w:t>, which is available to support the revenue budget,</w:t>
      </w:r>
      <w:r w:rsidRPr="00691A14">
        <w:rPr>
          <w:rFonts w:cs="Arial"/>
          <w:szCs w:val="24"/>
        </w:rPr>
        <w:t xml:space="preserve"> by the end of the financial year including the 202</w:t>
      </w:r>
      <w:r w:rsidR="00603837">
        <w:rPr>
          <w:rFonts w:cs="Arial"/>
          <w:szCs w:val="24"/>
        </w:rPr>
        <w:t>1</w:t>
      </w:r>
      <w:r w:rsidRPr="00691A14">
        <w:rPr>
          <w:rFonts w:cs="Arial"/>
          <w:szCs w:val="24"/>
        </w:rPr>
        <w:t>/2</w:t>
      </w:r>
      <w:r w:rsidR="00603837">
        <w:rPr>
          <w:rFonts w:cs="Arial"/>
          <w:szCs w:val="24"/>
        </w:rPr>
        <w:t>2</w:t>
      </w:r>
      <w:r w:rsidRPr="00691A14">
        <w:rPr>
          <w:rFonts w:cs="Arial"/>
          <w:szCs w:val="24"/>
        </w:rPr>
        <w:t xml:space="preserve"> forecast underspend is currently forecast to be £</w:t>
      </w:r>
      <w:r w:rsidR="00603837">
        <w:rPr>
          <w:rFonts w:cs="Arial"/>
          <w:szCs w:val="24"/>
        </w:rPr>
        <w:t>204.450</w:t>
      </w:r>
      <w:r w:rsidRPr="00691A14">
        <w:rPr>
          <w:rFonts w:cs="Arial"/>
          <w:szCs w:val="24"/>
        </w:rPr>
        <w:t>m</w:t>
      </w:r>
      <w:r w:rsidR="00603837">
        <w:rPr>
          <w:rFonts w:cs="Arial"/>
          <w:szCs w:val="24"/>
        </w:rPr>
        <w:t xml:space="preserve"> </w:t>
      </w:r>
      <w:r>
        <w:rPr>
          <w:rFonts w:cs="Arial"/>
          <w:szCs w:val="24"/>
        </w:rPr>
        <w:t>and is sufficient to meet the forecast funding gap within the current Medium</w:t>
      </w:r>
      <w:r w:rsidR="00481007">
        <w:rPr>
          <w:rFonts w:cs="Arial"/>
          <w:szCs w:val="24"/>
        </w:rPr>
        <w:t>-</w:t>
      </w:r>
      <w:r>
        <w:rPr>
          <w:rFonts w:cs="Arial"/>
          <w:szCs w:val="24"/>
        </w:rPr>
        <w:t>Term Financial Strategy covering 202</w:t>
      </w:r>
      <w:r w:rsidR="00603837">
        <w:rPr>
          <w:rFonts w:cs="Arial"/>
          <w:szCs w:val="24"/>
        </w:rPr>
        <w:t>2</w:t>
      </w:r>
      <w:r>
        <w:rPr>
          <w:rFonts w:cs="Arial"/>
          <w:szCs w:val="24"/>
        </w:rPr>
        <w:t>/2</w:t>
      </w:r>
      <w:r w:rsidR="00603837">
        <w:rPr>
          <w:rFonts w:cs="Arial"/>
          <w:szCs w:val="24"/>
        </w:rPr>
        <w:t>3</w:t>
      </w:r>
      <w:r>
        <w:rPr>
          <w:rFonts w:cs="Arial"/>
          <w:szCs w:val="24"/>
        </w:rPr>
        <w:t xml:space="preserve"> to 202</w:t>
      </w:r>
      <w:r w:rsidR="00603837">
        <w:rPr>
          <w:rFonts w:cs="Arial"/>
          <w:szCs w:val="24"/>
        </w:rPr>
        <w:t>4</w:t>
      </w:r>
      <w:r>
        <w:rPr>
          <w:rFonts w:cs="Arial"/>
          <w:szCs w:val="24"/>
        </w:rPr>
        <w:t>/2</w:t>
      </w:r>
      <w:r w:rsidR="00603837">
        <w:rPr>
          <w:rFonts w:cs="Arial"/>
          <w:szCs w:val="24"/>
        </w:rPr>
        <w:t>5</w:t>
      </w:r>
      <w:r w:rsidRPr="00691A14">
        <w:rPr>
          <w:rFonts w:cs="Arial"/>
          <w:szCs w:val="24"/>
        </w:rPr>
        <w:t xml:space="preserve">. </w:t>
      </w:r>
    </w:p>
    <w:p w14:paraId="6F14E0C3" w14:textId="77777777" w:rsidR="000F6E9F" w:rsidRPr="004C41BC" w:rsidRDefault="000F6E9F" w:rsidP="000F6E9F">
      <w:pPr>
        <w:autoSpaceDE w:val="0"/>
        <w:autoSpaceDN w:val="0"/>
        <w:adjustRightInd w:val="0"/>
        <w:jc w:val="both"/>
        <w:rPr>
          <w:rFonts w:cs="Arial"/>
          <w:i/>
          <w:szCs w:val="24"/>
          <w:highlight w:val="cyan"/>
        </w:rPr>
      </w:pPr>
    </w:p>
    <w:p w14:paraId="0EFF7CA6" w14:textId="1BD3AAA7" w:rsidR="000F6E9F" w:rsidRPr="00691A14" w:rsidRDefault="000F6E9F" w:rsidP="000F6E9F">
      <w:pPr>
        <w:autoSpaceDE w:val="0"/>
        <w:autoSpaceDN w:val="0"/>
        <w:adjustRightInd w:val="0"/>
        <w:jc w:val="both"/>
        <w:rPr>
          <w:rFonts w:cs="Arial"/>
          <w:szCs w:val="24"/>
        </w:rPr>
      </w:pPr>
      <w:r w:rsidRPr="00691A14">
        <w:rPr>
          <w:rFonts w:cs="Arial"/>
          <w:szCs w:val="24"/>
        </w:rPr>
        <w:t xml:space="preserve">The level of risk evident within the budget has been significant in recent years and </w:t>
      </w:r>
      <w:r>
        <w:rPr>
          <w:rFonts w:cs="Arial"/>
          <w:szCs w:val="24"/>
        </w:rPr>
        <w:t>has been exacerbated by the initial and longer-term impact of the pandemic and the ongoing longer-term uncertainty regarding funding levels. T</w:t>
      </w:r>
      <w:r w:rsidRPr="00691A14">
        <w:rPr>
          <w:rFonts w:cs="Arial"/>
          <w:szCs w:val="24"/>
        </w:rPr>
        <w:t>he revenue budget for 202</w:t>
      </w:r>
      <w:r w:rsidR="00603837">
        <w:rPr>
          <w:rFonts w:cs="Arial"/>
          <w:szCs w:val="24"/>
        </w:rPr>
        <w:t>2</w:t>
      </w:r>
      <w:r w:rsidRPr="00691A14">
        <w:rPr>
          <w:rFonts w:cs="Arial"/>
          <w:szCs w:val="24"/>
        </w:rPr>
        <w:t>/2</w:t>
      </w:r>
      <w:r w:rsidR="00603837">
        <w:rPr>
          <w:rFonts w:cs="Arial"/>
          <w:szCs w:val="24"/>
        </w:rPr>
        <w:t>3</w:t>
      </w:r>
      <w:r w:rsidRPr="00691A14">
        <w:rPr>
          <w:rFonts w:cs="Arial"/>
          <w:szCs w:val="24"/>
        </w:rPr>
        <w:t xml:space="preserve"> will need to be supported by reserves</w:t>
      </w:r>
      <w:r>
        <w:rPr>
          <w:rFonts w:cs="Arial"/>
          <w:szCs w:val="24"/>
        </w:rPr>
        <w:t xml:space="preserve"> with an increasing gap forecast in subsequent years</w:t>
      </w:r>
      <w:r w:rsidRPr="00691A14">
        <w:rPr>
          <w:rFonts w:cs="Arial"/>
          <w:szCs w:val="24"/>
        </w:rPr>
        <w:t>. The transitional reserve allows decisions to be made in a more measured and considered way but does not of itself negate the need for a sustainable budget to be achieved.  While the council's budgetary control procedures are strong in terms of managing in year expenditure, the effectiveness of budgetary control is a combination of systems and processes as well as the risk environment within which the council is operating. It therefore remains an essential requirement that the council continues to ensure that processes are effective in maintaining a grip on in year expenditure and also that there is a clear focus on delivering a balanced and sustainable budget.</w:t>
      </w:r>
    </w:p>
    <w:p w14:paraId="7A5D9DAE" w14:textId="77777777" w:rsidR="000F6E9F" w:rsidRPr="00691A14" w:rsidRDefault="000F6E9F" w:rsidP="000F6E9F">
      <w:pPr>
        <w:autoSpaceDE w:val="0"/>
        <w:autoSpaceDN w:val="0"/>
        <w:adjustRightInd w:val="0"/>
        <w:jc w:val="both"/>
        <w:rPr>
          <w:rFonts w:cs="Arial"/>
          <w:szCs w:val="24"/>
        </w:rPr>
      </w:pPr>
    </w:p>
    <w:p w14:paraId="747710F2" w14:textId="4F21EF4B" w:rsidR="000F6E9F" w:rsidRPr="00304FE1" w:rsidRDefault="000F6E9F" w:rsidP="000F6E9F">
      <w:pPr>
        <w:autoSpaceDE w:val="0"/>
        <w:autoSpaceDN w:val="0"/>
        <w:adjustRightInd w:val="0"/>
        <w:jc w:val="both"/>
        <w:rPr>
          <w:rFonts w:cs="Arial"/>
          <w:szCs w:val="24"/>
        </w:rPr>
      </w:pPr>
      <w:r w:rsidRPr="00691A14">
        <w:rPr>
          <w:rFonts w:cs="Arial"/>
          <w:szCs w:val="24"/>
        </w:rPr>
        <w:t xml:space="preserve">As part of the </w:t>
      </w:r>
      <w:r w:rsidR="00482E33" w:rsidRPr="00691A14">
        <w:rPr>
          <w:rFonts w:cs="Arial"/>
          <w:szCs w:val="24"/>
        </w:rPr>
        <w:t>M</w:t>
      </w:r>
      <w:r w:rsidR="00482E33">
        <w:rPr>
          <w:rFonts w:cs="Arial"/>
          <w:szCs w:val="24"/>
        </w:rPr>
        <w:t>edium-Term</w:t>
      </w:r>
      <w:r>
        <w:rPr>
          <w:rFonts w:cs="Arial"/>
          <w:szCs w:val="24"/>
        </w:rPr>
        <w:t xml:space="preserve"> </w:t>
      </w:r>
      <w:r w:rsidRPr="00691A14">
        <w:rPr>
          <w:rFonts w:cs="Arial"/>
          <w:szCs w:val="24"/>
        </w:rPr>
        <w:t>F</w:t>
      </w:r>
      <w:r>
        <w:rPr>
          <w:rFonts w:cs="Arial"/>
          <w:szCs w:val="24"/>
        </w:rPr>
        <w:t xml:space="preserve">inancial </w:t>
      </w:r>
      <w:r w:rsidRPr="00691A14">
        <w:rPr>
          <w:rFonts w:cs="Arial"/>
          <w:szCs w:val="24"/>
        </w:rPr>
        <w:t>S</w:t>
      </w:r>
      <w:r>
        <w:rPr>
          <w:rFonts w:cs="Arial"/>
          <w:szCs w:val="24"/>
        </w:rPr>
        <w:t>trategy</w:t>
      </w:r>
      <w:r w:rsidRPr="00691A14">
        <w:rPr>
          <w:rFonts w:cs="Arial"/>
          <w:szCs w:val="24"/>
        </w:rPr>
        <w:t xml:space="preserve"> report, scenario analysis and stress tests of the current financial </w:t>
      </w:r>
      <w:r w:rsidRPr="00304FE1">
        <w:rPr>
          <w:rFonts w:cs="Arial"/>
          <w:szCs w:val="24"/>
        </w:rPr>
        <w:t xml:space="preserve">gap and reserves position have been undertaken. </w:t>
      </w:r>
    </w:p>
    <w:p w14:paraId="16D2141F" w14:textId="77777777" w:rsidR="000F6E9F" w:rsidRPr="00304FE1" w:rsidRDefault="000F6E9F" w:rsidP="000F6E9F">
      <w:pPr>
        <w:autoSpaceDE w:val="0"/>
        <w:autoSpaceDN w:val="0"/>
        <w:adjustRightInd w:val="0"/>
        <w:jc w:val="both"/>
        <w:rPr>
          <w:rFonts w:cs="Arial"/>
          <w:i/>
          <w:szCs w:val="24"/>
        </w:rPr>
      </w:pPr>
    </w:p>
    <w:p w14:paraId="145A94A6" w14:textId="374B38A1" w:rsidR="000F6E9F" w:rsidRPr="00304FE1" w:rsidRDefault="000F6E9F" w:rsidP="000F6E9F">
      <w:pPr>
        <w:autoSpaceDE w:val="0"/>
        <w:autoSpaceDN w:val="0"/>
        <w:adjustRightInd w:val="0"/>
        <w:jc w:val="both"/>
        <w:rPr>
          <w:rFonts w:cs="Arial"/>
          <w:szCs w:val="24"/>
        </w:rPr>
      </w:pPr>
      <w:r w:rsidRPr="00304FE1">
        <w:rPr>
          <w:rFonts w:cs="Arial"/>
          <w:szCs w:val="24"/>
        </w:rPr>
        <w:t>Overall, the council has an appropriate level of reserves available to manage the financial risks it is facing from 202</w:t>
      </w:r>
      <w:r w:rsidR="00603837">
        <w:rPr>
          <w:rFonts w:cs="Arial"/>
          <w:szCs w:val="24"/>
        </w:rPr>
        <w:t>2</w:t>
      </w:r>
      <w:r w:rsidRPr="00304FE1">
        <w:rPr>
          <w:rFonts w:cs="Arial"/>
          <w:szCs w:val="24"/>
        </w:rPr>
        <w:t>/2</w:t>
      </w:r>
      <w:r w:rsidR="00603837">
        <w:rPr>
          <w:rFonts w:cs="Arial"/>
          <w:szCs w:val="24"/>
        </w:rPr>
        <w:t>3</w:t>
      </w:r>
      <w:r w:rsidRPr="00304FE1">
        <w:rPr>
          <w:rFonts w:cs="Arial"/>
          <w:szCs w:val="24"/>
        </w:rPr>
        <w:t xml:space="preserve"> to 202</w:t>
      </w:r>
      <w:r w:rsidR="00603837">
        <w:rPr>
          <w:rFonts w:cs="Arial"/>
          <w:szCs w:val="24"/>
        </w:rPr>
        <w:t>4</w:t>
      </w:r>
      <w:r w:rsidRPr="00304FE1">
        <w:rPr>
          <w:rFonts w:cs="Arial"/>
          <w:szCs w:val="24"/>
        </w:rPr>
        <w:t>/2</w:t>
      </w:r>
      <w:r w:rsidR="00603837">
        <w:rPr>
          <w:rFonts w:cs="Arial"/>
          <w:szCs w:val="24"/>
        </w:rPr>
        <w:t>5</w:t>
      </w:r>
      <w:r w:rsidRPr="00304FE1">
        <w:rPr>
          <w:rFonts w:cs="Arial"/>
          <w:szCs w:val="24"/>
        </w:rPr>
        <w:t xml:space="preserve">. However, </w:t>
      </w:r>
      <w:r>
        <w:rPr>
          <w:rFonts w:cs="Arial"/>
          <w:szCs w:val="24"/>
        </w:rPr>
        <w:t xml:space="preserve">on current forecasts </w:t>
      </w:r>
      <w:r w:rsidRPr="00304FE1">
        <w:rPr>
          <w:rFonts w:cs="Arial"/>
          <w:szCs w:val="24"/>
        </w:rPr>
        <w:t xml:space="preserve">it </w:t>
      </w:r>
      <w:r>
        <w:rPr>
          <w:rFonts w:cs="Arial"/>
          <w:szCs w:val="24"/>
        </w:rPr>
        <w:t xml:space="preserve">will be </w:t>
      </w:r>
      <w:r w:rsidRPr="00304FE1">
        <w:rPr>
          <w:rFonts w:cs="Arial"/>
          <w:szCs w:val="24"/>
        </w:rPr>
        <w:t xml:space="preserve">necessary that additional savings are identified to be delivered to bring the council to a financially sustainable position. Any utilisation of remaining reserves should support, wherever possible, activities which reduce ongoing revenue costs. </w:t>
      </w:r>
    </w:p>
    <w:p w14:paraId="6DFB9E20" w14:textId="77777777" w:rsidR="00B74D8E" w:rsidRPr="000D3048" w:rsidRDefault="00B74D8E" w:rsidP="00B74D8E">
      <w:pPr>
        <w:jc w:val="both"/>
        <w:rPr>
          <w:b/>
        </w:rPr>
      </w:pPr>
    </w:p>
    <w:p w14:paraId="6ED05724" w14:textId="77777777" w:rsidR="00B74D8E" w:rsidRPr="000D3048" w:rsidRDefault="00B74D8E" w:rsidP="00B74D8E">
      <w:pPr>
        <w:jc w:val="both"/>
      </w:pPr>
      <w:r w:rsidRPr="000D3048">
        <w:rPr>
          <w:b/>
        </w:rPr>
        <w:t>Implications</w:t>
      </w:r>
      <w:r w:rsidRPr="000D3048">
        <w:t xml:space="preserve">: </w:t>
      </w:r>
    </w:p>
    <w:p w14:paraId="70DF9E56" w14:textId="77777777" w:rsidR="00B74D8E" w:rsidRPr="000D3048" w:rsidRDefault="00B74D8E" w:rsidP="00B74D8E">
      <w:pPr>
        <w:jc w:val="both"/>
      </w:pPr>
    </w:p>
    <w:p w14:paraId="2939F112" w14:textId="77777777" w:rsidR="00B74D8E" w:rsidRPr="000D3048" w:rsidRDefault="00B74D8E" w:rsidP="00B74D8E">
      <w:pPr>
        <w:jc w:val="both"/>
        <w:rPr>
          <w:b/>
        </w:rPr>
      </w:pPr>
      <w:r w:rsidRPr="000D3048">
        <w:rPr>
          <w:b/>
        </w:rPr>
        <w:t>Risk management</w:t>
      </w:r>
    </w:p>
    <w:p w14:paraId="44E871BC" w14:textId="77777777" w:rsidR="00B74D8E" w:rsidRPr="000D3048" w:rsidRDefault="00B74D8E" w:rsidP="00B74D8E">
      <w:pPr>
        <w:jc w:val="both"/>
        <w:rPr>
          <w:b/>
        </w:rPr>
      </w:pPr>
    </w:p>
    <w:p w14:paraId="10B65451" w14:textId="77777777" w:rsidR="00B74D8E" w:rsidRPr="000D3048" w:rsidRDefault="00B74D8E" w:rsidP="00B74D8E">
      <w:pPr>
        <w:jc w:val="both"/>
      </w:pPr>
      <w:r w:rsidRPr="000D3048">
        <w:t>The county council's overall approach to managing financial risks continues to be to identify and acknowledge risks early and build their impact into financial plans while continuing to develop strategies which will minimise their impact. This approach operates in parallel with the identification and setting aside of sufficient resources to manage the financial impact of the change risks facing the organisation.</w:t>
      </w:r>
    </w:p>
    <w:p w14:paraId="144A5D23" w14:textId="77777777" w:rsidR="00B74D8E" w:rsidRPr="000D3048" w:rsidRDefault="00B74D8E" w:rsidP="00B74D8E">
      <w:pPr>
        <w:jc w:val="both"/>
      </w:pPr>
    </w:p>
    <w:p w14:paraId="2B8FEAD8" w14:textId="77777777" w:rsidR="00B74D8E" w:rsidRPr="000D3048" w:rsidRDefault="00B74D8E" w:rsidP="00B74D8E">
      <w:pPr>
        <w:jc w:val="both"/>
      </w:pPr>
      <w:r w:rsidRPr="000D3048">
        <w:t>The financial risks and opportunities that could affect the position outlined in the report primarily cover the following areas. Many of these risks equally present opportunities:</w:t>
      </w:r>
    </w:p>
    <w:p w14:paraId="738610EB" w14:textId="77777777" w:rsidR="00B74D8E" w:rsidRPr="00830F88" w:rsidRDefault="00B74D8E" w:rsidP="00B74D8E">
      <w:pPr>
        <w:jc w:val="both"/>
        <w:rPr>
          <w:highlight w:val="yellow"/>
        </w:rPr>
      </w:pPr>
    </w:p>
    <w:p w14:paraId="0F335D30" w14:textId="77777777" w:rsidR="00B74D8E" w:rsidRPr="000D3048" w:rsidRDefault="00B74D8E" w:rsidP="00B74D8E">
      <w:pPr>
        <w:jc w:val="both"/>
        <w:rPr>
          <w:b/>
        </w:rPr>
      </w:pPr>
      <w:r w:rsidRPr="000D3048">
        <w:rPr>
          <w:b/>
        </w:rPr>
        <w:t>Level of Future Resources from Central Government</w:t>
      </w:r>
    </w:p>
    <w:p w14:paraId="637805D2" w14:textId="77777777" w:rsidR="00B74D8E" w:rsidRPr="000D3048" w:rsidRDefault="00B74D8E" w:rsidP="00B74D8E">
      <w:pPr>
        <w:jc w:val="both"/>
        <w:rPr>
          <w:b/>
        </w:rPr>
      </w:pPr>
    </w:p>
    <w:p w14:paraId="41A0A31D" w14:textId="1BDFD8D4" w:rsidR="00B74D8E" w:rsidRPr="000D3048" w:rsidRDefault="00B74D8E" w:rsidP="00B74D8E">
      <w:pPr>
        <w:jc w:val="both"/>
      </w:pPr>
      <w:r>
        <w:t>Risks remain in relation to the level of resources the council receives from the government in terms of support for the additional pressures as a result of the C</w:t>
      </w:r>
      <w:r w:rsidR="001D11FC">
        <w:t>OVID</w:t>
      </w:r>
      <w:r>
        <w:t>-</w:t>
      </w:r>
      <w:r>
        <w:lastRenderedPageBreak/>
        <w:t xml:space="preserve">19 pandemic, revenue support grant, social care grant, business rates and the fairer funding settlement which has been delayed for a further year. At this point in time there is insufficient detailed information regarding the changes to be certain of the funding assumptions within the </w:t>
      </w:r>
      <w:r w:rsidR="00481007">
        <w:t>M</w:t>
      </w:r>
      <w:r w:rsidR="001D11FC" w:rsidRPr="00B74D8E">
        <w:t>edium</w:t>
      </w:r>
      <w:r w:rsidR="001D11FC">
        <w:t>-</w:t>
      </w:r>
      <w:r w:rsidR="00481007">
        <w:t>T</w:t>
      </w:r>
      <w:r w:rsidR="001D11FC" w:rsidRPr="00B74D8E">
        <w:t xml:space="preserve">erm </w:t>
      </w:r>
      <w:r w:rsidR="00481007">
        <w:t>F</w:t>
      </w:r>
      <w:r w:rsidR="001D11FC" w:rsidRPr="00B74D8E">
        <w:t xml:space="preserve">inancial </w:t>
      </w:r>
      <w:r w:rsidR="00481007">
        <w:t>S</w:t>
      </w:r>
      <w:r w:rsidR="001D11FC" w:rsidRPr="00B74D8E">
        <w:t>trategy</w:t>
      </w:r>
      <w:r w:rsidR="00D352AC">
        <w:t xml:space="preserve"> from 2023/24 onwards</w:t>
      </w:r>
      <w:r w:rsidR="00522F5A">
        <w:t xml:space="preserve"> and a prudent assessment of future funding levels has been made</w:t>
      </w:r>
      <w:r>
        <w:t>.</w:t>
      </w:r>
      <w:r w:rsidR="008B2E52">
        <w:t xml:space="preserve"> We have received the provisional settlement for 2022/23 </w:t>
      </w:r>
      <w:r w:rsidR="00522F5A">
        <w:t xml:space="preserve">and </w:t>
      </w:r>
      <w:r w:rsidR="008B2E52">
        <w:t>the final settlement is due in early February.</w:t>
      </w:r>
      <w:r>
        <w:t xml:space="preserve">  </w:t>
      </w:r>
    </w:p>
    <w:p w14:paraId="463F29E8" w14:textId="77777777" w:rsidR="00B74D8E" w:rsidRPr="000D3048" w:rsidRDefault="00B74D8E" w:rsidP="00B74D8E">
      <w:pPr>
        <w:jc w:val="both"/>
      </w:pPr>
    </w:p>
    <w:p w14:paraId="3ECE8787" w14:textId="77777777" w:rsidR="00B74D8E" w:rsidRPr="000D3048" w:rsidRDefault="00B74D8E" w:rsidP="00B74D8E">
      <w:pPr>
        <w:jc w:val="both"/>
        <w:rPr>
          <w:b/>
        </w:rPr>
      </w:pPr>
      <w:r w:rsidRPr="000D3048">
        <w:rPr>
          <w:b/>
        </w:rPr>
        <w:t>Demand</w:t>
      </w:r>
    </w:p>
    <w:p w14:paraId="3B7B4B86" w14:textId="77777777" w:rsidR="00B74D8E" w:rsidRPr="000D3048" w:rsidRDefault="00B74D8E" w:rsidP="00B74D8E">
      <w:pPr>
        <w:jc w:val="both"/>
        <w:rPr>
          <w:b/>
        </w:rPr>
      </w:pPr>
    </w:p>
    <w:p w14:paraId="762E491D" w14:textId="06D5A2AA" w:rsidR="00B74D8E" w:rsidRPr="000D3048" w:rsidRDefault="00B74D8E" w:rsidP="00B74D8E">
      <w:pPr>
        <w:jc w:val="both"/>
      </w:pPr>
      <w:r>
        <w:t>There is continued pressure on the council's budget</w:t>
      </w:r>
      <w:r w:rsidR="002F410B">
        <w:t xml:space="preserve"> from demand led service areas</w:t>
      </w:r>
      <w:r>
        <w:t xml:space="preserve">, particularly around adult and children's social care, and </w:t>
      </w:r>
      <w:r w:rsidR="00522F5A">
        <w:t xml:space="preserve">whilst </w:t>
      </w:r>
      <w:r>
        <w:t xml:space="preserve">the most up to date demand forecasts have been included, </w:t>
      </w:r>
      <w:r w:rsidR="002F410B">
        <w:t xml:space="preserve">they are subject to volatility and will continue to be closely monitored and reviewed.  </w:t>
      </w:r>
    </w:p>
    <w:p w14:paraId="29D6B04F" w14:textId="77777777" w:rsidR="00B74D8E" w:rsidRPr="000D3048" w:rsidRDefault="00B74D8E" w:rsidP="00B74D8E">
      <w:pPr>
        <w:jc w:val="both"/>
      </w:pPr>
      <w:r w:rsidRPr="000D3048">
        <w:t xml:space="preserve"> </w:t>
      </w:r>
    </w:p>
    <w:p w14:paraId="6CE9893F" w14:textId="77777777" w:rsidR="00B74D8E" w:rsidRPr="000D3048" w:rsidRDefault="00B74D8E" w:rsidP="00B74D8E">
      <w:pPr>
        <w:jc w:val="both"/>
        <w:rPr>
          <w:b/>
        </w:rPr>
      </w:pPr>
      <w:r w:rsidRPr="000D3048">
        <w:rPr>
          <w:b/>
        </w:rPr>
        <w:t>Inflation</w:t>
      </w:r>
    </w:p>
    <w:p w14:paraId="3A0FF5F2" w14:textId="77777777" w:rsidR="00B74D8E" w:rsidRPr="000D3048" w:rsidRDefault="00B74D8E" w:rsidP="00B74D8E">
      <w:pPr>
        <w:jc w:val="both"/>
        <w:rPr>
          <w:b/>
        </w:rPr>
      </w:pPr>
    </w:p>
    <w:p w14:paraId="70829DDA" w14:textId="54DCB243" w:rsidR="00B74D8E" w:rsidRPr="000D3048" w:rsidRDefault="00B74D8E" w:rsidP="00B74D8E">
      <w:pPr>
        <w:jc w:val="both"/>
      </w:pPr>
      <w:r w:rsidRPr="000D3048">
        <w:t xml:space="preserve">A significant level of additional resource has been included in the </w:t>
      </w:r>
      <w:r w:rsidR="001D11FC" w:rsidRPr="00B74D8E">
        <w:t>medium</w:t>
      </w:r>
      <w:r w:rsidR="001D11FC">
        <w:t>-</w:t>
      </w:r>
      <w:r w:rsidR="001D11FC" w:rsidRPr="00B74D8E">
        <w:t>term financial strategy</w:t>
      </w:r>
      <w:r w:rsidRPr="000D3048">
        <w:t xml:space="preserve">, primarily on contractual price increases and particularly on social care where there are nationally recognised funding issues in the residential and domiciliary care markets. In addition, the </w:t>
      </w:r>
      <w:r w:rsidR="001D11FC" w:rsidRPr="00B74D8E">
        <w:t>medium</w:t>
      </w:r>
      <w:r w:rsidR="001D11FC">
        <w:t>-</w:t>
      </w:r>
      <w:r w:rsidR="001D11FC" w:rsidRPr="00B74D8E">
        <w:t>term financial strategy</w:t>
      </w:r>
      <w:r w:rsidRPr="000D3048">
        <w:t xml:space="preserve"> includes </w:t>
      </w:r>
      <w:r w:rsidR="00D352AC">
        <w:t>funding for fee increase</w:t>
      </w:r>
      <w:r w:rsidRPr="000D3048">
        <w:t xml:space="preserve"> that enable independent sector providers to meet the </w:t>
      </w:r>
      <w:r w:rsidR="00D352AC">
        <w:t xml:space="preserve">significant </w:t>
      </w:r>
      <w:r w:rsidRPr="000D3048">
        <w:t xml:space="preserve">additional costs of the </w:t>
      </w:r>
      <w:r w:rsidR="00D352AC">
        <w:t xml:space="preserve">increases in the </w:t>
      </w:r>
      <w:r w:rsidRPr="000D3048">
        <w:t>national living wage.</w:t>
      </w:r>
    </w:p>
    <w:p w14:paraId="5630AD66" w14:textId="77777777" w:rsidR="00B74D8E" w:rsidRPr="000D3048" w:rsidRDefault="00B74D8E" w:rsidP="00B74D8E">
      <w:pPr>
        <w:jc w:val="both"/>
      </w:pPr>
    </w:p>
    <w:p w14:paraId="35EC0FCD" w14:textId="77777777" w:rsidR="00B74D8E" w:rsidRPr="000D3048" w:rsidRDefault="00B74D8E" w:rsidP="00B74D8E">
      <w:pPr>
        <w:jc w:val="both"/>
        <w:rPr>
          <w:b/>
        </w:rPr>
      </w:pPr>
      <w:r w:rsidRPr="000D3048">
        <w:rPr>
          <w:b/>
        </w:rPr>
        <w:t>Delivery</w:t>
      </w:r>
    </w:p>
    <w:p w14:paraId="61829076" w14:textId="77777777" w:rsidR="00B74D8E" w:rsidRPr="000D3048" w:rsidRDefault="00B74D8E" w:rsidP="00B74D8E">
      <w:pPr>
        <w:jc w:val="both"/>
        <w:rPr>
          <w:b/>
        </w:rPr>
      </w:pPr>
    </w:p>
    <w:p w14:paraId="11E86AA6" w14:textId="1CA0B81D" w:rsidR="00B74D8E" w:rsidRDefault="00B74D8E" w:rsidP="00B74D8E">
      <w:pPr>
        <w:jc w:val="both"/>
      </w:pPr>
      <w:r>
        <w:t xml:space="preserve">The </w:t>
      </w:r>
      <w:r w:rsidR="00481007">
        <w:t>M</w:t>
      </w:r>
      <w:r w:rsidR="001D11FC" w:rsidRPr="00B74D8E">
        <w:t>edium</w:t>
      </w:r>
      <w:r w:rsidR="001D11FC">
        <w:t>-</w:t>
      </w:r>
      <w:r w:rsidR="00481007">
        <w:t>T</w:t>
      </w:r>
      <w:r w:rsidR="001D11FC" w:rsidRPr="00B74D8E">
        <w:t xml:space="preserve">erm </w:t>
      </w:r>
      <w:r w:rsidR="00481007">
        <w:t>F</w:t>
      </w:r>
      <w:r w:rsidR="001D11FC" w:rsidRPr="00B74D8E">
        <w:t xml:space="preserve">inancial </w:t>
      </w:r>
      <w:r w:rsidR="00481007">
        <w:t>S</w:t>
      </w:r>
      <w:r w:rsidR="001D11FC" w:rsidRPr="00B74D8E">
        <w:t>trategy</w:t>
      </w:r>
      <w:r>
        <w:t xml:space="preserve"> assumes that agreed savings including those delayed as a result of C</w:t>
      </w:r>
      <w:r w:rsidR="001D11FC">
        <w:t>OVID</w:t>
      </w:r>
      <w:r>
        <w:t xml:space="preserve">-19 will be delivered </w:t>
      </w:r>
      <w:r w:rsidR="00D352AC">
        <w:t>fully by 2023/24</w:t>
      </w:r>
      <w:r>
        <w:t>. There are also a significant number of other factors, both internal and external, which may impact upon delivery, and these will need to be clearly identified and either minimised or optimised as appropriate.</w:t>
      </w:r>
    </w:p>
    <w:p w14:paraId="2BA226A1" w14:textId="77777777" w:rsidR="00B74D8E" w:rsidRPr="00872D90" w:rsidRDefault="00B74D8E" w:rsidP="00B74D8E">
      <w:pPr>
        <w:jc w:val="both"/>
        <w:rPr>
          <w:b/>
        </w:rPr>
      </w:pPr>
    </w:p>
    <w:p w14:paraId="03B391FE" w14:textId="77777777" w:rsidR="00B74D8E" w:rsidRPr="00872D90" w:rsidRDefault="00B74D8E" w:rsidP="00B74D8E">
      <w:pPr>
        <w:jc w:val="both"/>
        <w:rPr>
          <w:b/>
        </w:rPr>
      </w:pPr>
      <w:r w:rsidRPr="00872D90">
        <w:rPr>
          <w:b/>
        </w:rPr>
        <w:t xml:space="preserve">Legal </w:t>
      </w:r>
    </w:p>
    <w:p w14:paraId="0A6959E7" w14:textId="77777777" w:rsidR="00B74D8E" w:rsidRDefault="00B74D8E" w:rsidP="00B74D8E">
      <w:pPr>
        <w:jc w:val="both"/>
      </w:pPr>
      <w:r>
        <w:t xml:space="preserve"> </w:t>
      </w:r>
    </w:p>
    <w:p w14:paraId="6A0DC0CB" w14:textId="77777777" w:rsidR="00B74D8E" w:rsidRPr="000D3048" w:rsidRDefault="00B74D8E" w:rsidP="00B74D8E">
      <w:pPr>
        <w:jc w:val="both"/>
      </w:pPr>
      <w:r>
        <w:t>Please note that matters referred to in this financial forecast will be subject to council consideration where appropriate</w:t>
      </w:r>
      <w:r w:rsidR="001D11FC">
        <w:t>.</w:t>
      </w:r>
    </w:p>
    <w:p w14:paraId="17AD93B2" w14:textId="77777777" w:rsidR="00B74D8E" w:rsidRPr="000D3048" w:rsidRDefault="00B74D8E" w:rsidP="00B74D8E">
      <w:pPr>
        <w:jc w:val="both"/>
      </w:pPr>
    </w:p>
    <w:p w14:paraId="6FDF44DF" w14:textId="77777777" w:rsidR="00B74D8E" w:rsidRPr="000D3048" w:rsidRDefault="00B74D8E" w:rsidP="00B74D8E">
      <w:pPr>
        <w:jc w:val="both"/>
        <w:rPr>
          <w:b/>
        </w:rPr>
      </w:pPr>
      <w:r w:rsidRPr="000D3048">
        <w:rPr>
          <w:b/>
        </w:rPr>
        <w:t>List of Background Papers</w:t>
      </w:r>
    </w:p>
    <w:p w14:paraId="0DE4B5B7" w14:textId="77777777" w:rsidR="00B74D8E" w:rsidRPr="000D3048" w:rsidRDefault="00B74D8E" w:rsidP="00B74D8E">
      <w:pPr>
        <w:jc w:val="both"/>
      </w:pPr>
    </w:p>
    <w:tbl>
      <w:tblPr>
        <w:tblW w:w="9180" w:type="dxa"/>
        <w:tblInd w:w="-108" w:type="dxa"/>
        <w:tblLayout w:type="fixed"/>
        <w:tblLook w:val="0000" w:firstRow="0" w:lastRow="0" w:firstColumn="0" w:lastColumn="0" w:noHBand="0" w:noVBand="0"/>
      </w:tblPr>
      <w:tblGrid>
        <w:gridCol w:w="3227"/>
        <w:gridCol w:w="2775"/>
        <w:gridCol w:w="3178"/>
      </w:tblGrid>
      <w:tr w:rsidR="005A7618" w14:paraId="32F2D26C" w14:textId="77777777" w:rsidTr="00481007">
        <w:trPr>
          <w:trHeight w:val="113"/>
        </w:trPr>
        <w:tc>
          <w:tcPr>
            <w:tcW w:w="3227" w:type="dxa"/>
          </w:tcPr>
          <w:p w14:paraId="33653041" w14:textId="77777777" w:rsidR="00B74D8E" w:rsidRPr="000D3048" w:rsidRDefault="00B74D8E" w:rsidP="000F3319">
            <w:pPr>
              <w:jc w:val="both"/>
            </w:pPr>
            <w:r w:rsidRPr="000D3048">
              <w:t>Paper</w:t>
            </w:r>
          </w:p>
        </w:tc>
        <w:tc>
          <w:tcPr>
            <w:tcW w:w="2775" w:type="dxa"/>
          </w:tcPr>
          <w:p w14:paraId="491072FA" w14:textId="77777777" w:rsidR="00B74D8E" w:rsidRPr="000D3048" w:rsidRDefault="00B74D8E" w:rsidP="000F3319">
            <w:pPr>
              <w:jc w:val="both"/>
            </w:pPr>
            <w:r w:rsidRPr="000D3048">
              <w:t>Date</w:t>
            </w:r>
          </w:p>
        </w:tc>
        <w:tc>
          <w:tcPr>
            <w:tcW w:w="3178" w:type="dxa"/>
          </w:tcPr>
          <w:p w14:paraId="65A68CC2" w14:textId="77777777" w:rsidR="00B74D8E" w:rsidRPr="000D3048" w:rsidRDefault="00B74D8E" w:rsidP="000F3319">
            <w:pPr>
              <w:jc w:val="both"/>
            </w:pPr>
            <w:r w:rsidRPr="000D3048">
              <w:t>Contact/Tel</w:t>
            </w:r>
          </w:p>
        </w:tc>
      </w:tr>
      <w:tr w:rsidR="005A7618" w14:paraId="48C9DA01" w14:textId="77777777" w:rsidTr="00481007">
        <w:tc>
          <w:tcPr>
            <w:tcW w:w="3227" w:type="dxa"/>
          </w:tcPr>
          <w:p w14:paraId="66204FF1" w14:textId="77777777" w:rsidR="00B74D8E" w:rsidRPr="000D3048" w:rsidRDefault="00B74D8E" w:rsidP="000F3319">
            <w:pPr>
              <w:jc w:val="both"/>
            </w:pPr>
          </w:p>
          <w:p w14:paraId="3161A9A1" w14:textId="77777777" w:rsidR="00B74D8E" w:rsidRPr="000D3048" w:rsidRDefault="00B74D8E" w:rsidP="000F3319">
            <w:pPr>
              <w:jc w:val="both"/>
            </w:pPr>
            <w:r w:rsidRPr="000D3048">
              <w:t>None</w:t>
            </w:r>
          </w:p>
        </w:tc>
        <w:tc>
          <w:tcPr>
            <w:tcW w:w="2775" w:type="dxa"/>
          </w:tcPr>
          <w:p w14:paraId="2DBF0D7D" w14:textId="77777777" w:rsidR="00B74D8E" w:rsidRPr="000D3048" w:rsidRDefault="00B74D8E" w:rsidP="000F3319">
            <w:pPr>
              <w:jc w:val="both"/>
            </w:pPr>
          </w:p>
        </w:tc>
        <w:tc>
          <w:tcPr>
            <w:tcW w:w="3178" w:type="dxa"/>
          </w:tcPr>
          <w:p w14:paraId="6B62F1B3" w14:textId="77777777" w:rsidR="00B74D8E" w:rsidRPr="000D3048" w:rsidRDefault="00B74D8E" w:rsidP="000F3319">
            <w:pPr>
              <w:jc w:val="both"/>
            </w:pPr>
          </w:p>
        </w:tc>
      </w:tr>
      <w:tr w:rsidR="005A7618" w14:paraId="48EEC103" w14:textId="77777777" w:rsidTr="00481007">
        <w:tc>
          <w:tcPr>
            <w:tcW w:w="9180" w:type="dxa"/>
            <w:gridSpan w:val="3"/>
          </w:tcPr>
          <w:p w14:paraId="02F2C34E" w14:textId="77777777" w:rsidR="00B74D8E" w:rsidRPr="000D3048" w:rsidRDefault="00B74D8E" w:rsidP="000F3319">
            <w:pPr>
              <w:jc w:val="both"/>
            </w:pPr>
          </w:p>
          <w:p w14:paraId="50F87000" w14:textId="77777777" w:rsidR="00B74D8E" w:rsidRPr="000D3048" w:rsidRDefault="00B74D8E" w:rsidP="000F3319">
            <w:pPr>
              <w:jc w:val="both"/>
            </w:pPr>
            <w:r w:rsidRPr="000D3048">
              <w:t>Reason for inclusion in Part II, if appropriate</w:t>
            </w:r>
          </w:p>
          <w:p w14:paraId="680A4E5D" w14:textId="77777777" w:rsidR="00B74D8E" w:rsidRPr="000D3048" w:rsidRDefault="00B74D8E" w:rsidP="000F3319">
            <w:pPr>
              <w:jc w:val="both"/>
            </w:pPr>
          </w:p>
          <w:p w14:paraId="629D792A" w14:textId="77777777" w:rsidR="00B74D8E" w:rsidRPr="000231C8" w:rsidRDefault="00B74D8E" w:rsidP="000F3319">
            <w:pPr>
              <w:jc w:val="both"/>
            </w:pPr>
            <w:r w:rsidRPr="000D3048">
              <w:t>N/A</w:t>
            </w:r>
          </w:p>
          <w:p w14:paraId="19219836" w14:textId="77777777" w:rsidR="00B74D8E" w:rsidRPr="000231C8" w:rsidRDefault="00B74D8E" w:rsidP="000F3319">
            <w:pPr>
              <w:jc w:val="both"/>
            </w:pPr>
          </w:p>
        </w:tc>
      </w:tr>
    </w:tbl>
    <w:p w14:paraId="296FEF7D" w14:textId="77777777" w:rsidR="00B74D8E" w:rsidRDefault="00B74D8E" w:rsidP="00B74D8E"/>
    <w:p w14:paraId="7194DBDC" w14:textId="77777777" w:rsidR="00B74D8E" w:rsidRDefault="00B74D8E" w:rsidP="00B74D8E">
      <w:pPr>
        <w:rPr>
          <w:b/>
        </w:rPr>
      </w:pPr>
    </w:p>
    <w:sectPr w:rsidR="00B74D8E" w:rsidSect="00BC6390">
      <w:footerReference w:type="default" r:id="rId9"/>
      <w:footerReference w:type="first" r:id="rId10"/>
      <w:type w:val="continuous"/>
      <w:pgSz w:w="11907" w:h="16840" w:code="9"/>
      <w:pgMar w:top="1440"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EC819" w14:textId="77777777" w:rsidR="00D302A6" w:rsidRDefault="00D302A6">
      <w:r>
        <w:separator/>
      </w:r>
    </w:p>
  </w:endnote>
  <w:endnote w:type="continuationSeparator" w:id="0">
    <w:p w14:paraId="0B9D643C" w14:textId="77777777" w:rsidR="00D302A6" w:rsidRDefault="00D302A6">
      <w:r>
        <w:continuationSeparator/>
      </w:r>
    </w:p>
  </w:endnote>
  <w:endnote w:type="continuationNotice" w:id="1">
    <w:p w14:paraId="432DEECC" w14:textId="77777777" w:rsidR="00777806" w:rsidRDefault="00777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5A7618" w14:paraId="6D072C0D" w14:textId="77777777">
      <w:tc>
        <w:tcPr>
          <w:tcW w:w="9243" w:type="dxa"/>
          <w:tcBorders>
            <w:top w:val="nil"/>
            <w:left w:val="nil"/>
            <w:bottom w:val="nil"/>
            <w:right w:val="nil"/>
          </w:tcBorders>
        </w:tcPr>
        <w:p w14:paraId="48A21919" w14:textId="77777777" w:rsidR="00DF043B" w:rsidRDefault="00DF043B">
          <w:pPr>
            <w:pStyle w:val="Footer"/>
            <w:tabs>
              <w:tab w:val="clear" w:pos="4153"/>
            </w:tabs>
            <w:ind w:right="-45"/>
            <w:jc w:val="right"/>
          </w:pPr>
        </w:p>
      </w:tc>
    </w:tr>
  </w:tbl>
  <w:p w14:paraId="6BD18F9B" w14:textId="77777777" w:rsidR="00DF043B" w:rsidRDefault="00DF043B">
    <w:pPr>
      <w:pStyle w:val="Footer"/>
      <w:tabs>
        <w:tab w:val="clear" w:pos="4153"/>
      </w:tabs>
      <w:ind w:right="-45"/>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5A7618" w14:paraId="30D7AA69" w14:textId="77777777">
      <w:tc>
        <w:tcPr>
          <w:tcW w:w="9243" w:type="dxa"/>
          <w:tcBorders>
            <w:top w:val="nil"/>
            <w:left w:val="nil"/>
            <w:bottom w:val="nil"/>
            <w:right w:val="nil"/>
          </w:tcBorders>
        </w:tcPr>
        <w:p w14:paraId="7196D064" w14:textId="77777777" w:rsidR="0036487C" w:rsidRDefault="002454E4" w:rsidP="004D419B">
          <w:pPr>
            <w:pStyle w:val="Footer"/>
            <w:tabs>
              <w:tab w:val="clear" w:pos="4153"/>
            </w:tabs>
            <w:ind w:right="-45"/>
            <w:jc w:val="right"/>
          </w:pPr>
          <w:r>
            <w:rPr>
              <w:noProof/>
            </w:rPr>
            <w:drawing>
              <wp:inline distT="0" distB="0" distL="0" distR="0" wp14:anchorId="6FCEAF7F" wp14:editId="07777777">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14:paraId="34FF1C98" w14:textId="77777777" w:rsidR="00DF043B" w:rsidRPr="0036487C" w:rsidRDefault="00DF043B" w:rsidP="00364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E5D28" w14:textId="77777777" w:rsidR="00D302A6" w:rsidRDefault="00D302A6">
      <w:r>
        <w:separator/>
      </w:r>
    </w:p>
  </w:footnote>
  <w:footnote w:type="continuationSeparator" w:id="0">
    <w:p w14:paraId="654832F5" w14:textId="77777777" w:rsidR="00D302A6" w:rsidRDefault="00D302A6">
      <w:r>
        <w:continuationSeparator/>
      </w:r>
    </w:p>
  </w:footnote>
  <w:footnote w:type="continuationNotice" w:id="1">
    <w:p w14:paraId="6E282961" w14:textId="77777777" w:rsidR="00777806" w:rsidRDefault="00777806"/>
  </w:footnote>
</w:footnotes>
</file>

<file path=word/intelligence.xml><?xml version="1.0" encoding="utf-8"?>
<int:Intelligence xmlns:int="http://schemas.microsoft.com/office/intelligence/2019/intelligence">
  <int:IntelligenceSettings/>
  <int:Manifest>
    <int:WordHash hashCode="VRd/LyDcPFdCnc" id="bNXQieQf"/>
    <int:WordHash hashCode="T+7yCiXmAbluiI" id="EPwlfQd8"/>
    <int:WordHash hashCode="bPh2UAPvDHtMJM" id="QK5Ch7CU"/>
    <int:WordHash hashCode="0lXQ0GySJQ8tJA" id="jbqPnFg1"/>
    <int:WordHash hashCode="FhxCN58vOqq4SL" id="YIbDQnZ3"/>
    <int:WordHash hashCode="5cEnj+BQkBZE21" id="8dVqFrJv"/>
    <int:WordHash hashCode="6X/4wpXdfDElP/" id="9rdEqCUX"/>
    <int:WordHash hashCode="6bURrZZxBYj2ZZ" id="TkvkZLdi"/>
    <int:WordHash hashCode="GluGdmDhqwZUJ7" id="dBXKKVLD"/>
    <int:WordHash hashCode="gu5Zvpi53ZN4Op" id="GF0tDtIt"/>
  </int:Manifest>
  <int:Observations>
    <int:Content id="bNXQieQf">
      <int:Rejection type="AugLoop_Text_Critique"/>
    </int:Content>
    <int:Content id="EPwlfQd8">
      <int:Rejection type="AugLoop_Text_Critique"/>
    </int:Content>
    <int:Content id="QK5Ch7CU">
      <int:Rejection type="AugLoop_Text_Critique"/>
    </int:Content>
    <int:Content id="jbqPnFg1">
      <int:Rejection type="AugLoop_Text_Critique"/>
    </int:Content>
    <int:Content id="YIbDQnZ3">
      <int:Rejection type="AugLoop_Text_Critique"/>
    </int:Content>
    <int:Content id="8dVqFrJv">
      <int:Rejection type="AugLoop_Text_Critique"/>
    </int:Content>
    <int:Content id="9rdEqCUX">
      <int:Rejection type="AugLoop_Text_Critique"/>
    </int:Content>
    <int:Content id="TkvkZLdi">
      <int:Rejection type="AugLoop_Text_Critique"/>
    </int:Content>
    <int:Content id="dBXKKVLD">
      <int:Rejection type="AugLoop_Text_Critique"/>
    </int:Content>
    <int:Content id="GF0tDtIt">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63A20"/>
    <w:multiLevelType w:val="hybridMultilevel"/>
    <w:tmpl w:val="2724147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908032B"/>
    <w:multiLevelType w:val="hybridMultilevel"/>
    <w:tmpl w:val="484CE61C"/>
    <w:lvl w:ilvl="0" w:tplc="BD0E36CC">
      <w:start w:val="1"/>
      <w:numFmt w:val="lowerRoman"/>
      <w:lvlText w:val="(%1)"/>
      <w:lvlJc w:val="left"/>
      <w:pPr>
        <w:ind w:left="644" w:hanging="360"/>
      </w:pPr>
      <w:rPr>
        <w:rFonts w:ascii="Arial" w:hAnsi="Arial" w:cs="Arial" w:hint="default"/>
        <w:b w:val="0"/>
        <w:sz w:val="24"/>
        <w:szCs w:val="24"/>
      </w:rPr>
    </w:lvl>
    <w:lvl w:ilvl="1" w:tplc="8E42DCFC">
      <w:start w:val="1"/>
      <w:numFmt w:val="lowerLetter"/>
      <w:lvlText w:val="%2."/>
      <w:lvlJc w:val="left"/>
      <w:pPr>
        <w:ind w:left="1440" w:hanging="360"/>
      </w:pPr>
    </w:lvl>
    <w:lvl w:ilvl="2" w:tplc="6DDC2908">
      <w:start w:val="1"/>
      <w:numFmt w:val="lowerRoman"/>
      <w:lvlText w:val="%3."/>
      <w:lvlJc w:val="right"/>
      <w:pPr>
        <w:ind w:left="2160" w:hanging="180"/>
      </w:pPr>
    </w:lvl>
    <w:lvl w:ilvl="3" w:tplc="9EEC2E1C">
      <w:start w:val="1"/>
      <w:numFmt w:val="decimal"/>
      <w:lvlText w:val="%4."/>
      <w:lvlJc w:val="left"/>
      <w:pPr>
        <w:ind w:left="2880" w:hanging="360"/>
      </w:pPr>
    </w:lvl>
    <w:lvl w:ilvl="4" w:tplc="3F24A3AC">
      <w:start w:val="1"/>
      <w:numFmt w:val="lowerLetter"/>
      <w:lvlText w:val="%5."/>
      <w:lvlJc w:val="left"/>
      <w:pPr>
        <w:ind w:left="3600" w:hanging="360"/>
      </w:pPr>
    </w:lvl>
    <w:lvl w:ilvl="5" w:tplc="9D9CFA00" w:tentative="1">
      <w:start w:val="1"/>
      <w:numFmt w:val="lowerRoman"/>
      <w:lvlText w:val="%6."/>
      <w:lvlJc w:val="right"/>
      <w:pPr>
        <w:ind w:left="4320" w:hanging="180"/>
      </w:pPr>
    </w:lvl>
    <w:lvl w:ilvl="6" w:tplc="8C7CE97E" w:tentative="1">
      <w:start w:val="1"/>
      <w:numFmt w:val="decimal"/>
      <w:lvlText w:val="%7."/>
      <w:lvlJc w:val="left"/>
      <w:pPr>
        <w:ind w:left="5040" w:hanging="360"/>
      </w:pPr>
    </w:lvl>
    <w:lvl w:ilvl="7" w:tplc="3050BF12" w:tentative="1">
      <w:start w:val="1"/>
      <w:numFmt w:val="lowerLetter"/>
      <w:lvlText w:val="%8."/>
      <w:lvlJc w:val="left"/>
      <w:pPr>
        <w:ind w:left="5760" w:hanging="360"/>
      </w:pPr>
    </w:lvl>
    <w:lvl w:ilvl="8" w:tplc="894EF5E0" w:tentative="1">
      <w:start w:val="1"/>
      <w:numFmt w:val="lowerRoman"/>
      <w:lvlText w:val="%9."/>
      <w:lvlJc w:val="right"/>
      <w:pPr>
        <w:ind w:left="6480" w:hanging="180"/>
      </w:pPr>
    </w:lvl>
  </w:abstractNum>
  <w:abstractNum w:abstractNumId="2" w15:restartNumberingAfterBreak="0">
    <w:nsid w:val="1BC45A8C"/>
    <w:multiLevelType w:val="hybridMultilevel"/>
    <w:tmpl w:val="EEAE10A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C371D6E"/>
    <w:multiLevelType w:val="hybridMultilevel"/>
    <w:tmpl w:val="F488BB04"/>
    <w:lvl w:ilvl="0" w:tplc="8968E1D8">
      <w:start w:val="1"/>
      <w:numFmt w:val="lowerRoman"/>
      <w:lvlText w:val="(%1)"/>
      <w:lvlJc w:val="left"/>
      <w:pPr>
        <w:ind w:left="720" w:hanging="360"/>
      </w:pPr>
      <w:rPr>
        <w:rFonts w:ascii="Arial" w:hAnsi="Arial" w:cs="Arial" w:hint="default"/>
        <w:b w:val="0"/>
        <w:sz w:val="24"/>
        <w:szCs w:val="24"/>
      </w:rPr>
    </w:lvl>
    <w:lvl w:ilvl="1" w:tplc="B35EAD42" w:tentative="1">
      <w:start w:val="1"/>
      <w:numFmt w:val="lowerLetter"/>
      <w:lvlText w:val="%2."/>
      <w:lvlJc w:val="left"/>
      <w:pPr>
        <w:ind w:left="1440" w:hanging="360"/>
      </w:pPr>
    </w:lvl>
    <w:lvl w:ilvl="2" w:tplc="6298DD4A" w:tentative="1">
      <w:start w:val="1"/>
      <w:numFmt w:val="lowerRoman"/>
      <w:lvlText w:val="%3."/>
      <w:lvlJc w:val="right"/>
      <w:pPr>
        <w:ind w:left="2160" w:hanging="180"/>
      </w:pPr>
    </w:lvl>
    <w:lvl w:ilvl="3" w:tplc="2096624E" w:tentative="1">
      <w:start w:val="1"/>
      <w:numFmt w:val="decimal"/>
      <w:lvlText w:val="%4."/>
      <w:lvlJc w:val="left"/>
      <w:pPr>
        <w:ind w:left="2880" w:hanging="360"/>
      </w:pPr>
    </w:lvl>
    <w:lvl w:ilvl="4" w:tplc="B6A2EC70" w:tentative="1">
      <w:start w:val="1"/>
      <w:numFmt w:val="lowerLetter"/>
      <w:lvlText w:val="%5."/>
      <w:lvlJc w:val="left"/>
      <w:pPr>
        <w:ind w:left="3600" w:hanging="360"/>
      </w:pPr>
    </w:lvl>
    <w:lvl w:ilvl="5" w:tplc="3B4E95EC" w:tentative="1">
      <w:start w:val="1"/>
      <w:numFmt w:val="lowerRoman"/>
      <w:lvlText w:val="%6."/>
      <w:lvlJc w:val="right"/>
      <w:pPr>
        <w:ind w:left="4320" w:hanging="180"/>
      </w:pPr>
    </w:lvl>
    <w:lvl w:ilvl="6" w:tplc="21540784" w:tentative="1">
      <w:start w:val="1"/>
      <w:numFmt w:val="decimal"/>
      <w:lvlText w:val="%7."/>
      <w:lvlJc w:val="left"/>
      <w:pPr>
        <w:ind w:left="5040" w:hanging="360"/>
      </w:pPr>
    </w:lvl>
    <w:lvl w:ilvl="7" w:tplc="D1CE81B2" w:tentative="1">
      <w:start w:val="1"/>
      <w:numFmt w:val="lowerLetter"/>
      <w:lvlText w:val="%8."/>
      <w:lvlJc w:val="left"/>
      <w:pPr>
        <w:ind w:left="5760" w:hanging="360"/>
      </w:pPr>
    </w:lvl>
    <w:lvl w:ilvl="8" w:tplc="F146CA70" w:tentative="1">
      <w:start w:val="1"/>
      <w:numFmt w:val="lowerRoman"/>
      <w:lvlText w:val="%9."/>
      <w:lvlJc w:val="right"/>
      <w:pPr>
        <w:ind w:left="6480" w:hanging="180"/>
      </w:pPr>
    </w:lvl>
  </w:abstractNum>
  <w:abstractNum w:abstractNumId="4" w15:restartNumberingAfterBreak="0">
    <w:nsid w:val="1E9030C6"/>
    <w:multiLevelType w:val="hybridMultilevel"/>
    <w:tmpl w:val="D730CA62"/>
    <w:lvl w:ilvl="0" w:tplc="7E86423A">
      <w:start w:val="1"/>
      <w:numFmt w:val="bullet"/>
      <w:lvlText w:val=""/>
      <w:lvlJc w:val="left"/>
      <w:pPr>
        <w:ind w:left="720" w:hanging="360"/>
      </w:pPr>
      <w:rPr>
        <w:rFonts w:ascii="Symbol" w:hAnsi="Symbol" w:hint="default"/>
      </w:rPr>
    </w:lvl>
    <w:lvl w:ilvl="1" w:tplc="2E1C2C4A" w:tentative="1">
      <w:start w:val="1"/>
      <w:numFmt w:val="bullet"/>
      <w:lvlText w:val="o"/>
      <w:lvlJc w:val="left"/>
      <w:pPr>
        <w:ind w:left="1440" w:hanging="360"/>
      </w:pPr>
      <w:rPr>
        <w:rFonts w:ascii="Courier New" w:hAnsi="Courier New" w:cs="Courier New" w:hint="default"/>
      </w:rPr>
    </w:lvl>
    <w:lvl w:ilvl="2" w:tplc="918664BE" w:tentative="1">
      <w:start w:val="1"/>
      <w:numFmt w:val="bullet"/>
      <w:lvlText w:val=""/>
      <w:lvlJc w:val="left"/>
      <w:pPr>
        <w:ind w:left="2160" w:hanging="360"/>
      </w:pPr>
      <w:rPr>
        <w:rFonts w:ascii="Wingdings" w:hAnsi="Wingdings" w:hint="default"/>
      </w:rPr>
    </w:lvl>
    <w:lvl w:ilvl="3" w:tplc="667C030A" w:tentative="1">
      <w:start w:val="1"/>
      <w:numFmt w:val="bullet"/>
      <w:lvlText w:val=""/>
      <w:lvlJc w:val="left"/>
      <w:pPr>
        <w:ind w:left="2880" w:hanging="360"/>
      </w:pPr>
      <w:rPr>
        <w:rFonts w:ascii="Symbol" w:hAnsi="Symbol" w:hint="default"/>
      </w:rPr>
    </w:lvl>
    <w:lvl w:ilvl="4" w:tplc="DCFEBF28" w:tentative="1">
      <w:start w:val="1"/>
      <w:numFmt w:val="bullet"/>
      <w:lvlText w:val="o"/>
      <w:lvlJc w:val="left"/>
      <w:pPr>
        <w:ind w:left="3600" w:hanging="360"/>
      </w:pPr>
      <w:rPr>
        <w:rFonts w:ascii="Courier New" w:hAnsi="Courier New" w:cs="Courier New" w:hint="default"/>
      </w:rPr>
    </w:lvl>
    <w:lvl w:ilvl="5" w:tplc="EFD2E9FC" w:tentative="1">
      <w:start w:val="1"/>
      <w:numFmt w:val="bullet"/>
      <w:lvlText w:val=""/>
      <w:lvlJc w:val="left"/>
      <w:pPr>
        <w:ind w:left="4320" w:hanging="360"/>
      </w:pPr>
      <w:rPr>
        <w:rFonts w:ascii="Wingdings" w:hAnsi="Wingdings" w:hint="default"/>
      </w:rPr>
    </w:lvl>
    <w:lvl w:ilvl="6" w:tplc="FC9A4916" w:tentative="1">
      <w:start w:val="1"/>
      <w:numFmt w:val="bullet"/>
      <w:lvlText w:val=""/>
      <w:lvlJc w:val="left"/>
      <w:pPr>
        <w:ind w:left="5040" w:hanging="360"/>
      </w:pPr>
      <w:rPr>
        <w:rFonts w:ascii="Symbol" w:hAnsi="Symbol" w:hint="default"/>
      </w:rPr>
    </w:lvl>
    <w:lvl w:ilvl="7" w:tplc="3D3818F2" w:tentative="1">
      <w:start w:val="1"/>
      <w:numFmt w:val="bullet"/>
      <w:lvlText w:val="o"/>
      <w:lvlJc w:val="left"/>
      <w:pPr>
        <w:ind w:left="5760" w:hanging="360"/>
      </w:pPr>
      <w:rPr>
        <w:rFonts w:ascii="Courier New" w:hAnsi="Courier New" w:cs="Courier New" w:hint="default"/>
      </w:rPr>
    </w:lvl>
    <w:lvl w:ilvl="8" w:tplc="57E8C2DA" w:tentative="1">
      <w:start w:val="1"/>
      <w:numFmt w:val="bullet"/>
      <w:lvlText w:val=""/>
      <w:lvlJc w:val="left"/>
      <w:pPr>
        <w:ind w:left="6480" w:hanging="360"/>
      </w:pPr>
      <w:rPr>
        <w:rFonts w:ascii="Wingdings" w:hAnsi="Wingdings" w:hint="default"/>
      </w:rPr>
    </w:lvl>
  </w:abstractNum>
  <w:abstractNum w:abstractNumId="5" w15:restartNumberingAfterBreak="0">
    <w:nsid w:val="5C767699"/>
    <w:multiLevelType w:val="hybridMultilevel"/>
    <w:tmpl w:val="F488BB04"/>
    <w:lvl w:ilvl="0" w:tplc="8968E1D8">
      <w:start w:val="1"/>
      <w:numFmt w:val="lowerRoman"/>
      <w:lvlText w:val="(%1)"/>
      <w:lvlJc w:val="left"/>
      <w:pPr>
        <w:ind w:left="360" w:hanging="360"/>
      </w:pPr>
      <w:rPr>
        <w:rFonts w:ascii="Arial" w:hAnsi="Arial" w:cs="Arial" w:hint="default"/>
        <w:b w:val="0"/>
        <w:sz w:val="24"/>
        <w:szCs w:val="24"/>
      </w:rPr>
    </w:lvl>
    <w:lvl w:ilvl="1" w:tplc="B35EAD42" w:tentative="1">
      <w:start w:val="1"/>
      <w:numFmt w:val="lowerLetter"/>
      <w:lvlText w:val="%2."/>
      <w:lvlJc w:val="left"/>
      <w:pPr>
        <w:ind w:left="1080" w:hanging="360"/>
      </w:pPr>
    </w:lvl>
    <w:lvl w:ilvl="2" w:tplc="6298DD4A" w:tentative="1">
      <w:start w:val="1"/>
      <w:numFmt w:val="lowerRoman"/>
      <w:lvlText w:val="%3."/>
      <w:lvlJc w:val="right"/>
      <w:pPr>
        <w:ind w:left="1800" w:hanging="180"/>
      </w:pPr>
    </w:lvl>
    <w:lvl w:ilvl="3" w:tplc="2096624E" w:tentative="1">
      <w:start w:val="1"/>
      <w:numFmt w:val="decimal"/>
      <w:lvlText w:val="%4."/>
      <w:lvlJc w:val="left"/>
      <w:pPr>
        <w:ind w:left="2520" w:hanging="360"/>
      </w:pPr>
    </w:lvl>
    <w:lvl w:ilvl="4" w:tplc="B6A2EC70" w:tentative="1">
      <w:start w:val="1"/>
      <w:numFmt w:val="lowerLetter"/>
      <w:lvlText w:val="%5."/>
      <w:lvlJc w:val="left"/>
      <w:pPr>
        <w:ind w:left="3240" w:hanging="360"/>
      </w:pPr>
    </w:lvl>
    <w:lvl w:ilvl="5" w:tplc="3B4E95EC" w:tentative="1">
      <w:start w:val="1"/>
      <w:numFmt w:val="lowerRoman"/>
      <w:lvlText w:val="%6."/>
      <w:lvlJc w:val="right"/>
      <w:pPr>
        <w:ind w:left="3960" w:hanging="180"/>
      </w:pPr>
    </w:lvl>
    <w:lvl w:ilvl="6" w:tplc="21540784" w:tentative="1">
      <w:start w:val="1"/>
      <w:numFmt w:val="decimal"/>
      <w:lvlText w:val="%7."/>
      <w:lvlJc w:val="left"/>
      <w:pPr>
        <w:ind w:left="4680" w:hanging="360"/>
      </w:pPr>
    </w:lvl>
    <w:lvl w:ilvl="7" w:tplc="D1CE81B2" w:tentative="1">
      <w:start w:val="1"/>
      <w:numFmt w:val="lowerLetter"/>
      <w:lvlText w:val="%8."/>
      <w:lvlJc w:val="left"/>
      <w:pPr>
        <w:ind w:left="5400" w:hanging="360"/>
      </w:pPr>
    </w:lvl>
    <w:lvl w:ilvl="8" w:tplc="F146CA70" w:tentative="1">
      <w:start w:val="1"/>
      <w:numFmt w:val="lowerRoman"/>
      <w:lvlText w:val="%9."/>
      <w:lvlJc w:val="right"/>
      <w:pPr>
        <w:ind w:left="6120" w:hanging="180"/>
      </w:pPr>
    </w:lvl>
  </w:abstractNum>
  <w:abstractNum w:abstractNumId="6" w15:restartNumberingAfterBreak="0">
    <w:nsid w:val="6F5909A4"/>
    <w:multiLevelType w:val="hybridMultilevel"/>
    <w:tmpl w:val="CF56C506"/>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3"/>
    <w:lvlOverride w:ilvl="0">
      <w:lvl w:ilvl="0" w:tplc="8968E1D8">
        <w:start w:val="1"/>
        <w:numFmt w:val="lowerRoman"/>
        <w:suff w:val="nothing"/>
        <w:lvlText w:val="(%1)"/>
        <w:lvlJc w:val="left"/>
        <w:pPr>
          <w:ind w:left="720" w:hanging="360"/>
        </w:pPr>
        <w:rPr>
          <w:rFonts w:ascii="Arial" w:hAnsi="Arial" w:cs="Arial" w:hint="default"/>
          <w:b w:val="0"/>
          <w:sz w:val="24"/>
          <w:szCs w:val="24"/>
        </w:rPr>
      </w:lvl>
    </w:lvlOverride>
    <w:lvlOverride w:ilvl="1">
      <w:lvl w:ilvl="1" w:tplc="B35EAD42" w:tentative="1">
        <w:start w:val="1"/>
        <w:numFmt w:val="lowerLetter"/>
        <w:lvlText w:val="%2."/>
        <w:lvlJc w:val="left"/>
        <w:pPr>
          <w:ind w:left="1440" w:hanging="360"/>
        </w:pPr>
      </w:lvl>
    </w:lvlOverride>
    <w:lvlOverride w:ilvl="2">
      <w:lvl w:ilvl="2" w:tplc="6298DD4A" w:tentative="1">
        <w:start w:val="1"/>
        <w:numFmt w:val="lowerRoman"/>
        <w:lvlText w:val="%3."/>
        <w:lvlJc w:val="right"/>
        <w:pPr>
          <w:ind w:left="2160" w:hanging="180"/>
        </w:pPr>
      </w:lvl>
    </w:lvlOverride>
    <w:lvlOverride w:ilvl="3">
      <w:lvl w:ilvl="3" w:tplc="2096624E" w:tentative="1">
        <w:start w:val="1"/>
        <w:numFmt w:val="decimal"/>
        <w:lvlText w:val="%4."/>
        <w:lvlJc w:val="left"/>
        <w:pPr>
          <w:ind w:left="2880" w:hanging="360"/>
        </w:pPr>
      </w:lvl>
    </w:lvlOverride>
    <w:lvlOverride w:ilvl="4">
      <w:lvl w:ilvl="4" w:tplc="B6A2EC70" w:tentative="1">
        <w:start w:val="1"/>
        <w:numFmt w:val="lowerLetter"/>
        <w:lvlText w:val="%5."/>
        <w:lvlJc w:val="left"/>
        <w:pPr>
          <w:ind w:left="3600" w:hanging="360"/>
        </w:pPr>
      </w:lvl>
    </w:lvlOverride>
    <w:lvlOverride w:ilvl="5">
      <w:lvl w:ilvl="5" w:tplc="3B4E95EC" w:tentative="1">
        <w:start w:val="1"/>
        <w:numFmt w:val="lowerRoman"/>
        <w:lvlText w:val="%6."/>
        <w:lvlJc w:val="right"/>
        <w:pPr>
          <w:ind w:left="4320" w:hanging="180"/>
        </w:pPr>
      </w:lvl>
    </w:lvlOverride>
    <w:lvlOverride w:ilvl="6">
      <w:lvl w:ilvl="6" w:tplc="21540784" w:tentative="1">
        <w:start w:val="1"/>
        <w:numFmt w:val="decimal"/>
        <w:lvlText w:val="%7."/>
        <w:lvlJc w:val="left"/>
        <w:pPr>
          <w:ind w:left="5040" w:hanging="360"/>
        </w:pPr>
      </w:lvl>
    </w:lvlOverride>
    <w:lvlOverride w:ilvl="7">
      <w:lvl w:ilvl="7" w:tplc="D1CE81B2" w:tentative="1">
        <w:start w:val="1"/>
        <w:numFmt w:val="lowerLetter"/>
        <w:lvlText w:val="%8."/>
        <w:lvlJc w:val="left"/>
        <w:pPr>
          <w:ind w:left="5760" w:hanging="360"/>
        </w:pPr>
      </w:lvl>
    </w:lvlOverride>
    <w:lvlOverride w:ilvl="8">
      <w:lvl w:ilvl="8" w:tplc="F146CA70" w:tentative="1">
        <w:start w:val="1"/>
        <w:numFmt w:val="lowerRoman"/>
        <w:lvlText w:val="%9."/>
        <w:lvlJc w:val="right"/>
        <w:pPr>
          <w:ind w:left="6480" w:hanging="180"/>
        </w:pPr>
      </w:lvl>
    </w:lvlOverride>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4B"/>
    <w:rsid w:val="00002719"/>
    <w:rsid w:val="00014E49"/>
    <w:rsid w:val="00015609"/>
    <w:rsid w:val="000231C8"/>
    <w:rsid w:val="000606A7"/>
    <w:rsid w:val="00062622"/>
    <w:rsid w:val="0007025E"/>
    <w:rsid w:val="00092B2F"/>
    <w:rsid w:val="000B3CEB"/>
    <w:rsid w:val="000D3048"/>
    <w:rsid w:val="000E24D7"/>
    <w:rsid w:val="000F3319"/>
    <w:rsid w:val="000F6E9F"/>
    <w:rsid w:val="00102E95"/>
    <w:rsid w:val="00117AE1"/>
    <w:rsid w:val="00136344"/>
    <w:rsid w:val="00140D73"/>
    <w:rsid w:val="00141FE8"/>
    <w:rsid w:val="0015793B"/>
    <w:rsid w:val="001800D5"/>
    <w:rsid w:val="00192EE0"/>
    <w:rsid w:val="001A4331"/>
    <w:rsid w:val="001A52E0"/>
    <w:rsid w:val="001C1923"/>
    <w:rsid w:val="001D11FC"/>
    <w:rsid w:val="001D61AE"/>
    <w:rsid w:val="0023131E"/>
    <w:rsid w:val="00245237"/>
    <w:rsid w:val="002454E4"/>
    <w:rsid w:val="002623AB"/>
    <w:rsid w:val="00263C37"/>
    <w:rsid w:val="0029480A"/>
    <w:rsid w:val="002A44DA"/>
    <w:rsid w:val="002B01EB"/>
    <w:rsid w:val="002B7F8E"/>
    <w:rsid w:val="002D7724"/>
    <w:rsid w:val="002F410B"/>
    <w:rsid w:val="003209AD"/>
    <w:rsid w:val="003254F5"/>
    <w:rsid w:val="0035337F"/>
    <w:rsid w:val="0036387E"/>
    <w:rsid w:val="0036487C"/>
    <w:rsid w:val="003673AB"/>
    <w:rsid w:val="00377372"/>
    <w:rsid w:val="003A049C"/>
    <w:rsid w:val="003A0AFD"/>
    <w:rsid w:val="003D6EA3"/>
    <w:rsid w:val="00422261"/>
    <w:rsid w:val="004227B7"/>
    <w:rsid w:val="00424473"/>
    <w:rsid w:val="00424CFA"/>
    <w:rsid w:val="00481007"/>
    <w:rsid w:val="00482E33"/>
    <w:rsid w:val="0048685D"/>
    <w:rsid w:val="004A761F"/>
    <w:rsid w:val="004B4931"/>
    <w:rsid w:val="004D419B"/>
    <w:rsid w:val="004E138E"/>
    <w:rsid w:val="004F0E44"/>
    <w:rsid w:val="004F2A51"/>
    <w:rsid w:val="005058AE"/>
    <w:rsid w:val="005229CA"/>
    <w:rsid w:val="00522F5A"/>
    <w:rsid w:val="00533D34"/>
    <w:rsid w:val="005931D4"/>
    <w:rsid w:val="005A7618"/>
    <w:rsid w:val="0060036F"/>
    <w:rsid w:val="00603837"/>
    <w:rsid w:val="006136C0"/>
    <w:rsid w:val="00626F7D"/>
    <w:rsid w:val="00655131"/>
    <w:rsid w:val="00670BC1"/>
    <w:rsid w:val="006772A5"/>
    <w:rsid w:val="006A09A2"/>
    <w:rsid w:val="006B1D2A"/>
    <w:rsid w:val="006F0238"/>
    <w:rsid w:val="00701D64"/>
    <w:rsid w:val="00707981"/>
    <w:rsid w:val="00714B0E"/>
    <w:rsid w:val="00776EAA"/>
    <w:rsid w:val="00777806"/>
    <w:rsid w:val="00782B20"/>
    <w:rsid w:val="007A68AB"/>
    <w:rsid w:val="007B5200"/>
    <w:rsid w:val="00814B5B"/>
    <w:rsid w:val="00830F88"/>
    <w:rsid w:val="008352E3"/>
    <w:rsid w:val="008411DD"/>
    <w:rsid w:val="00846540"/>
    <w:rsid w:val="00864579"/>
    <w:rsid w:val="00872D90"/>
    <w:rsid w:val="0088697C"/>
    <w:rsid w:val="008B046A"/>
    <w:rsid w:val="008B1D24"/>
    <w:rsid w:val="008B2E52"/>
    <w:rsid w:val="008B7CD9"/>
    <w:rsid w:val="008C71DC"/>
    <w:rsid w:val="008D7461"/>
    <w:rsid w:val="008E3BC3"/>
    <w:rsid w:val="0090254E"/>
    <w:rsid w:val="00904F22"/>
    <w:rsid w:val="009065AA"/>
    <w:rsid w:val="00911715"/>
    <w:rsid w:val="00912A00"/>
    <w:rsid w:val="009A4877"/>
    <w:rsid w:val="009B6F56"/>
    <w:rsid w:val="009E64DA"/>
    <w:rsid w:val="00A223D9"/>
    <w:rsid w:val="00A2745C"/>
    <w:rsid w:val="00A40302"/>
    <w:rsid w:val="00A4296A"/>
    <w:rsid w:val="00A71CC6"/>
    <w:rsid w:val="00A8373E"/>
    <w:rsid w:val="00AD5CB9"/>
    <w:rsid w:val="00AF3C5C"/>
    <w:rsid w:val="00B20A0A"/>
    <w:rsid w:val="00B318F7"/>
    <w:rsid w:val="00B3460E"/>
    <w:rsid w:val="00B52950"/>
    <w:rsid w:val="00B74D8E"/>
    <w:rsid w:val="00B87F49"/>
    <w:rsid w:val="00BA5465"/>
    <w:rsid w:val="00BC6390"/>
    <w:rsid w:val="00BE3266"/>
    <w:rsid w:val="00C409BA"/>
    <w:rsid w:val="00C520A5"/>
    <w:rsid w:val="00CC3739"/>
    <w:rsid w:val="00CE2C12"/>
    <w:rsid w:val="00CF7BC0"/>
    <w:rsid w:val="00D002CC"/>
    <w:rsid w:val="00D279B1"/>
    <w:rsid w:val="00D302A6"/>
    <w:rsid w:val="00D30E8F"/>
    <w:rsid w:val="00D3275D"/>
    <w:rsid w:val="00D352AC"/>
    <w:rsid w:val="00D62B99"/>
    <w:rsid w:val="00D648E4"/>
    <w:rsid w:val="00D7521D"/>
    <w:rsid w:val="00D7557F"/>
    <w:rsid w:val="00D930EE"/>
    <w:rsid w:val="00DA4941"/>
    <w:rsid w:val="00DA6F1A"/>
    <w:rsid w:val="00DB5A52"/>
    <w:rsid w:val="00DC1918"/>
    <w:rsid w:val="00DC5683"/>
    <w:rsid w:val="00DD6EF5"/>
    <w:rsid w:val="00DF043B"/>
    <w:rsid w:val="00DF2594"/>
    <w:rsid w:val="00E5514B"/>
    <w:rsid w:val="00E60454"/>
    <w:rsid w:val="00EE69E6"/>
    <w:rsid w:val="00EF2B15"/>
    <w:rsid w:val="00EF4D54"/>
    <w:rsid w:val="00F27269"/>
    <w:rsid w:val="00F97661"/>
    <w:rsid w:val="00FB0AA1"/>
    <w:rsid w:val="00FB0C96"/>
    <w:rsid w:val="00FC04A2"/>
    <w:rsid w:val="00FD59A4"/>
    <w:rsid w:val="0189284D"/>
    <w:rsid w:val="02203827"/>
    <w:rsid w:val="037CED02"/>
    <w:rsid w:val="0848915F"/>
    <w:rsid w:val="0CDD3ABE"/>
    <w:rsid w:val="12CE7978"/>
    <w:rsid w:val="13A986A6"/>
    <w:rsid w:val="1451BFC6"/>
    <w:rsid w:val="14B8C874"/>
    <w:rsid w:val="14CBB8FF"/>
    <w:rsid w:val="18E50F26"/>
    <w:rsid w:val="1B5B4670"/>
    <w:rsid w:val="1BC865B7"/>
    <w:rsid w:val="1CA97521"/>
    <w:rsid w:val="1CDC9E0F"/>
    <w:rsid w:val="1CE9EC44"/>
    <w:rsid w:val="1DBC9954"/>
    <w:rsid w:val="1DD63977"/>
    <w:rsid w:val="1E19FF53"/>
    <w:rsid w:val="1E9AC6C7"/>
    <w:rsid w:val="1F536DAD"/>
    <w:rsid w:val="201BC6B5"/>
    <w:rsid w:val="207FCCFC"/>
    <w:rsid w:val="23D9E050"/>
    <w:rsid w:val="2538C628"/>
    <w:rsid w:val="26C4A65F"/>
    <w:rsid w:val="2D79BF26"/>
    <w:rsid w:val="2DAA8CE3"/>
    <w:rsid w:val="2E57D245"/>
    <w:rsid w:val="2F59062B"/>
    <w:rsid w:val="31124B66"/>
    <w:rsid w:val="319D272F"/>
    <w:rsid w:val="37866495"/>
    <w:rsid w:val="3A243142"/>
    <w:rsid w:val="3B8CCEE4"/>
    <w:rsid w:val="3BB90164"/>
    <w:rsid w:val="3BCBB706"/>
    <w:rsid w:val="407539F8"/>
    <w:rsid w:val="43A29DA5"/>
    <w:rsid w:val="43A866FF"/>
    <w:rsid w:val="4539293F"/>
    <w:rsid w:val="46EC8B80"/>
    <w:rsid w:val="485A51C3"/>
    <w:rsid w:val="48CEC8DC"/>
    <w:rsid w:val="48F2289E"/>
    <w:rsid w:val="49CF9C79"/>
    <w:rsid w:val="4BAFEB07"/>
    <w:rsid w:val="4D5BC115"/>
    <w:rsid w:val="4F316EE0"/>
    <w:rsid w:val="50700EFA"/>
    <w:rsid w:val="5381C825"/>
    <w:rsid w:val="541F1A47"/>
    <w:rsid w:val="55DABEBA"/>
    <w:rsid w:val="59456E26"/>
    <w:rsid w:val="6055F020"/>
    <w:rsid w:val="621B3379"/>
    <w:rsid w:val="646B2653"/>
    <w:rsid w:val="670311E2"/>
    <w:rsid w:val="6A242C60"/>
    <w:rsid w:val="6AA0200C"/>
    <w:rsid w:val="6B2E46DC"/>
    <w:rsid w:val="7413D2AD"/>
    <w:rsid w:val="75848C9E"/>
    <w:rsid w:val="75C9838D"/>
    <w:rsid w:val="76E9870B"/>
    <w:rsid w:val="78E0755E"/>
    <w:rsid w:val="7C385BD0"/>
    <w:rsid w:val="7F60D07B"/>
  </w:rsids>
  <m:mathPr>
    <m:mathFont m:val="Cambria Math"/>
    <m:brkBin m:val="before"/>
    <m:brkBinSub m:val="--"/>
    <m:smallFrac m:val="0"/>
    <m:dispDef/>
    <m:lMargin m:val="0"/>
    <m:rMargin m:val="0"/>
    <m:defJc m:val="centerGroup"/>
    <m:wrapRight/>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7D27D"/>
  <w15:chartTrackingRefBased/>
  <w15:docId w15:val="{D6808C92-CB51-407A-9F58-5443AC46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GB" w:eastAsia="en-GB"/>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paragraph" w:styleId="ListParagraph">
    <w:name w:val="List Paragraph"/>
    <w:basedOn w:val="Normal"/>
    <w:uiPriority w:val="34"/>
    <w:qFormat/>
    <w:rsid w:val="00B74D8E"/>
    <w:pPr>
      <w:ind w:left="720"/>
    </w:pPr>
  </w:style>
  <w:style w:type="character" w:styleId="CommentReference">
    <w:name w:val="annotation reference"/>
    <w:uiPriority w:val="99"/>
    <w:semiHidden/>
    <w:unhideWhenUsed/>
    <w:rsid w:val="00D3275D"/>
    <w:rPr>
      <w:sz w:val="16"/>
      <w:szCs w:val="16"/>
    </w:rPr>
  </w:style>
  <w:style w:type="paragraph" w:styleId="CommentText">
    <w:name w:val="annotation text"/>
    <w:basedOn w:val="Normal"/>
    <w:link w:val="CommentTextChar"/>
    <w:uiPriority w:val="99"/>
    <w:semiHidden/>
    <w:unhideWhenUsed/>
    <w:rsid w:val="00D3275D"/>
    <w:rPr>
      <w:sz w:val="20"/>
    </w:rPr>
  </w:style>
  <w:style w:type="character" w:customStyle="1" w:styleId="CommentTextChar">
    <w:name w:val="Comment Text Char"/>
    <w:link w:val="CommentText"/>
    <w:uiPriority w:val="99"/>
    <w:semiHidden/>
    <w:rsid w:val="00D3275D"/>
    <w:rPr>
      <w:rFonts w:ascii="Arial" w:hAnsi="Arial"/>
    </w:rPr>
  </w:style>
  <w:style w:type="paragraph" w:styleId="CommentSubject">
    <w:name w:val="annotation subject"/>
    <w:basedOn w:val="CommentText"/>
    <w:next w:val="CommentText"/>
    <w:link w:val="CommentSubjectChar"/>
    <w:uiPriority w:val="99"/>
    <w:semiHidden/>
    <w:unhideWhenUsed/>
    <w:rsid w:val="00D3275D"/>
    <w:rPr>
      <w:b/>
      <w:bCs/>
    </w:rPr>
  </w:style>
  <w:style w:type="character" w:customStyle="1" w:styleId="CommentSubjectChar">
    <w:name w:val="Comment Subject Char"/>
    <w:link w:val="CommentSubject"/>
    <w:uiPriority w:val="99"/>
    <w:semiHidden/>
    <w:rsid w:val="00D3275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02384">
      <w:bodyDiv w:val="1"/>
      <w:marLeft w:val="0"/>
      <w:marRight w:val="0"/>
      <w:marTop w:val="0"/>
      <w:marBottom w:val="0"/>
      <w:divBdr>
        <w:top w:val="none" w:sz="0" w:space="0" w:color="auto"/>
        <w:left w:val="none" w:sz="0" w:space="0" w:color="auto"/>
        <w:bottom w:val="none" w:sz="0" w:space="0" w:color="auto"/>
        <w:right w:val="none" w:sz="0" w:space="0" w:color="auto"/>
      </w:divBdr>
    </w:div>
    <w:div w:id="874469695">
      <w:bodyDiv w:val="1"/>
      <w:marLeft w:val="0"/>
      <w:marRight w:val="0"/>
      <w:marTop w:val="0"/>
      <w:marBottom w:val="0"/>
      <w:divBdr>
        <w:top w:val="none" w:sz="0" w:space="0" w:color="auto"/>
        <w:left w:val="none" w:sz="0" w:space="0" w:color="auto"/>
        <w:bottom w:val="none" w:sz="0" w:space="0" w:color="auto"/>
        <w:right w:val="none" w:sz="0" w:space="0" w:color="auto"/>
      </w:divBdr>
    </w:div>
    <w:div w:id="875778262">
      <w:bodyDiv w:val="1"/>
      <w:marLeft w:val="0"/>
      <w:marRight w:val="0"/>
      <w:marTop w:val="0"/>
      <w:marBottom w:val="0"/>
      <w:divBdr>
        <w:top w:val="none" w:sz="0" w:space="0" w:color="auto"/>
        <w:left w:val="none" w:sz="0" w:space="0" w:color="auto"/>
        <w:bottom w:val="none" w:sz="0" w:space="0" w:color="auto"/>
        <w:right w:val="none" w:sz="0" w:space="0" w:color="auto"/>
      </w:divBdr>
    </w:div>
    <w:div w:id="1050421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89fb61e1cca24180" Type="http://schemas.microsoft.com/office/2019/09/relationships/intelligence" Target="intelligence.xml"/><Relationship Id="rId4" Type="http://schemas.openxmlformats.org/officeDocument/2006/relationships/styles" Target="styl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2FF561CF5F3F41B71DBF3D07593756" ma:contentTypeVersion="6" ma:contentTypeDescription="Create a new document." ma:contentTypeScope="" ma:versionID="babef6f94309d73936f548b50129161d">
  <xsd:schema xmlns:xsd="http://www.w3.org/2001/XMLSchema" xmlns:xs="http://www.w3.org/2001/XMLSchema" xmlns:p="http://schemas.microsoft.com/office/2006/metadata/properties" xmlns:ns2="7407a200-7ce4-42fa-8e67-2f4335de98c5" xmlns:ns3="eb1163ee-0472-4b21-9845-77639109b86b" targetNamespace="http://schemas.microsoft.com/office/2006/metadata/properties" ma:root="true" ma:fieldsID="7fd73dc2de6bca7168f249ec5d5b2b90" ns2:_="" ns3:_="">
    <xsd:import namespace="7407a200-7ce4-42fa-8e67-2f4335de98c5"/>
    <xsd:import namespace="eb1163ee-0472-4b21-9845-77639109b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a200-7ce4-42fa-8e67-2f4335de9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1163ee-0472-4b21-9845-77639109b8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13A444-FB91-4202-9EA7-9D53C660084A}">
  <ds:schemaRefs>
    <ds:schemaRef ds:uri="http://schemas.microsoft.com/sharepoint/v3/contenttype/forms"/>
  </ds:schemaRefs>
</ds:datastoreItem>
</file>

<file path=customXml/itemProps2.xml><?xml version="1.0" encoding="utf-8"?>
<ds:datastoreItem xmlns:ds="http://schemas.openxmlformats.org/officeDocument/2006/customXml" ds:itemID="{FAED4C8E-0783-423E-97E8-5958F5EAA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7a200-7ce4-42fa-8e67-2f4335de98c5"/>
    <ds:schemaRef ds:uri="eb1163ee-0472-4b21-9845-77639109b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21</TotalTime>
  <Pages>9</Pages>
  <Words>3488</Words>
  <Characters>19244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Report to Cabinet or Cabinet Committee</vt:lpstr>
    </vt:vector>
  </TitlesOfParts>
  <Company/>
  <LinksUpToDate>false</LinksUpToDate>
  <CharactersWithSpaces>22687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Cabinet or Cabinet Committee</dc:title>
  <dc:subject/>
  <dc:creator>C Mather</dc:creator>
  <cp:keywords/>
  <dc:description>22.1.13</dc:description>
  <cp:lastModifiedBy>Gorman, Dave</cp:lastModifiedBy>
  <cp:revision>9</cp:revision>
  <cp:lastPrinted>2002-06-26T19:27:00Z</cp:lastPrinted>
  <dcterms:created xsi:type="dcterms:W3CDTF">2022-01-26T17:29:00Z</dcterms:created>
  <dcterms:modified xsi:type="dcterms:W3CDTF">2022-01-26T18:06:00Z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vt:lpwstr>
  </property>
  <property fmtid="{D5CDD505-2E9C-101B-9397-08002B2CF9AE}" pid="3" name="IssueExemptionClassTitle">
    <vt:lpwstr>Part I</vt:lpwstr>
  </property>
  <property fmtid="{D5CDD505-2E9C-101B-9397-08002B2CF9AE}" pid="4" name="IssueTitle">
    <vt:lpwstr>Money Matters 2021/22 Position - Quarter 2</vt:lpwstr>
  </property>
  <property fmtid="{D5CDD505-2E9C-101B-9397-08002B2CF9AE}" pid="5" name="LeadOfficer">
    <vt:lpwstr>Neil Kissock, Kate Lee</vt:lpwstr>
  </property>
  <property fmtid="{D5CDD505-2E9C-101B-9397-08002B2CF9AE}" pid="6" name="LeadOfficerEmail">
    <vt:lpwstr>neil.kissock@lancashire.gov.uk, kate.lee@lancashire.gov.uk</vt:lpwstr>
  </property>
  <property fmtid="{D5CDD505-2E9C-101B-9397-08002B2CF9AE}" pid="7" name="LeadOfficerTel">
    <vt:lpwstr>Tel: 01772 534286, Tel: 01772 531733</vt:lpwstr>
  </property>
  <property fmtid="{D5CDD505-2E9C-101B-9397-08002B2CF9AE}" pid="8" name="MeetingDate">
    <vt:lpwstr>Thursday, 4 November 2021</vt:lpwstr>
  </property>
  <property fmtid="{D5CDD505-2E9C-101B-9397-08002B2CF9AE}" pid="9" name="Wards">
    <vt:lpwstr>(All Divisions);</vt:lpwstr>
  </property>
</Properties>
</file>