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D02D" w14:textId="77777777" w:rsidR="007D5937" w:rsidRPr="00734D28" w:rsidRDefault="00E9083D" w:rsidP="007D5937">
      <w:pPr>
        <w:pStyle w:val="Heading5"/>
        <w:spacing w:line="276" w:lineRule="auto"/>
        <w:rPr>
          <w:rFonts w:ascii="Arial" w:hAnsi="Arial"/>
          <w:szCs w:val="24"/>
          <w:u w:val="none"/>
        </w:rPr>
      </w:pPr>
      <w:r w:rsidRPr="00734D28">
        <w:rPr>
          <w:rFonts w:ascii="Arial" w:hAnsi="Arial"/>
          <w:szCs w:val="24"/>
          <w:u w:val="none"/>
        </w:rPr>
        <w:t xml:space="preserve">Meeting of the </w:t>
      </w:r>
      <w:r>
        <w:rPr>
          <w:rFonts w:ascii="Arial" w:hAnsi="Arial"/>
          <w:szCs w:val="24"/>
          <w:u w:val="none"/>
        </w:rPr>
        <w:t>Full</w:t>
      </w:r>
      <w:r w:rsidRPr="00734D28">
        <w:rPr>
          <w:rFonts w:ascii="Arial" w:hAnsi="Arial"/>
          <w:szCs w:val="24"/>
          <w:u w:val="none"/>
        </w:rPr>
        <w:t xml:space="preserve"> Council</w:t>
      </w:r>
    </w:p>
    <w:p w14:paraId="2A77FC6E" w14:textId="77777777" w:rsidR="007D5937" w:rsidRPr="00734D28" w:rsidRDefault="00E9083D" w:rsidP="102704D0">
      <w:pPr>
        <w:pStyle w:val="Heading5"/>
        <w:spacing w:line="276" w:lineRule="auto"/>
        <w:rPr>
          <w:rFonts w:ascii="Arial" w:hAnsi="Arial"/>
          <w:u w:val="none"/>
        </w:rPr>
      </w:pPr>
      <w:r w:rsidRPr="27937FF9">
        <w:rPr>
          <w:rFonts w:ascii="Arial" w:hAnsi="Arial"/>
          <w:u w:val="none"/>
        </w:rPr>
        <w:t xml:space="preserve">Meeting to be held on Thursday, </w:t>
      </w:r>
      <w:r w:rsidR="54F6D3D4" w:rsidRPr="00F838F7">
        <w:rPr>
          <w:rFonts w:ascii="Arial" w:hAnsi="Arial"/>
          <w:u w:val="none"/>
        </w:rPr>
        <w:t>17</w:t>
      </w:r>
      <w:r w:rsidRPr="00F838F7">
        <w:rPr>
          <w:rFonts w:ascii="Arial" w:hAnsi="Arial"/>
          <w:u w:val="none"/>
        </w:rPr>
        <w:t xml:space="preserve"> </w:t>
      </w:r>
      <w:r w:rsidR="00353689">
        <w:rPr>
          <w:rFonts w:ascii="Arial" w:hAnsi="Arial"/>
          <w:u w:val="none"/>
        </w:rPr>
        <w:t>F</w:t>
      </w:r>
      <w:r w:rsidRPr="27937FF9">
        <w:rPr>
          <w:rFonts w:ascii="Arial" w:hAnsi="Arial"/>
          <w:u w:val="none"/>
        </w:rPr>
        <w:t>ebruary 202</w:t>
      </w:r>
      <w:r w:rsidR="3C0D7130" w:rsidRPr="27937FF9">
        <w:rPr>
          <w:rFonts w:ascii="Arial" w:hAnsi="Arial"/>
          <w:u w:val="none"/>
        </w:rPr>
        <w:t>2</w:t>
      </w:r>
      <w:r w:rsidRPr="27937FF9">
        <w:rPr>
          <w:rFonts w:ascii="Arial" w:hAnsi="Arial"/>
          <w:u w:val="none"/>
        </w:rPr>
        <w:t xml:space="preserve"> </w:t>
      </w:r>
    </w:p>
    <w:p w14:paraId="581BD6A2" w14:textId="77777777" w:rsidR="007D5937" w:rsidRPr="00734D28" w:rsidRDefault="007D5937" w:rsidP="007D5937">
      <w:pPr>
        <w:spacing w:line="276" w:lineRule="auto"/>
        <w:rPr>
          <w:szCs w:val="24"/>
          <w:lang w:val="en-US"/>
        </w:rPr>
      </w:pPr>
    </w:p>
    <w:p w14:paraId="3F05FA6A" w14:textId="77777777" w:rsidR="007D5937" w:rsidRPr="00734D28" w:rsidRDefault="00E9083D" w:rsidP="007D5937">
      <w:pPr>
        <w:pStyle w:val="Header"/>
        <w:spacing w:line="276" w:lineRule="auto"/>
        <w:rPr>
          <w:rFonts w:ascii="Arial" w:hAnsi="Arial"/>
          <w:szCs w:val="24"/>
        </w:rPr>
      </w:pPr>
      <w:r w:rsidRPr="00B75E7B">
        <w:rPr>
          <w:rFonts w:ascii="Arial" w:hAnsi="Arial"/>
          <w:szCs w:val="24"/>
        </w:rPr>
        <w:t xml:space="preserve">Report </w:t>
      </w:r>
      <w:r>
        <w:rPr>
          <w:rFonts w:ascii="Arial" w:hAnsi="Arial"/>
          <w:szCs w:val="24"/>
        </w:rPr>
        <w:t>of the Chief Executive and Director of Resources</w:t>
      </w:r>
    </w:p>
    <w:p w14:paraId="63648E1F" w14:textId="77777777" w:rsidR="007D5937" w:rsidRPr="00734D28" w:rsidRDefault="007D5937" w:rsidP="007D5937">
      <w:pPr>
        <w:spacing w:line="276" w:lineRule="auto"/>
        <w:rPr>
          <w:szCs w:val="24"/>
          <w:lang w:val="en-US"/>
        </w:rPr>
      </w:pPr>
    </w:p>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FC5064" w14:paraId="4373C815" w14:textId="77777777" w:rsidTr="007D5937">
        <w:trPr>
          <w:trHeight w:val="222"/>
        </w:trPr>
        <w:tc>
          <w:tcPr>
            <w:tcW w:w="1134" w:type="dxa"/>
          </w:tcPr>
          <w:p w14:paraId="23AD1E65" w14:textId="77777777" w:rsidR="007D5937" w:rsidRPr="00DF235E" w:rsidRDefault="00E9083D" w:rsidP="007D5937">
            <w:pPr>
              <w:spacing w:line="276" w:lineRule="auto"/>
              <w:rPr>
                <w:b/>
                <w:sz w:val="28"/>
                <w:szCs w:val="28"/>
              </w:rPr>
            </w:pPr>
            <w:r w:rsidRPr="00DF235E">
              <w:rPr>
                <w:b/>
                <w:sz w:val="28"/>
                <w:szCs w:val="28"/>
              </w:rPr>
              <w:t xml:space="preserve">Part A </w:t>
            </w:r>
          </w:p>
        </w:tc>
      </w:tr>
    </w:tbl>
    <w:p w14:paraId="4BCF9ABB" w14:textId="77777777" w:rsidR="007D5937" w:rsidRPr="00734D28" w:rsidRDefault="007D5937" w:rsidP="007D5937">
      <w:pPr>
        <w:spacing w:line="276" w:lineRule="auto"/>
        <w:rPr>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FC5064" w14:paraId="034BFE8D" w14:textId="77777777" w:rsidTr="007D5937">
        <w:tc>
          <w:tcPr>
            <w:tcW w:w="3402" w:type="dxa"/>
          </w:tcPr>
          <w:p w14:paraId="766FCE3F" w14:textId="77777777" w:rsidR="007D5937" w:rsidRPr="00734D28" w:rsidRDefault="00E9083D" w:rsidP="007D5937">
            <w:pPr>
              <w:pStyle w:val="BodyText"/>
              <w:spacing w:line="276" w:lineRule="auto"/>
              <w:rPr>
                <w:szCs w:val="24"/>
              </w:rPr>
            </w:pPr>
            <w:r w:rsidRPr="00734D28">
              <w:rPr>
                <w:szCs w:val="24"/>
              </w:rPr>
              <w:t>Electoral Division affected:</w:t>
            </w:r>
          </w:p>
          <w:p w14:paraId="3A4850AE" w14:textId="68BF5F71" w:rsidR="007D5937" w:rsidRPr="00734D28" w:rsidRDefault="00097AC8" w:rsidP="007D5937">
            <w:pPr>
              <w:spacing w:line="276" w:lineRule="auto"/>
              <w:ind w:right="-250"/>
              <w:rPr>
                <w:szCs w:val="24"/>
              </w:rPr>
            </w:pPr>
            <w:r>
              <w:rPr>
                <w:szCs w:val="24"/>
              </w:rPr>
              <w:t>(</w:t>
            </w:r>
            <w:r w:rsidR="00E9083D" w:rsidRPr="00734D28">
              <w:rPr>
                <w:szCs w:val="24"/>
              </w:rPr>
              <w:t>All</w:t>
            </w:r>
            <w:r>
              <w:rPr>
                <w:szCs w:val="24"/>
              </w:rPr>
              <w:t xml:space="preserve"> Divisions);</w:t>
            </w:r>
          </w:p>
        </w:tc>
      </w:tr>
    </w:tbl>
    <w:p w14:paraId="15712AD0" w14:textId="5349BF74" w:rsidR="007D5937" w:rsidRDefault="007D5937" w:rsidP="007D5937">
      <w:pPr>
        <w:pStyle w:val="Heading1"/>
        <w:spacing w:line="276" w:lineRule="auto"/>
        <w:rPr>
          <w:szCs w:val="24"/>
        </w:rPr>
      </w:pPr>
    </w:p>
    <w:tbl>
      <w:tblPr>
        <w:tblStyle w:val="TableGrid"/>
        <w:tblW w:w="3402" w:type="dxa"/>
        <w:tblInd w:w="5807" w:type="dxa"/>
        <w:tblLook w:val="04A0" w:firstRow="1" w:lastRow="0" w:firstColumn="1" w:lastColumn="0" w:noHBand="0" w:noVBand="1"/>
      </w:tblPr>
      <w:tblGrid>
        <w:gridCol w:w="3402"/>
      </w:tblGrid>
      <w:tr w:rsidR="00A93208" w14:paraId="70D36ED4" w14:textId="77777777" w:rsidTr="00A93208">
        <w:tc>
          <w:tcPr>
            <w:tcW w:w="3402" w:type="dxa"/>
          </w:tcPr>
          <w:p w14:paraId="3BA10825" w14:textId="6BB1C593" w:rsidR="00A93208" w:rsidRPr="00A93208" w:rsidRDefault="00A93208" w:rsidP="00A93208">
            <w:pPr>
              <w:rPr>
                <w:b/>
                <w:bCs/>
              </w:rPr>
            </w:pPr>
            <w:r w:rsidRPr="00A93208">
              <w:rPr>
                <w:b/>
                <w:bCs/>
              </w:rPr>
              <w:t xml:space="preserve">Corporate </w:t>
            </w:r>
            <w:r>
              <w:rPr>
                <w:b/>
                <w:bCs/>
              </w:rPr>
              <w:t>P</w:t>
            </w:r>
            <w:r w:rsidRPr="00A93208">
              <w:rPr>
                <w:b/>
                <w:bCs/>
              </w:rPr>
              <w:t>riorities:</w:t>
            </w:r>
          </w:p>
          <w:p w14:paraId="56F66205" w14:textId="6BE959B5" w:rsidR="00A93208" w:rsidRDefault="00A93208" w:rsidP="00A93208">
            <w:r>
              <w:t>Delivering better services;</w:t>
            </w:r>
          </w:p>
          <w:p w14:paraId="722368F7" w14:textId="37E3D711" w:rsidR="00A93208" w:rsidRDefault="00A93208" w:rsidP="00A93208">
            <w:r>
              <w:t>Protecting our environment;</w:t>
            </w:r>
          </w:p>
          <w:p w14:paraId="3ABE7268" w14:textId="684D2FAF" w:rsidR="00A93208" w:rsidRDefault="00A93208" w:rsidP="00A93208">
            <w:r>
              <w:t>Supporting economic growth;</w:t>
            </w:r>
          </w:p>
          <w:p w14:paraId="3F350A28" w14:textId="682BDE65" w:rsidR="00A93208" w:rsidRDefault="00A93208" w:rsidP="00A93208">
            <w:r>
              <w:t>Caring for the vulnerable;</w:t>
            </w:r>
          </w:p>
        </w:tc>
      </w:tr>
    </w:tbl>
    <w:p w14:paraId="4F4299CF" w14:textId="49137DC7" w:rsidR="00A93208" w:rsidRDefault="00A93208" w:rsidP="00A93208"/>
    <w:p w14:paraId="0BCD247F" w14:textId="77777777" w:rsidR="00A93208" w:rsidRPr="00A93208" w:rsidRDefault="00A93208" w:rsidP="00A93208"/>
    <w:p w14:paraId="31841AE6" w14:textId="77777777" w:rsidR="007D5937" w:rsidRPr="00734D28" w:rsidRDefault="00E9083D" w:rsidP="102704D0">
      <w:pPr>
        <w:pStyle w:val="Header"/>
        <w:spacing w:line="276" w:lineRule="auto"/>
        <w:rPr>
          <w:rFonts w:ascii="Arial" w:hAnsi="Arial"/>
          <w:b/>
          <w:bCs/>
        </w:rPr>
      </w:pPr>
      <w:r w:rsidRPr="7EB144D5">
        <w:rPr>
          <w:rFonts w:ascii="Arial" w:hAnsi="Arial"/>
          <w:b/>
          <w:bCs/>
        </w:rPr>
        <w:t>Revenue Budget 202</w:t>
      </w:r>
      <w:r w:rsidR="380DCEE5" w:rsidRPr="7EB144D5">
        <w:rPr>
          <w:rFonts w:ascii="Arial" w:hAnsi="Arial"/>
          <w:b/>
          <w:bCs/>
        </w:rPr>
        <w:t>2</w:t>
      </w:r>
      <w:r w:rsidRPr="7EB144D5">
        <w:rPr>
          <w:rFonts w:ascii="Arial" w:hAnsi="Arial"/>
          <w:b/>
          <w:bCs/>
        </w:rPr>
        <w:t>/2</w:t>
      </w:r>
      <w:r w:rsidR="2BFBC023" w:rsidRPr="7EB144D5">
        <w:rPr>
          <w:rFonts w:ascii="Arial" w:hAnsi="Arial"/>
          <w:b/>
          <w:bCs/>
        </w:rPr>
        <w:t>3</w:t>
      </w:r>
      <w:r w:rsidRPr="7EB144D5">
        <w:rPr>
          <w:rFonts w:ascii="Arial" w:hAnsi="Arial"/>
          <w:b/>
          <w:bCs/>
        </w:rPr>
        <w:t xml:space="preserve"> and Financial Strategy 202</w:t>
      </w:r>
      <w:r w:rsidR="33F9CBDD" w:rsidRPr="7EB144D5">
        <w:rPr>
          <w:rFonts w:ascii="Arial" w:hAnsi="Arial"/>
          <w:b/>
          <w:bCs/>
        </w:rPr>
        <w:t>2</w:t>
      </w:r>
      <w:r w:rsidRPr="7EB144D5">
        <w:rPr>
          <w:rFonts w:ascii="Arial" w:hAnsi="Arial"/>
          <w:b/>
          <w:bCs/>
        </w:rPr>
        <w:t>/2</w:t>
      </w:r>
      <w:r w:rsidR="5677BAB0" w:rsidRPr="7EB144D5">
        <w:rPr>
          <w:rFonts w:ascii="Arial" w:hAnsi="Arial"/>
          <w:b/>
          <w:bCs/>
        </w:rPr>
        <w:t>3</w:t>
      </w:r>
      <w:r w:rsidRPr="7EB144D5">
        <w:rPr>
          <w:rFonts w:ascii="Arial" w:hAnsi="Arial"/>
          <w:b/>
          <w:bCs/>
        </w:rPr>
        <w:t xml:space="preserve"> to 202</w:t>
      </w:r>
      <w:r w:rsidR="7268052D" w:rsidRPr="7EB144D5">
        <w:rPr>
          <w:rFonts w:ascii="Arial" w:hAnsi="Arial"/>
          <w:b/>
          <w:bCs/>
        </w:rPr>
        <w:t>5</w:t>
      </w:r>
      <w:r w:rsidRPr="7EB144D5">
        <w:rPr>
          <w:rFonts w:ascii="Arial" w:hAnsi="Arial"/>
          <w:b/>
          <w:bCs/>
        </w:rPr>
        <w:t>/2</w:t>
      </w:r>
      <w:r w:rsidR="0C32C637" w:rsidRPr="7EB144D5">
        <w:rPr>
          <w:rFonts w:ascii="Arial" w:hAnsi="Arial"/>
          <w:b/>
          <w:bCs/>
        </w:rPr>
        <w:t>6</w:t>
      </w:r>
    </w:p>
    <w:p w14:paraId="3408AFEA" w14:textId="77777777" w:rsidR="007D5937" w:rsidRPr="00B75E7B" w:rsidRDefault="00E9083D" w:rsidP="102704D0">
      <w:pPr>
        <w:pStyle w:val="Header"/>
        <w:spacing w:line="276" w:lineRule="auto"/>
        <w:rPr>
          <w:rFonts w:ascii="Arial" w:hAnsi="Arial" w:cs="Arial"/>
          <w:b/>
          <w:bCs/>
        </w:rPr>
      </w:pPr>
      <w:r w:rsidRPr="102704D0">
        <w:rPr>
          <w:rFonts w:ascii="Arial" w:hAnsi="Arial" w:cs="Arial"/>
          <w:b/>
          <w:bCs/>
        </w:rPr>
        <w:t xml:space="preserve">Capital Delivery </w:t>
      </w:r>
      <w:r w:rsidRPr="00A76F29">
        <w:rPr>
          <w:rFonts w:ascii="Arial" w:eastAsia="Arial" w:hAnsi="Arial" w:cs="Arial"/>
          <w:b/>
        </w:rPr>
        <w:t>Programme</w:t>
      </w:r>
      <w:r w:rsidRPr="102704D0">
        <w:rPr>
          <w:rFonts w:ascii="Arial" w:hAnsi="Arial" w:cs="Arial"/>
          <w:b/>
          <w:bCs/>
        </w:rPr>
        <w:t xml:space="preserve"> 202</w:t>
      </w:r>
      <w:r w:rsidR="5D4D7FD8" w:rsidRPr="102704D0">
        <w:rPr>
          <w:rFonts w:ascii="Arial" w:hAnsi="Arial" w:cs="Arial"/>
          <w:b/>
          <w:bCs/>
        </w:rPr>
        <w:t>2</w:t>
      </w:r>
      <w:r w:rsidRPr="102704D0">
        <w:rPr>
          <w:rFonts w:ascii="Arial" w:hAnsi="Arial" w:cs="Arial"/>
          <w:b/>
          <w:bCs/>
        </w:rPr>
        <w:t>/2</w:t>
      </w:r>
      <w:r w:rsidR="31BDDBA6" w:rsidRPr="102704D0">
        <w:rPr>
          <w:rFonts w:ascii="Arial" w:hAnsi="Arial" w:cs="Arial"/>
          <w:b/>
          <w:bCs/>
        </w:rPr>
        <w:t>3</w:t>
      </w:r>
    </w:p>
    <w:p w14:paraId="4C516CFD" w14:textId="77777777" w:rsidR="007D5937" w:rsidRPr="00734D28" w:rsidRDefault="00E9083D" w:rsidP="102704D0">
      <w:pPr>
        <w:pStyle w:val="Header"/>
        <w:spacing w:line="276" w:lineRule="auto"/>
        <w:rPr>
          <w:rFonts w:ascii="Arial" w:hAnsi="Arial" w:cs="Arial"/>
          <w:b/>
          <w:bCs/>
        </w:rPr>
      </w:pPr>
      <w:r w:rsidRPr="102704D0">
        <w:rPr>
          <w:rFonts w:ascii="Arial" w:hAnsi="Arial" w:cs="Arial"/>
          <w:b/>
          <w:bCs/>
        </w:rPr>
        <w:t>Capital Strategy 202</w:t>
      </w:r>
      <w:r w:rsidR="61F63A84" w:rsidRPr="102704D0">
        <w:rPr>
          <w:rFonts w:ascii="Arial" w:hAnsi="Arial" w:cs="Arial"/>
          <w:b/>
          <w:bCs/>
        </w:rPr>
        <w:t>2</w:t>
      </w:r>
      <w:r w:rsidR="00EF36BC">
        <w:rPr>
          <w:rFonts w:ascii="Arial" w:hAnsi="Arial" w:cs="Arial"/>
          <w:b/>
          <w:bCs/>
        </w:rPr>
        <w:t xml:space="preserve"> to 2042 </w:t>
      </w:r>
    </w:p>
    <w:p w14:paraId="6ACEFC9A" w14:textId="77777777" w:rsidR="007D5937" w:rsidRPr="00734D28" w:rsidRDefault="00E9083D" w:rsidP="102704D0">
      <w:pPr>
        <w:pStyle w:val="Header"/>
        <w:spacing w:line="276" w:lineRule="auto"/>
        <w:rPr>
          <w:rFonts w:ascii="Arial" w:hAnsi="Arial"/>
          <w:b/>
          <w:bCs/>
        </w:rPr>
      </w:pPr>
      <w:r w:rsidRPr="102704D0">
        <w:rPr>
          <w:rFonts w:ascii="Arial" w:hAnsi="Arial"/>
          <w:b/>
          <w:bCs/>
        </w:rPr>
        <w:t>Council Tax and Precept 202</w:t>
      </w:r>
      <w:r w:rsidR="78792288" w:rsidRPr="102704D0">
        <w:rPr>
          <w:rFonts w:ascii="Arial" w:hAnsi="Arial"/>
          <w:b/>
          <w:bCs/>
        </w:rPr>
        <w:t>2</w:t>
      </w:r>
      <w:r w:rsidRPr="102704D0">
        <w:rPr>
          <w:rFonts w:ascii="Arial" w:hAnsi="Arial"/>
          <w:b/>
          <w:bCs/>
        </w:rPr>
        <w:t>/2</w:t>
      </w:r>
      <w:r w:rsidR="0CECFC88" w:rsidRPr="102704D0">
        <w:rPr>
          <w:rFonts w:ascii="Arial" w:hAnsi="Arial"/>
          <w:b/>
          <w:bCs/>
        </w:rPr>
        <w:t>3</w:t>
      </w:r>
    </w:p>
    <w:p w14:paraId="21BD7FDB" w14:textId="77777777" w:rsidR="007D5937" w:rsidRDefault="00E9083D" w:rsidP="102704D0">
      <w:pPr>
        <w:pStyle w:val="Header"/>
        <w:spacing w:line="276" w:lineRule="auto"/>
        <w:rPr>
          <w:rFonts w:ascii="Arial" w:hAnsi="Arial"/>
          <w:b/>
          <w:bCs/>
        </w:rPr>
      </w:pPr>
      <w:r w:rsidRPr="102704D0">
        <w:rPr>
          <w:rFonts w:ascii="Arial" w:hAnsi="Arial"/>
          <w:b/>
          <w:bCs/>
        </w:rPr>
        <w:t>Treasury Management Strategy and Non-Treasury Investment Strategy 202</w:t>
      </w:r>
      <w:r w:rsidR="119E7047" w:rsidRPr="102704D0">
        <w:rPr>
          <w:rFonts w:ascii="Arial" w:hAnsi="Arial"/>
          <w:b/>
          <w:bCs/>
        </w:rPr>
        <w:t>2</w:t>
      </w:r>
      <w:r w:rsidRPr="102704D0">
        <w:rPr>
          <w:rFonts w:ascii="Arial" w:hAnsi="Arial"/>
          <w:b/>
          <w:bCs/>
        </w:rPr>
        <w:t>/2</w:t>
      </w:r>
      <w:r w:rsidR="35166F92" w:rsidRPr="102704D0">
        <w:rPr>
          <w:rFonts w:ascii="Arial" w:hAnsi="Arial"/>
          <w:b/>
          <w:bCs/>
        </w:rPr>
        <w:t>3</w:t>
      </w:r>
    </w:p>
    <w:p w14:paraId="7DDEBB36" w14:textId="1DF58F51" w:rsidR="007D5937" w:rsidRPr="00734D28" w:rsidRDefault="00E9083D" w:rsidP="102704D0">
      <w:pPr>
        <w:pStyle w:val="Header"/>
        <w:spacing w:line="276" w:lineRule="auto"/>
        <w:rPr>
          <w:rFonts w:ascii="Arial" w:hAnsi="Arial"/>
          <w:b/>
          <w:bCs/>
        </w:rPr>
      </w:pPr>
      <w:r w:rsidRPr="102704D0">
        <w:rPr>
          <w:rFonts w:ascii="Arial" w:hAnsi="Arial"/>
          <w:b/>
          <w:bCs/>
        </w:rPr>
        <w:t>Minimum Revenue Provision Statement 202</w:t>
      </w:r>
      <w:r w:rsidR="3E236DE1" w:rsidRPr="102704D0">
        <w:rPr>
          <w:rFonts w:ascii="Arial" w:hAnsi="Arial"/>
          <w:b/>
          <w:bCs/>
        </w:rPr>
        <w:t>2</w:t>
      </w:r>
      <w:r w:rsidRPr="102704D0">
        <w:rPr>
          <w:rFonts w:ascii="Arial" w:hAnsi="Arial"/>
          <w:b/>
          <w:bCs/>
        </w:rPr>
        <w:t>/</w:t>
      </w:r>
      <w:r w:rsidR="00A93208">
        <w:rPr>
          <w:rFonts w:ascii="Arial" w:hAnsi="Arial"/>
          <w:b/>
          <w:bCs/>
        </w:rPr>
        <w:t>2</w:t>
      </w:r>
      <w:r w:rsidR="065689F9" w:rsidRPr="102704D0">
        <w:rPr>
          <w:rFonts w:ascii="Arial" w:hAnsi="Arial"/>
          <w:b/>
          <w:bCs/>
        </w:rPr>
        <w:t>3</w:t>
      </w:r>
    </w:p>
    <w:p w14:paraId="64C111D5" w14:textId="77777777" w:rsidR="007D5937" w:rsidRPr="00734D28" w:rsidRDefault="00E9083D" w:rsidP="102704D0">
      <w:pPr>
        <w:pStyle w:val="Header"/>
        <w:spacing w:line="276" w:lineRule="auto"/>
        <w:rPr>
          <w:rFonts w:ascii="Arial" w:hAnsi="Arial"/>
          <w:b/>
          <w:bCs/>
        </w:rPr>
      </w:pPr>
      <w:r w:rsidRPr="102704D0">
        <w:rPr>
          <w:rFonts w:ascii="Arial" w:hAnsi="Arial"/>
          <w:b/>
          <w:bCs/>
        </w:rPr>
        <w:t>Fees and charges 2022/23</w:t>
      </w:r>
    </w:p>
    <w:p w14:paraId="5DD60519" w14:textId="77777777" w:rsidR="007D5937" w:rsidRPr="00734D28" w:rsidRDefault="00E9083D" w:rsidP="007D5937">
      <w:pPr>
        <w:spacing w:line="276" w:lineRule="auto"/>
      </w:pPr>
      <w:r>
        <w:t>(Appendices 'A' - '</w:t>
      </w:r>
      <w:r w:rsidR="51E930DF">
        <w:t>G</w:t>
      </w:r>
      <w:r>
        <w:t>' refer)</w:t>
      </w:r>
    </w:p>
    <w:p w14:paraId="768E7F6C" w14:textId="77777777" w:rsidR="007D5937" w:rsidRPr="00021732" w:rsidRDefault="007D5937" w:rsidP="007D5937">
      <w:pPr>
        <w:pStyle w:val="Header"/>
        <w:spacing w:line="276" w:lineRule="auto"/>
        <w:rPr>
          <w:rFonts w:ascii="Arial" w:hAnsi="Arial"/>
          <w:szCs w:val="24"/>
          <w:highlight w:val="yellow"/>
        </w:rPr>
      </w:pPr>
    </w:p>
    <w:p w14:paraId="53BB4F4A" w14:textId="77777777" w:rsidR="007D5937" w:rsidRPr="00734D28" w:rsidRDefault="00E9083D" w:rsidP="007D5937">
      <w:pPr>
        <w:spacing w:line="276" w:lineRule="auto"/>
        <w:ind w:right="-873"/>
        <w:rPr>
          <w:szCs w:val="24"/>
        </w:rPr>
      </w:pPr>
      <w:r w:rsidRPr="00734D28">
        <w:rPr>
          <w:szCs w:val="24"/>
        </w:rPr>
        <w:t xml:space="preserve">Contact for further information: </w:t>
      </w:r>
    </w:p>
    <w:p w14:paraId="53DDA9DD" w14:textId="77777777" w:rsidR="007D5937" w:rsidRPr="00734D28" w:rsidRDefault="00E9083D" w:rsidP="007D5937">
      <w:pPr>
        <w:spacing w:line="276" w:lineRule="auto"/>
        <w:ind w:right="-873"/>
        <w:rPr>
          <w:szCs w:val="24"/>
        </w:rPr>
      </w:pPr>
      <w:r w:rsidRPr="00734D28">
        <w:rPr>
          <w:szCs w:val="24"/>
        </w:rPr>
        <w:t>Angie Ridgwell</w:t>
      </w:r>
      <w:r>
        <w:rPr>
          <w:szCs w:val="24"/>
        </w:rPr>
        <w:t>, Tel:</w:t>
      </w:r>
      <w:r w:rsidRPr="00734D28">
        <w:rPr>
          <w:szCs w:val="24"/>
        </w:rPr>
        <w:t xml:space="preserve"> (01772) 536260, Chief Executive and Director of Resources</w:t>
      </w:r>
    </w:p>
    <w:p w14:paraId="79CA7745" w14:textId="77777777" w:rsidR="007D5937" w:rsidRPr="00734D28" w:rsidRDefault="00F112F0" w:rsidP="007D5937">
      <w:pPr>
        <w:spacing w:line="276" w:lineRule="auto"/>
      </w:pPr>
      <w:hyperlink r:id="rId10" w:history="1">
        <w:r w:rsidR="00BD3D58" w:rsidRPr="000E6E40">
          <w:rPr>
            <w:rStyle w:val="Hyperlink"/>
          </w:rPr>
          <w:t>angie.ridgwell@lancashire.gov.uk</w:t>
        </w:r>
      </w:hyperlink>
    </w:p>
    <w:p w14:paraId="674E9929" w14:textId="77777777" w:rsidR="007D5937" w:rsidRPr="00021732" w:rsidRDefault="007D5937" w:rsidP="007D5937">
      <w:pPr>
        <w:spacing w:line="276" w:lineRule="auto"/>
        <w:rPr>
          <w:b/>
          <w:highlight w:val="yellow"/>
          <w:u w:val="single"/>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5"/>
      </w:tblGrid>
      <w:tr w:rsidR="00FC5064" w14:paraId="58D322A8" w14:textId="77777777" w:rsidTr="53D39DEE">
        <w:tc>
          <w:tcPr>
            <w:tcW w:w="9555" w:type="dxa"/>
          </w:tcPr>
          <w:p w14:paraId="4D56A6EA" w14:textId="77777777" w:rsidR="007D5937" w:rsidRPr="00021732" w:rsidRDefault="007D5937" w:rsidP="007D5937">
            <w:pPr>
              <w:pStyle w:val="BodyText"/>
              <w:spacing w:line="276" w:lineRule="auto"/>
              <w:jc w:val="both"/>
              <w:rPr>
                <w:rFonts w:cs="Arial"/>
                <w:szCs w:val="24"/>
                <w:highlight w:val="yellow"/>
              </w:rPr>
            </w:pPr>
          </w:p>
          <w:p w14:paraId="104E43DD" w14:textId="09680B7B" w:rsidR="007D5937" w:rsidRPr="0043296F" w:rsidRDefault="00E9083D" w:rsidP="007D5937">
            <w:pPr>
              <w:pStyle w:val="Heading6"/>
              <w:spacing w:line="276" w:lineRule="auto"/>
              <w:jc w:val="both"/>
              <w:rPr>
                <w:rFonts w:ascii="Arial" w:hAnsi="Arial" w:cs="Arial"/>
                <w:szCs w:val="24"/>
              </w:rPr>
            </w:pPr>
            <w:r>
              <w:rPr>
                <w:rFonts w:ascii="Arial" w:hAnsi="Arial" w:cs="Arial"/>
                <w:szCs w:val="24"/>
              </w:rPr>
              <w:t>Brief Summary</w:t>
            </w:r>
          </w:p>
          <w:p w14:paraId="258E3B7F" w14:textId="77777777" w:rsidR="007D5937" w:rsidRPr="0043296F" w:rsidRDefault="007D5937" w:rsidP="007D5937">
            <w:pPr>
              <w:spacing w:line="276" w:lineRule="auto"/>
              <w:jc w:val="both"/>
              <w:rPr>
                <w:rFonts w:cs="Arial"/>
                <w:szCs w:val="24"/>
              </w:rPr>
            </w:pPr>
          </w:p>
          <w:p w14:paraId="5C8D322E" w14:textId="77777777" w:rsidR="007D5937" w:rsidRPr="002525C2" w:rsidRDefault="00E9083D" w:rsidP="007D5937">
            <w:pPr>
              <w:spacing w:line="276" w:lineRule="auto"/>
              <w:jc w:val="both"/>
              <w:rPr>
                <w:rFonts w:cs="Arial"/>
                <w:szCs w:val="24"/>
                <w:highlight w:val="yellow"/>
              </w:rPr>
            </w:pPr>
            <w:r w:rsidRPr="00B75E7B">
              <w:rPr>
                <w:rFonts w:cs="Arial"/>
                <w:szCs w:val="24"/>
              </w:rPr>
              <w:t>To consider the recommendations of the Cabinet regarding:</w:t>
            </w:r>
          </w:p>
          <w:p w14:paraId="2FCAEDA5" w14:textId="77777777" w:rsidR="007D5937" w:rsidRPr="00021732" w:rsidRDefault="007D5937" w:rsidP="007D5937">
            <w:pPr>
              <w:spacing w:line="276" w:lineRule="auto"/>
              <w:ind w:left="313" w:hanging="313"/>
              <w:jc w:val="both"/>
              <w:rPr>
                <w:rFonts w:cs="Arial"/>
                <w:szCs w:val="24"/>
                <w:highlight w:val="yellow"/>
              </w:rPr>
            </w:pPr>
          </w:p>
          <w:p w14:paraId="170BB21A" w14:textId="77777777" w:rsidR="007D5937" w:rsidRPr="0043296F" w:rsidRDefault="00E9083D" w:rsidP="102704D0">
            <w:pPr>
              <w:pStyle w:val="ListParagraph"/>
              <w:numPr>
                <w:ilvl w:val="0"/>
                <w:numId w:val="4"/>
              </w:numPr>
              <w:spacing w:line="276" w:lineRule="auto"/>
              <w:ind w:left="313" w:hanging="313"/>
              <w:jc w:val="both"/>
              <w:rPr>
                <w:rFonts w:cs="Arial"/>
              </w:rPr>
            </w:pPr>
            <w:r w:rsidRPr="7EB144D5">
              <w:rPr>
                <w:rFonts w:cs="Arial"/>
              </w:rPr>
              <w:t>The revenue budget 202</w:t>
            </w:r>
            <w:r w:rsidR="21F59886" w:rsidRPr="7EB144D5">
              <w:rPr>
                <w:rFonts w:cs="Arial"/>
              </w:rPr>
              <w:t>2</w:t>
            </w:r>
            <w:r w:rsidRPr="7EB144D5">
              <w:rPr>
                <w:rFonts w:cs="Arial"/>
              </w:rPr>
              <w:t>/2</w:t>
            </w:r>
            <w:r w:rsidR="19247A76" w:rsidRPr="7EB144D5">
              <w:rPr>
                <w:rFonts w:cs="Arial"/>
              </w:rPr>
              <w:t>3</w:t>
            </w:r>
            <w:r w:rsidRPr="7EB144D5">
              <w:rPr>
                <w:rFonts w:cs="Arial"/>
              </w:rPr>
              <w:t xml:space="preserve"> and financial strategy 202</w:t>
            </w:r>
            <w:r w:rsidR="4B82AB91" w:rsidRPr="7EB144D5">
              <w:rPr>
                <w:rFonts w:cs="Arial"/>
              </w:rPr>
              <w:t>2</w:t>
            </w:r>
            <w:r w:rsidRPr="7EB144D5">
              <w:rPr>
                <w:rFonts w:cs="Arial"/>
              </w:rPr>
              <w:t>/2</w:t>
            </w:r>
            <w:r w:rsidR="230903E3" w:rsidRPr="7EB144D5">
              <w:rPr>
                <w:rFonts w:cs="Arial"/>
              </w:rPr>
              <w:t>3</w:t>
            </w:r>
            <w:r w:rsidRPr="7EB144D5">
              <w:rPr>
                <w:rFonts w:cs="Arial"/>
              </w:rPr>
              <w:t xml:space="preserve"> to 202</w:t>
            </w:r>
            <w:r w:rsidR="333FDACF" w:rsidRPr="7EB144D5">
              <w:rPr>
                <w:rFonts w:cs="Arial"/>
              </w:rPr>
              <w:t>5</w:t>
            </w:r>
            <w:r w:rsidRPr="7EB144D5">
              <w:rPr>
                <w:rFonts w:cs="Arial"/>
              </w:rPr>
              <w:t>/2</w:t>
            </w:r>
            <w:r w:rsidR="71C0CE4A" w:rsidRPr="7EB144D5">
              <w:rPr>
                <w:rFonts w:cs="Arial"/>
              </w:rPr>
              <w:t>6</w:t>
            </w:r>
            <w:r w:rsidRPr="7EB144D5">
              <w:rPr>
                <w:rFonts w:cs="Arial"/>
              </w:rPr>
              <w:t>: section 1 of this report and Appendix A</w:t>
            </w:r>
            <w:r w:rsidR="3130EB18" w:rsidRPr="53D39DEE">
              <w:rPr>
                <w:rFonts w:cs="Arial"/>
              </w:rPr>
              <w:t>.</w:t>
            </w:r>
          </w:p>
          <w:p w14:paraId="36BC5D26" w14:textId="77777777" w:rsidR="007D5937" w:rsidRPr="00021732" w:rsidRDefault="007D5937" w:rsidP="007D5937">
            <w:pPr>
              <w:spacing w:line="276" w:lineRule="auto"/>
              <w:ind w:left="313" w:hanging="313"/>
              <w:jc w:val="both"/>
              <w:rPr>
                <w:rFonts w:cs="Arial"/>
                <w:szCs w:val="24"/>
                <w:highlight w:val="yellow"/>
              </w:rPr>
            </w:pPr>
          </w:p>
          <w:p w14:paraId="734E3C24" w14:textId="77777777" w:rsidR="007D5937" w:rsidRDefault="00E9083D" w:rsidP="102704D0">
            <w:pPr>
              <w:pStyle w:val="ListParagraph"/>
              <w:numPr>
                <w:ilvl w:val="0"/>
                <w:numId w:val="4"/>
              </w:numPr>
              <w:spacing w:line="276" w:lineRule="auto"/>
              <w:ind w:left="313" w:hanging="313"/>
              <w:jc w:val="both"/>
              <w:rPr>
                <w:rFonts w:cs="Arial"/>
              </w:rPr>
            </w:pPr>
            <w:r w:rsidRPr="102704D0">
              <w:rPr>
                <w:rFonts w:cs="Arial"/>
              </w:rPr>
              <w:t>The capital delivery programme 202</w:t>
            </w:r>
            <w:r w:rsidR="42BA8181" w:rsidRPr="102704D0">
              <w:rPr>
                <w:rFonts w:cs="Arial"/>
              </w:rPr>
              <w:t>2</w:t>
            </w:r>
            <w:r w:rsidRPr="102704D0">
              <w:rPr>
                <w:rFonts w:cs="Arial"/>
              </w:rPr>
              <w:t>/2</w:t>
            </w:r>
            <w:r w:rsidR="386957E8" w:rsidRPr="102704D0">
              <w:rPr>
                <w:rFonts w:cs="Arial"/>
              </w:rPr>
              <w:t>3</w:t>
            </w:r>
            <w:r w:rsidRPr="102704D0">
              <w:rPr>
                <w:rFonts w:cs="Arial"/>
              </w:rPr>
              <w:t xml:space="preserve">: section 2 of this report and Appendix </w:t>
            </w:r>
            <w:r w:rsidR="75F32E46" w:rsidRPr="53D39DEE">
              <w:rPr>
                <w:rFonts w:cs="Arial"/>
              </w:rPr>
              <w:t>B.</w:t>
            </w:r>
          </w:p>
          <w:p w14:paraId="1B6619E8" w14:textId="77777777" w:rsidR="007D5937" w:rsidRPr="00944C0C" w:rsidRDefault="007D5937" w:rsidP="007D5937">
            <w:pPr>
              <w:pStyle w:val="ListParagraph"/>
              <w:rPr>
                <w:rFonts w:cs="Arial"/>
                <w:szCs w:val="24"/>
              </w:rPr>
            </w:pPr>
          </w:p>
          <w:p w14:paraId="36FC9141" w14:textId="77777777" w:rsidR="007D5937" w:rsidRPr="0043296F" w:rsidRDefault="00E9083D" w:rsidP="102704D0">
            <w:pPr>
              <w:pStyle w:val="ListParagraph"/>
              <w:numPr>
                <w:ilvl w:val="0"/>
                <w:numId w:val="4"/>
              </w:numPr>
              <w:spacing w:line="276" w:lineRule="auto"/>
              <w:ind w:left="311" w:hanging="311"/>
              <w:jc w:val="both"/>
              <w:rPr>
                <w:rFonts w:cs="Arial"/>
              </w:rPr>
            </w:pPr>
            <w:r w:rsidRPr="102704D0">
              <w:rPr>
                <w:rFonts w:cs="Arial"/>
              </w:rPr>
              <w:t>The capital strategy 202</w:t>
            </w:r>
            <w:r w:rsidR="0A277FAD" w:rsidRPr="102704D0">
              <w:rPr>
                <w:rFonts w:cs="Arial"/>
              </w:rPr>
              <w:t>2</w:t>
            </w:r>
            <w:r w:rsidRPr="102704D0">
              <w:rPr>
                <w:rFonts w:cs="Arial"/>
              </w:rPr>
              <w:t>-204</w:t>
            </w:r>
            <w:r w:rsidR="005060AF">
              <w:rPr>
                <w:rFonts w:cs="Arial"/>
              </w:rPr>
              <w:t>2</w:t>
            </w:r>
            <w:r w:rsidRPr="102704D0">
              <w:rPr>
                <w:rFonts w:cs="Arial"/>
              </w:rPr>
              <w:t>: section 3 of this report and Appendix C; and</w:t>
            </w:r>
          </w:p>
          <w:p w14:paraId="125D3864" w14:textId="77777777" w:rsidR="007D5937" w:rsidRPr="00021732" w:rsidRDefault="007D5937" w:rsidP="007D5937">
            <w:pPr>
              <w:spacing w:line="276" w:lineRule="auto"/>
              <w:ind w:left="313" w:hanging="313"/>
              <w:jc w:val="both"/>
              <w:rPr>
                <w:rFonts w:cs="Arial"/>
                <w:szCs w:val="24"/>
                <w:highlight w:val="yellow"/>
              </w:rPr>
            </w:pPr>
          </w:p>
          <w:p w14:paraId="1D491CA3" w14:textId="77777777" w:rsidR="007D5937" w:rsidRDefault="00E9083D" w:rsidP="102704D0">
            <w:pPr>
              <w:pStyle w:val="ListParagraph"/>
              <w:numPr>
                <w:ilvl w:val="0"/>
                <w:numId w:val="4"/>
              </w:numPr>
              <w:spacing w:line="276" w:lineRule="auto"/>
              <w:ind w:left="313" w:hanging="313"/>
              <w:jc w:val="both"/>
              <w:rPr>
                <w:rFonts w:cs="Arial"/>
              </w:rPr>
            </w:pPr>
            <w:r w:rsidRPr="102704D0">
              <w:rPr>
                <w:rFonts w:cs="Arial"/>
              </w:rPr>
              <w:t>The council tax and precept 202</w:t>
            </w:r>
            <w:r w:rsidR="7EE007B7" w:rsidRPr="102704D0">
              <w:rPr>
                <w:rFonts w:cs="Arial"/>
              </w:rPr>
              <w:t>2</w:t>
            </w:r>
            <w:r w:rsidRPr="102704D0">
              <w:rPr>
                <w:rFonts w:cs="Arial"/>
              </w:rPr>
              <w:t>/2</w:t>
            </w:r>
            <w:r w:rsidR="56175540" w:rsidRPr="102704D0">
              <w:rPr>
                <w:rFonts w:cs="Arial"/>
              </w:rPr>
              <w:t>3</w:t>
            </w:r>
            <w:r w:rsidRPr="102704D0">
              <w:rPr>
                <w:rFonts w:cs="Arial"/>
              </w:rPr>
              <w:t>: section 4 of this report.</w:t>
            </w:r>
          </w:p>
          <w:p w14:paraId="18DC578F" w14:textId="7087D417" w:rsidR="00DA319B" w:rsidRDefault="00DA319B" w:rsidP="00DA319B">
            <w:pPr>
              <w:pStyle w:val="ListParagraph"/>
              <w:rPr>
                <w:rFonts w:cs="Arial"/>
              </w:rPr>
            </w:pPr>
          </w:p>
          <w:p w14:paraId="25E06301" w14:textId="77777777" w:rsidR="00A93208" w:rsidRPr="00DA319B" w:rsidRDefault="00A93208" w:rsidP="00DA319B">
            <w:pPr>
              <w:pStyle w:val="ListParagraph"/>
              <w:rPr>
                <w:rFonts w:cs="Arial"/>
              </w:rPr>
            </w:pPr>
          </w:p>
          <w:p w14:paraId="5817C138" w14:textId="77777777" w:rsidR="00DA319B" w:rsidRDefault="00E9083D" w:rsidP="102704D0">
            <w:pPr>
              <w:pStyle w:val="ListParagraph"/>
              <w:numPr>
                <w:ilvl w:val="0"/>
                <w:numId w:val="4"/>
              </w:numPr>
              <w:spacing w:line="276" w:lineRule="auto"/>
              <w:ind w:left="313" w:hanging="313"/>
              <w:jc w:val="both"/>
              <w:rPr>
                <w:rFonts w:cs="Arial"/>
              </w:rPr>
            </w:pPr>
            <w:r>
              <w:rPr>
                <w:rFonts w:cs="Arial"/>
              </w:rPr>
              <w:t>The Fees and Charges report 2022/23, Appendix G</w:t>
            </w:r>
            <w:r w:rsidR="00D853B1">
              <w:rPr>
                <w:rFonts w:cs="Arial"/>
              </w:rPr>
              <w:t xml:space="preserve"> and G1,</w:t>
            </w:r>
            <w:r>
              <w:rPr>
                <w:rFonts w:cs="Arial"/>
              </w:rPr>
              <w:t xml:space="preserve"> and </w:t>
            </w:r>
          </w:p>
          <w:p w14:paraId="225C6AFF" w14:textId="77777777" w:rsidR="007D5937" w:rsidRDefault="007D5937" w:rsidP="007D5937">
            <w:pPr>
              <w:pStyle w:val="ListParagraph"/>
              <w:rPr>
                <w:rFonts w:cs="Arial"/>
                <w:szCs w:val="24"/>
              </w:rPr>
            </w:pPr>
          </w:p>
          <w:p w14:paraId="4E817075" w14:textId="184D75C0" w:rsidR="007D5937" w:rsidRPr="002525C2" w:rsidRDefault="00E9083D" w:rsidP="007D5937">
            <w:pPr>
              <w:spacing w:line="276" w:lineRule="auto"/>
              <w:jc w:val="both"/>
              <w:rPr>
                <w:rFonts w:cs="Arial"/>
                <w:highlight w:val="yellow"/>
              </w:rPr>
            </w:pPr>
            <w:r w:rsidRPr="5972327E">
              <w:rPr>
                <w:rFonts w:cs="Arial"/>
              </w:rPr>
              <w:t xml:space="preserve">To consider the recommendations of the Audit, Risk and Governance Committee </w:t>
            </w:r>
            <w:r>
              <w:rPr>
                <w:rFonts w:cs="Arial"/>
              </w:rPr>
              <w:t xml:space="preserve">from its meeting </w:t>
            </w:r>
            <w:r w:rsidRPr="5972327E">
              <w:rPr>
                <w:rFonts w:cs="Arial"/>
              </w:rPr>
              <w:t xml:space="preserve">on </w:t>
            </w:r>
            <w:r w:rsidR="36AD63A7" w:rsidRPr="5972327E">
              <w:rPr>
                <w:rFonts w:cs="Arial"/>
              </w:rPr>
              <w:t>31</w:t>
            </w:r>
            <w:r w:rsidRPr="5972327E">
              <w:rPr>
                <w:rFonts w:cs="Arial"/>
              </w:rPr>
              <w:t xml:space="preserve"> January </w:t>
            </w:r>
            <w:r w:rsidR="600F6E9E" w:rsidRPr="5972327E">
              <w:rPr>
                <w:rFonts w:cs="Arial"/>
              </w:rPr>
              <w:t>202</w:t>
            </w:r>
            <w:r w:rsidR="447ACC84" w:rsidRPr="5972327E">
              <w:rPr>
                <w:rFonts w:cs="Arial"/>
              </w:rPr>
              <w:t>2</w:t>
            </w:r>
            <w:r w:rsidRPr="5972327E">
              <w:rPr>
                <w:rFonts w:cs="Arial"/>
              </w:rPr>
              <w:t xml:space="preserve"> regarding:</w:t>
            </w:r>
          </w:p>
          <w:p w14:paraId="56C41EB4" w14:textId="77777777" w:rsidR="007D5937" w:rsidRPr="0043296F" w:rsidRDefault="007D5937" w:rsidP="007D5937">
            <w:pPr>
              <w:pStyle w:val="ListParagraph"/>
              <w:ind w:left="0"/>
              <w:rPr>
                <w:rFonts w:cs="Arial"/>
                <w:szCs w:val="24"/>
              </w:rPr>
            </w:pPr>
          </w:p>
          <w:p w14:paraId="3CDAD64D" w14:textId="77777777" w:rsidR="007D5937" w:rsidRPr="0043296F" w:rsidRDefault="00E9083D" w:rsidP="102704D0">
            <w:pPr>
              <w:pStyle w:val="ListParagraph"/>
              <w:numPr>
                <w:ilvl w:val="0"/>
                <w:numId w:val="4"/>
              </w:numPr>
              <w:spacing w:line="276" w:lineRule="auto"/>
              <w:ind w:left="313" w:hanging="313"/>
              <w:jc w:val="both"/>
              <w:rPr>
                <w:rFonts w:cs="Arial"/>
              </w:rPr>
            </w:pPr>
            <w:r>
              <w:t>The treasury management strategy</w:t>
            </w:r>
            <w:r w:rsidR="5A8E15E9">
              <w:t>, the</w:t>
            </w:r>
            <w:r>
              <w:t xml:space="preserve"> non-treasury investment strategy and the minimum revenue provision policy statement for 202</w:t>
            </w:r>
            <w:r w:rsidR="1CD710B7">
              <w:t>2</w:t>
            </w:r>
            <w:r>
              <w:t>/2</w:t>
            </w:r>
            <w:r w:rsidR="7F717C6A">
              <w:t>3</w:t>
            </w:r>
            <w:r w:rsidR="4BB4C77A">
              <w:t xml:space="preserve"> </w:t>
            </w:r>
            <w:r>
              <w:t xml:space="preserve">as shown in Appendices D, E </w:t>
            </w:r>
            <w:r w:rsidR="00DA319B">
              <w:t xml:space="preserve">&amp; </w:t>
            </w:r>
            <w:r>
              <w:t>F.</w:t>
            </w:r>
          </w:p>
          <w:p w14:paraId="150E08C7" w14:textId="77777777" w:rsidR="007D5937" w:rsidRDefault="007D5937" w:rsidP="007D5937">
            <w:pPr>
              <w:jc w:val="both"/>
              <w:rPr>
                <w:b/>
                <w:highlight w:val="yellow"/>
              </w:rPr>
            </w:pPr>
          </w:p>
          <w:p w14:paraId="5673806D" w14:textId="77777777" w:rsidR="007D5937" w:rsidRDefault="00E9083D" w:rsidP="007D5937">
            <w:pPr>
              <w:pStyle w:val="Heading5"/>
              <w:spacing w:line="276" w:lineRule="auto"/>
              <w:jc w:val="both"/>
              <w:rPr>
                <w:rFonts w:ascii="Arial" w:hAnsi="Arial" w:cs="Arial"/>
                <w:szCs w:val="24"/>
                <w:u w:val="none"/>
              </w:rPr>
            </w:pPr>
            <w:r w:rsidRPr="002C5CF7">
              <w:rPr>
                <w:rFonts w:ascii="Arial" w:hAnsi="Arial" w:cs="Arial"/>
                <w:szCs w:val="24"/>
                <w:u w:val="none"/>
              </w:rPr>
              <w:t>Recommendation</w:t>
            </w:r>
          </w:p>
          <w:p w14:paraId="2812B00A" w14:textId="77777777" w:rsidR="007D5937" w:rsidRPr="00F47494" w:rsidRDefault="007D5937" w:rsidP="007D5937"/>
          <w:p w14:paraId="6FF82C52" w14:textId="77777777" w:rsidR="007D5937" w:rsidRPr="00BF30FB" w:rsidRDefault="00E9083D" w:rsidP="007D5937">
            <w:pPr>
              <w:spacing w:line="276" w:lineRule="auto"/>
              <w:jc w:val="both"/>
              <w:rPr>
                <w:rFonts w:cs="Arial"/>
                <w:szCs w:val="24"/>
              </w:rPr>
            </w:pPr>
            <w:r w:rsidRPr="00BF30FB">
              <w:rPr>
                <w:rFonts w:cs="Arial"/>
                <w:szCs w:val="24"/>
              </w:rPr>
              <w:t xml:space="preserve">The Full Council is asked to consider </w:t>
            </w:r>
            <w:r>
              <w:rPr>
                <w:rFonts w:cs="Arial"/>
                <w:szCs w:val="24"/>
              </w:rPr>
              <w:t>and</w:t>
            </w:r>
            <w:r w:rsidRPr="00BF30FB">
              <w:rPr>
                <w:rFonts w:cs="Arial"/>
                <w:szCs w:val="24"/>
              </w:rPr>
              <w:t xml:space="preserve"> approve:</w:t>
            </w:r>
          </w:p>
          <w:p w14:paraId="1EC94AF0" w14:textId="77777777" w:rsidR="007D5937" w:rsidRPr="00BF30FB" w:rsidRDefault="007D5937" w:rsidP="007D5937">
            <w:pPr>
              <w:spacing w:line="276" w:lineRule="auto"/>
              <w:jc w:val="both"/>
              <w:rPr>
                <w:rFonts w:cs="Arial"/>
                <w:szCs w:val="24"/>
              </w:rPr>
            </w:pPr>
          </w:p>
          <w:p w14:paraId="2B4CAA7C" w14:textId="77777777" w:rsidR="007D5937" w:rsidRPr="00BF30FB" w:rsidRDefault="00E9083D" w:rsidP="00E9083D">
            <w:pPr>
              <w:numPr>
                <w:ilvl w:val="0"/>
                <w:numId w:val="2"/>
              </w:numPr>
              <w:spacing w:line="276" w:lineRule="auto"/>
              <w:ind w:left="720"/>
              <w:jc w:val="both"/>
              <w:rPr>
                <w:rFonts w:cs="Arial"/>
              </w:rPr>
            </w:pPr>
            <w:r w:rsidRPr="3F3B0D43">
              <w:rPr>
                <w:rFonts w:cs="Arial"/>
              </w:rPr>
              <w:t>The revenue budget for 202</w:t>
            </w:r>
            <w:r w:rsidR="1379FEF3" w:rsidRPr="3F3B0D43">
              <w:rPr>
                <w:rFonts w:cs="Arial"/>
              </w:rPr>
              <w:t>2</w:t>
            </w:r>
            <w:r w:rsidRPr="3F3B0D43">
              <w:rPr>
                <w:rFonts w:cs="Arial"/>
              </w:rPr>
              <w:t>/2</w:t>
            </w:r>
            <w:r w:rsidR="48CC64DE" w:rsidRPr="3F3B0D43">
              <w:rPr>
                <w:rFonts w:cs="Arial"/>
              </w:rPr>
              <w:t>3</w:t>
            </w:r>
            <w:r w:rsidRPr="3F3B0D43">
              <w:rPr>
                <w:rFonts w:cs="Arial"/>
              </w:rPr>
              <w:t xml:space="preserve"> and financial strategy 202</w:t>
            </w:r>
            <w:r w:rsidR="03E5C9A7" w:rsidRPr="3F3B0D43">
              <w:rPr>
                <w:rFonts w:cs="Arial"/>
              </w:rPr>
              <w:t>2</w:t>
            </w:r>
            <w:r w:rsidRPr="3F3B0D43">
              <w:rPr>
                <w:rFonts w:cs="Arial"/>
              </w:rPr>
              <w:t>/2</w:t>
            </w:r>
            <w:r w:rsidR="0DB34974" w:rsidRPr="3F3B0D43">
              <w:rPr>
                <w:rFonts w:cs="Arial"/>
              </w:rPr>
              <w:t>3</w:t>
            </w:r>
            <w:r w:rsidRPr="3F3B0D43">
              <w:rPr>
                <w:rFonts w:cs="Arial"/>
              </w:rPr>
              <w:t xml:space="preserve"> to </w:t>
            </w:r>
            <w:r w:rsidR="67238E69" w:rsidRPr="3F3B0D43">
              <w:rPr>
                <w:rFonts w:cs="Arial"/>
              </w:rPr>
              <w:t>2024/25.</w:t>
            </w:r>
            <w:r w:rsidRPr="3F3B0D43">
              <w:rPr>
                <w:rFonts w:cs="Arial"/>
              </w:rPr>
              <w:t xml:space="preserve"> </w:t>
            </w:r>
          </w:p>
          <w:p w14:paraId="373533F5" w14:textId="77777777" w:rsidR="007D5937" w:rsidRPr="00BF30FB" w:rsidRDefault="00E9083D" w:rsidP="00E9083D">
            <w:pPr>
              <w:numPr>
                <w:ilvl w:val="0"/>
                <w:numId w:val="2"/>
              </w:numPr>
              <w:spacing w:line="276" w:lineRule="auto"/>
              <w:ind w:left="720"/>
              <w:jc w:val="both"/>
              <w:rPr>
                <w:rFonts w:cs="Arial"/>
              </w:rPr>
            </w:pPr>
            <w:r w:rsidRPr="3F3B0D43">
              <w:rPr>
                <w:rFonts w:cs="Arial"/>
              </w:rPr>
              <w:t xml:space="preserve">The capital delivery programme for </w:t>
            </w:r>
            <w:r w:rsidR="3B3C1574" w:rsidRPr="3F3B0D43">
              <w:rPr>
                <w:rFonts w:cs="Arial"/>
              </w:rPr>
              <w:t>2022/23.</w:t>
            </w:r>
          </w:p>
          <w:p w14:paraId="0F1720D6" w14:textId="77777777" w:rsidR="007D5937" w:rsidRPr="00BF30FB" w:rsidRDefault="00E9083D" w:rsidP="00E9083D">
            <w:pPr>
              <w:numPr>
                <w:ilvl w:val="0"/>
                <w:numId w:val="2"/>
              </w:numPr>
              <w:spacing w:line="276" w:lineRule="auto"/>
              <w:ind w:left="720"/>
              <w:jc w:val="both"/>
              <w:rPr>
                <w:rFonts w:cs="Arial"/>
              </w:rPr>
            </w:pPr>
            <w:r w:rsidRPr="33C20ECE">
              <w:rPr>
                <w:rFonts w:cs="Arial"/>
              </w:rPr>
              <w:t xml:space="preserve">The capital strategy </w:t>
            </w:r>
            <w:r w:rsidR="07D22B3E" w:rsidRPr="33C20ECE">
              <w:rPr>
                <w:rFonts w:cs="Arial"/>
              </w:rPr>
              <w:t>2022</w:t>
            </w:r>
            <w:r w:rsidR="00170E84">
              <w:rPr>
                <w:rFonts w:cs="Arial"/>
              </w:rPr>
              <w:t xml:space="preserve"> to </w:t>
            </w:r>
            <w:r w:rsidR="07D22B3E" w:rsidRPr="33C20ECE">
              <w:rPr>
                <w:rFonts w:cs="Arial"/>
              </w:rPr>
              <w:t>204</w:t>
            </w:r>
            <w:r w:rsidR="00170E84">
              <w:rPr>
                <w:rFonts w:cs="Arial"/>
              </w:rPr>
              <w:t>2</w:t>
            </w:r>
            <w:r w:rsidR="07D22B3E" w:rsidRPr="33C20ECE">
              <w:rPr>
                <w:rFonts w:cs="Arial"/>
              </w:rPr>
              <w:t>.</w:t>
            </w:r>
          </w:p>
          <w:p w14:paraId="05537BA0" w14:textId="77777777" w:rsidR="007D5937" w:rsidRPr="00BF30FB" w:rsidRDefault="00E9083D" w:rsidP="00E9083D">
            <w:pPr>
              <w:numPr>
                <w:ilvl w:val="0"/>
                <w:numId w:val="2"/>
              </w:numPr>
              <w:spacing w:line="276" w:lineRule="auto"/>
              <w:ind w:left="720"/>
              <w:jc w:val="both"/>
              <w:rPr>
                <w:rFonts w:cs="Arial"/>
              </w:rPr>
            </w:pPr>
            <w:r w:rsidRPr="3F3B0D43">
              <w:rPr>
                <w:rFonts w:cs="Arial"/>
              </w:rPr>
              <w:t>The council tax requirement and precept for 202</w:t>
            </w:r>
            <w:r w:rsidR="3C793946" w:rsidRPr="3F3B0D43">
              <w:rPr>
                <w:rFonts w:cs="Arial"/>
              </w:rPr>
              <w:t>2</w:t>
            </w:r>
            <w:r w:rsidRPr="3F3B0D43">
              <w:rPr>
                <w:rFonts w:cs="Arial"/>
              </w:rPr>
              <w:t>/2</w:t>
            </w:r>
            <w:r w:rsidR="0D53AE52" w:rsidRPr="3F3B0D43">
              <w:rPr>
                <w:rFonts w:cs="Arial"/>
              </w:rPr>
              <w:t>3</w:t>
            </w:r>
            <w:r w:rsidRPr="3F3B0D43">
              <w:rPr>
                <w:rFonts w:cs="Arial"/>
              </w:rPr>
              <w:t xml:space="preserve"> including the level of Band D council tax for 202</w:t>
            </w:r>
            <w:r w:rsidR="33854650" w:rsidRPr="3F3B0D43">
              <w:rPr>
                <w:rFonts w:cs="Arial"/>
              </w:rPr>
              <w:t>2</w:t>
            </w:r>
            <w:r w:rsidRPr="3F3B0D43">
              <w:rPr>
                <w:rFonts w:cs="Arial"/>
              </w:rPr>
              <w:t>/2</w:t>
            </w:r>
            <w:r w:rsidR="6D93DE14" w:rsidRPr="3F3B0D43">
              <w:rPr>
                <w:rFonts w:cs="Arial"/>
              </w:rPr>
              <w:t>3</w:t>
            </w:r>
            <w:r w:rsidRPr="3F3B0D43">
              <w:rPr>
                <w:rFonts w:cs="Arial"/>
              </w:rPr>
              <w:t xml:space="preserve"> reflecting a </w:t>
            </w:r>
            <w:r w:rsidR="00D4C8EE" w:rsidRPr="3F3B0D43">
              <w:rPr>
                <w:rFonts w:cs="Arial"/>
              </w:rPr>
              <w:t>3</w:t>
            </w:r>
            <w:r w:rsidRPr="3F3B0D43">
              <w:rPr>
                <w:rFonts w:cs="Arial"/>
              </w:rPr>
              <w:t xml:space="preserve">.99% increase including </w:t>
            </w:r>
            <w:r w:rsidR="06DD3E32" w:rsidRPr="3F3B0D43">
              <w:rPr>
                <w:rFonts w:cs="Arial"/>
              </w:rPr>
              <w:t>2</w:t>
            </w:r>
            <w:r w:rsidRPr="3F3B0D43">
              <w:rPr>
                <w:rFonts w:cs="Arial"/>
              </w:rPr>
              <w:t xml:space="preserve">% to be used for adult social care as per the new flexibilities.  </w:t>
            </w:r>
          </w:p>
          <w:p w14:paraId="6EBA6058" w14:textId="1FAC57EB" w:rsidR="000E5C88" w:rsidRPr="000E5C88" w:rsidRDefault="00E9083D" w:rsidP="00E9083D">
            <w:pPr>
              <w:pStyle w:val="ListParagraph"/>
              <w:numPr>
                <w:ilvl w:val="0"/>
                <w:numId w:val="8"/>
              </w:numPr>
              <w:spacing w:line="276" w:lineRule="auto"/>
              <w:jc w:val="both"/>
              <w:rPr>
                <w:rFonts w:cs="Arial"/>
              </w:rPr>
            </w:pPr>
            <w:r>
              <w:t>The treasury management strategy, non-treasury investment strategy</w:t>
            </w:r>
            <w:r w:rsidR="20033F5C">
              <w:t>,</w:t>
            </w:r>
            <w:r>
              <w:t xml:space="preserve"> minimum revenue provision policy statement 202</w:t>
            </w:r>
            <w:r w:rsidR="1BA7F18E">
              <w:t>2</w:t>
            </w:r>
            <w:r>
              <w:t>/2</w:t>
            </w:r>
            <w:r w:rsidR="78809CC6">
              <w:t>3</w:t>
            </w:r>
            <w:r>
              <w:t xml:space="preserve"> </w:t>
            </w:r>
            <w:r w:rsidR="00276341">
              <w:t xml:space="preserve">as set out at Appendices </w:t>
            </w:r>
            <w:r w:rsidR="004D63CD">
              <w:t>D, E, &amp; F</w:t>
            </w:r>
            <w:r>
              <w:t>.</w:t>
            </w:r>
            <w:r w:rsidR="3416BB03">
              <w:t xml:space="preserve"> </w:t>
            </w:r>
          </w:p>
          <w:p w14:paraId="7F0F0B26" w14:textId="6558EDEC" w:rsidR="007D5937" w:rsidRPr="00BF30FB" w:rsidRDefault="00E9083D" w:rsidP="00E9083D">
            <w:pPr>
              <w:pStyle w:val="ListParagraph"/>
              <w:numPr>
                <w:ilvl w:val="0"/>
                <w:numId w:val="8"/>
              </w:numPr>
              <w:spacing w:line="276" w:lineRule="auto"/>
              <w:jc w:val="both"/>
              <w:rPr>
                <w:rFonts w:cs="Arial"/>
              </w:rPr>
            </w:pPr>
            <w:r>
              <w:t>T</w:t>
            </w:r>
            <w:r w:rsidR="3416BB03">
              <w:t xml:space="preserve">he fees and charges report </w:t>
            </w:r>
            <w:r w:rsidR="00BD3D58">
              <w:t>(as set out at Appendi</w:t>
            </w:r>
            <w:r w:rsidR="004D63CD">
              <w:t>x</w:t>
            </w:r>
            <w:r w:rsidR="357F0A2D">
              <w:t xml:space="preserve"> G</w:t>
            </w:r>
            <w:r w:rsidR="00BD3D58">
              <w:t>)</w:t>
            </w:r>
            <w:r w:rsidR="00F81219">
              <w:t xml:space="preserve"> </w:t>
            </w:r>
            <w:r w:rsidR="0011539D">
              <w:t>for implementation on 1</w:t>
            </w:r>
            <w:r w:rsidR="5DE894A4">
              <w:t xml:space="preserve"> </w:t>
            </w:r>
            <w:r w:rsidR="0011539D">
              <w:t>April 2022</w:t>
            </w:r>
            <w:r>
              <w:t xml:space="preserve"> bar</w:t>
            </w:r>
            <w:r w:rsidR="00DA319B">
              <w:t xml:space="preserve"> </w:t>
            </w:r>
            <w:r>
              <w:t>Adult</w:t>
            </w:r>
            <w:r w:rsidR="0011539D">
              <w:t xml:space="preserve"> Social care </w:t>
            </w:r>
            <w:r w:rsidR="005060AF">
              <w:t>c</w:t>
            </w:r>
            <w:r w:rsidR="0011539D">
              <w:t xml:space="preserve">harges which will </w:t>
            </w:r>
            <w:r w:rsidR="00F81219">
              <w:t>b</w:t>
            </w:r>
            <w:r w:rsidR="0011539D">
              <w:t xml:space="preserve">e uplifted from </w:t>
            </w:r>
            <w:r w:rsidR="00DA319B">
              <w:t>Monday</w:t>
            </w:r>
            <w:r w:rsidR="0011539D">
              <w:t xml:space="preserve"> </w:t>
            </w:r>
            <w:r>
              <w:t xml:space="preserve">4 </w:t>
            </w:r>
            <w:r w:rsidR="0011539D">
              <w:t>April</w:t>
            </w:r>
            <w:r>
              <w:t>.</w:t>
            </w:r>
            <w:r w:rsidR="0011539D">
              <w:t xml:space="preserve">  </w:t>
            </w:r>
          </w:p>
          <w:p w14:paraId="7F2BA251" w14:textId="77777777" w:rsidR="007D5937" w:rsidRPr="00BF30FB" w:rsidRDefault="007D5937" w:rsidP="00E9083D">
            <w:pPr>
              <w:jc w:val="both"/>
              <w:rPr>
                <w:rFonts w:cs="Arial"/>
                <w:szCs w:val="24"/>
              </w:rPr>
            </w:pPr>
          </w:p>
          <w:p w14:paraId="47FF04D2" w14:textId="77777777" w:rsidR="007D5937" w:rsidRDefault="00E9083D" w:rsidP="00E9083D">
            <w:pPr>
              <w:spacing w:line="276" w:lineRule="auto"/>
              <w:jc w:val="both"/>
              <w:rPr>
                <w:rFonts w:cs="Arial"/>
                <w:szCs w:val="24"/>
              </w:rPr>
            </w:pPr>
            <w:r w:rsidRPr="00BF30FB">
              <w:rPr>
                <w:rFonts w:cs="Arial"/>
                <w:szCs w:val="24"/>
              </w:rPr>
              <w:t>The Full Council is asked to note and have regard to the advice of the Chief Executive and Director of Resources in relation to the robustness of the budget and the adequacy of reserves.</w:t>
            </w:r>
            <w:r w:rsidRPr="0039418B">
              <w:rPr>
                <w:rFonts w:cs="Arial"/>
                <w:szCs w:val="24"/>
              </w:rPr>
              <w:t xml:space="preserve">    </w:t>
            </w:r>
          </w:p>
          <w:p w14:paraId="1D68CED2" w14:textId="77777777" w:rsidR="007D5937" w:rsidRPr="0039418B" w:rsidRDefault="007D5937" w:rsidP="007D5937">
            <w:pPr>
              <w:spacing w:line="276" w:lineRule="auto"/>
              <w:jc w:val="both"/>
              <w:rPr>
                <w:rFonts w:cs="Arial"/>
                <w:szCs w:val="24"/>
                <w:highlight w:val="yellow"/>
              </w:rPr>
            </w:pPr>
          </w:p>
        </w:tc>
      </w:tr>
    </w:tbl>
    <w:p w14:paraId="36E5751A" w14:textId="77777777" w:rsidR="007D5937" w:rsidRPr="00021732" w:rsidRDefault="007D5937" w:rsidP="007D5937">
      <w:pPr>
        <w:rPr>
          <w:highlight w:val="yellow"/>
        </w:rPr>
      </w:pPr>
    </w:p>
    <w:p w14:paraId="1BCA39C5" w14:textId="77777777" w:rsidR="007D5937" w:rsidRDefault="00E9083D" w:rsidP="007D5937">
      <w:pPr>
        <w:rPr>
          <w:b/>
        </w:rPr>
      </w:pPr>
      <w:r>
        <w:rPr>
          <w:b/>
        </w:rPr>
        <w:t>Background and Advice</w:t>
      </w:r>
    </w:p>
    <w:p w14:paraId="3816ED72" w14:textId="77777777" w:rsidR="007D5937" w:rsidRDefault="007D5937" w:rsidP="007D5937">
      <w:pPr>
        <w:rPr>
          <w:b/>
        </w:rPr>
      </w:pPr>
    </w:p>
    <w:p w14:paraId="629FEEB3" w14:textId="77777777" w:rsidR="007D5937" w:rsidRPr="00BF30FB" w:rsidRDefault="00E9083D" w:rsidP="102704D0">
      <w:pPr>
        <w:numPr>
          <w:ilvl w:val="0"/>
          <w:numId w:val="1"/>
        </w:numPr>
        <w:tabs>
          <w:tab w:val="clear" w:pos="720"/>
          <w:tab w:val="num" w:pos="284"/>
        </w:tabs>
        <w:spacing w:line="276" w:lineRule="auto"/>
        <w:ind w:left="284" w:hanging="284"/>
        <w:jc w:val="both"/>
        <w:rPr>
          <w:b/>
          <w:bCs/>
        </w:rPr>
      </w:pPr>
      <w:r w:rsidRPr="102704D0">
        <w:rPr>
          <w:b/>
          <w:bCs/>
        </w:rPr>
        <w:t>Revenue Budget 202</w:t>
      </w:r>
      <w:r w:rsidR="730CB74E" w:rsidRPr="102704D0">
        <w:rPr>
          <w:b/>
          <w:bCs/>
        </w:rPr>
        <w:t>2</w:t>
      </w:r>
      <w:r w:rsidRPr="102704D0">
        <w:rPr>
          <w:b/>
          <w:bCs/>
        </w:rPr>
        <w:t>/2</w:t>
      </w:r>
      <w:r w:rsidR="2104043E" w:rsidRPr="102704D0">
        <w:rPr>
          <w:b/>
          <w:bCs/>
        </w:rPr>
        <w:t>3</w:t>
      </w:r>
    </w:p>
    <w:p w14:paraId="2C954363" w14:textId="77777777" w:rsidR="007D5937" w:rsidRPr="00BF30FB" w:rsidRDefault="007D5937" w:rsidP="007D5937">
      <w:pPr>
        <w:spacing w:line="276" w:lineRule="auto"/>
        <w:jc w:val="both"/>
      </w:pPr>
    </w:p>
    <w:p w14:paraId="7546F831" w14:textId="091E1DEE" w:rsidR="007D5937" w:rsidRPr="00BF30FB" w:rsidRDefault="00E9083D" w:rsidP="3F3B0D43">
      <w:pPr>
        <w:spacing w:line="276" w:lineRule="auto"/>
        <w:jc w:val="both"/>
        <w:rPr>
          <w:rFonts w:cs="Arial"/>
        </w:rPr>
      </w:pPr>
      <w:r w:rsidRPr="3F3B0D43">
        <w:rPr>
          <w:rFonts w:cs="Arial"/>
        </w:rPr>
        <w:t>The revenue budget as set out in Appendix A and in the tables below, presents the proposed budget allocations to services and other budget areas.</w:t>
      </w:r>
      <w:r>
        <w:t xml:space="preserve"> </w:t>
      </w:r>
      <w:r w:rsidR="5031131F" w:rsidRPr="5972327E">
        <w:rPr>
          <w:rFonts w:cs="Arial"/>
        </w:rPr>
        <w:t>R</w:t>
      </w:r>
      <w:r w:rsidR="600F6E9E" w:rsidRPr="5972327E">
        <w:rPr>
          <w:rFonts w:cs="Arial"/>
        </w:rPr>
        <w:t>eports</w:t>
      </w:r>
      <w:r w:rsidRPr="3F3B0D43">
        <w:rPr>
          <w:rFonts w:cs="Arial"/>
        </w:rPr>
        <w:t xml:space="preserve"> throughout the financial year to </w:t>
      </w:r>
      <w:r>
        <w:rPr>
          <w:rFonts w:cs="Arial"/>
        </w:rPr>
        <w:t>C</w:t>
      </w:r>
      <w:r w:rsidRPr="3F3B0D43">
        <w:rPr>
          <w:rFonts w:cs="Arial"/>
        </w:rPr>
        <w:t xml:space="preserve">abinet, </w:t>
      </w:r>
      <w:r w:rsidR="77876FB4" w:rsidRPr="5972327E">
        <w:rPr>
          <w:rFonts w:cs="Arial"/>
        </w:rPr>
        <w:t>have made</w:t>
      </w:r>
      <w:r w:rsidRPr="3F3B0D43">
        <w:rPr>
          <w:rFonts w:cs="Arial"/>
        </w:rPr>
        <w:t xml:space="preserve"> clear that the council remains committed to the delivery of a significant savings programme</w:t>
      </w:r>
      <w:r w:rsidR="2C683083" w:rsidRPr="3F3B0D43">
        <w:rPr>
          <w:rFonts w:cs="Arial"/>
        </w:rPr>
        <w:t>.</w:t>
      </w:r>
      <w:r w:rsidRPr="3F3B0D43">
        <w:rPr>
          <w:rFonts w:cs="Arial"/>
        </w:rPr>
        <w:t xml:space="preserve"> There are inherent risks with saving plans of this scale</w:t>
      </w:r>
      <w:r w:rsidR="085CD468" w:rsidRPr="3F3B0D43">
        <w:rPr>
          <w:rFonts w:cs="Arial"/>
        </w:rPr>
        <w:t>,</w:t>
      </w:r>
      <w:r w:rsidRPr="3F3B0D43">
        <w:rPr>
          <w:rFonts w:cs="Arial"/>
        </w:rPr>
        <w:t xml:space="preserve"> particularly in light of the impact of the </w:t>
      </w:r>
      <w:r w:rsidR="2683AD67" w:rsidRPr="3F3B0D43">
        <w:rPr>
          <w:rFonts w:cs="Arial"/>
        </w:rPr>
        <w:t>on-going</w:t>
      </w:r>
      <w:r w:rsidRPr="3F3B0D43">
        <w:rPr>
          <w:rFonts w:cs="Arial"/>
        </w:rPr>
        <w:t xml:space="preserve"> pandemic, and any significant under-delivery of agreed savings will further increase the funding gap. This has been identified as one of the </w:t>
      </w:r>
      <w:r w:rsidR="41587BDB" w:rsidRPr="3F3B0D43">
        <w:rPr>
          <w:rFonts w:cs="Arial"/>
        </w:rPr>
        <w:t>highest-level</w:t>
      </w:r>
      <w:r w:rsidRPr="3F3B0D43">
        <w:rPr>
          <w:rFonts w:cs="Arial"/>
        </w:rPr>
        <w:t xml:space="preserve"> risks in the council's risk and opportunity register and there are comprehensive arrangements in place to track delivery of financial savings and take corrective actions as required. </w:t>
      </w:r>
    </w:p>
    <w:p w14:paraId="3EAC57BA" w14:textId="77777777" w:rsidR="007D5937" w:rsidRPr="00BF30FB" w:rsidRDefault="007D5937" w:rsidP="3F3B0D43">
      <w:pPr>
        <w:spacing w:line="276" w:lineRule="auto"/>
        <w:jc w:val="both"/>
        <w:rPr>
          <w:rFonts w:cs="Arial"/>
        </w:rPr>
      </w:pPr>
    </w:p>
    <w:p w14:paraId="74AE5202" w14:textId="77777777" w:rsidR="007D5937" w:rsidRPr="00BF30FB" w:rsidRDefault="00E9083D" w:rsidP="102704D0">
      <w:pPr>
        <w:spacing w:line="276" w:lineRule="auto"/>
        <w:jc w:val="both"/>
        <w:rPr>
          <w:rFonts w:cs="Arial"/>
        </w:rPr>
      </w:pPr>
      <w:r w:rsidRPr="3F3B0D43">
        <w:rPr>
          <w:rFonts w:cs="Arial"/>
        </w:rPr>
        <w:lastRenderedPageBreak/>
        <w:t xml:space="preserve">Following the </w:t>
      </w:r>
      <w:r w:rsidR="005060AF">
        <w:rPr>
          <w:rFonts w:cs="Arial"/>
        </w:rPr>
        <w:t>Final</w:t>
      </w:r>
      <w:r w:rsidRPr="3F3B0D43">
        <w:rPr>
          <w:rFonts w:cs="Arial"/>
        </w:rPr>
        <w:t xml:space="preserve"> Settlement</w:t>
      </w:r>
      <w:r w:rsidR="458D64DB" w:rsidRPr="3F3B0D43">
        <w:rPr>
          <w:rFonts w:cs="Arial"/>
        </w:rPr>
        <w:t xml:space="preserve">, </w:t>
      </w:r>
      <w:r w:rsidRPr="3F3B0D43">
        <w:rPr>
          <w:rFonts w:cs="Arial"/>
        </w:rPr>
        <w:t>the announcement of additional funding for social care</w:t>
      </w:r>
      <w:r w:rsidR="40E51F66" w:rsidRPr="3F3B0D43">
        <w:rPr>
          <w:rFonts w:cs="Arial"/>
        </w:rPr>
        <w:t xml:space="preserve">, </w:t>
      </w:r>
      <w:r w:rsidRPr="3F3B0D43">
        <w:rPr>
          <w:rFonts w:cs="Arial"/>
        </w:rPr>
        <w:t>the flexibility to raise an Adult Social Care Precept</w:t>
      </w:r>
      <w:r w:rsidR="406ED047" w:rsidRPr="3F3B0D43">
        <w:rPr>
          <w:rFonts w:cs="Arial"/>
        </w:rPr>
        <w:t xml:space="preserve">, along with </w:t>
      </w:r>
      <w:r w:rsidR="0B58726B" w:rsidRPr="3F3B0D43">
        <w:rPr>
          <w:rFonts w:cs="Arial"/>
        </w:rPr>
        <w:t xml:space="preserve">planned </w:t>
      </w:r>
      <w:r w:rsidR="406ED047" w:rsidRPr="3F3B0D43">
        <w:rPr>
          <w:rFonts w:cs="Arial"/>
        </w:rPr>
        <w:t xml:space="preserve">investments in services the council will be utilising an amount of </w:t>
      </w:r>
      <w:r w:rsidR="406ED047" w:rsidRPr="00B16A67">
        <w:rPr>
          <w:rFonts w:cs="Arial"/>
        </w:rPr>
        <w:t>£</w:t>
      </w:r>
      <w:r w:rsidR="005060AF">
        <w:rPr>
          <w:rFonts w:cs="Arial"/>
        </w:rPr>
        <w:t>13.34</w:t>
      </w:r>
      <w:r w:rsidR="00D853B1">
        <w:rPr>
          <w:rFonts w:cs="Arial"/>
        </w:rPr>
        <w:t>0</w:t>
      </w:r>
      <w:r w:rsidR="00AE151C" w:rsidRPr="003E06CE">
        <w:rPr>
          <w:rFonts w:cs="Arial"/>
        </w:rPr>
        <w:t>m</w:t>
      </w:r>
      <w:r w:rsidR="406ED047" w:rsidRPr="3F3B0D43">
        <w:rPr>
          <w:rFonts w:cs="Arial"/>
        </w:rPr>
        <w:t xml:space="preserve"> from reserves</w:t>
      </w:r>
      <w:r w:rsidR="273FA089" w:rsidRPr="3F3B0D43">
        <w:rPr>
          <w:rFonts w:cs="Arial"/>
        </w:rPr>
        <w:t xml:space="preserve"> to </w:t>
      </w:r>
      <w:r>
        <w:rPr>
          <w:rFonts w:cs="Arial"/>
        </w:rPr>
        <w:t xml:space="preserve">support </w:t>
      </w:r>
      <w:r w:rsidR="273FA089" w:rsidRPr="3F3B0D43">
        <w:rPr>
          <w:rFonts w:cs="Arial"/>
        </w:rPr>
        <w:t xml:space="preserve">a balanced budget </w:t>
      </w:r>
    </w:p>
    <w:p w14:paraId="648DA2E7" w14:textId="77777777" w:rsidR="006A2B55" w:rsidRPr="00BF30FB" w:rsidRDefault="006A2B55" w:rsidP="102704D0">
      <w:pPr>
        <w:spacing w:line="276" w:lineRule="auto"/>
        <w:jc w:val="both"/>
        <w:rPr>
          <w:rFonts w:cs="Arial"/>
        </w:rPr>
      </w:pPr>
    </w:p>
    <w:tbl>
      <w:tblPr>
        <w:tblW w:w="7300" w:type="dxa"/>
        <w:tblInd w:w="118" w:type="dxa"/>
        <w:tblLook w:val="04A0" w:firstRow="1" w:lastRow="0" w:firstColumn="1" w:lastColumn="0" w:noHBand="0" w:noVBand="1"/>
      </w:tblPr>
      <w:tblGrid>
        <w:gridCol w:w="5700"/>
        <w:gridCol w:w="1600"/>
      </w:tblGrid>
      <w:tr w:rsidR="00FC5064" w14:paraId="66A5404B" w14:textId="77777777" w:rsidTr="00A86B49">
        <w:trPr>
          <w:trHeight w:val="885"/>
        </w:trPr>
        <w:tc>
          <w:tcPr>
            <w:tcW w:w="570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8AF5F65" w14:textId="77777777" w:rsidR="00A86B49" w:rsidRPr="00A86B49" w:rsidRDefault="00E9083D" w:rsidP="00A86B49">
            <w:pPr>
              <w:rPr>
                <w:rFonts w:cs="Arial"/>
                <w:b/>
                <w:bCs/>
                <w:color w:val="000000"/>
                <w:szCs w:val="24"/>
              </w:rPr>
            </w:pPr>
            <w:r w:rsidRPr="00A86B49">
              <w:rPr>
                <w:rFonts w:cs="Arial"/>
                <w:b/>
                <w:bCs/>
                <w:color w:val="000000"/>
                <w:szCs w:val="24"/>
              </w:rPr>
              <w:t>Revenue Budget 2022/23 as of 01.02.2022</w:t>
            </w:r>
          </w:p>
        </w:tc>
        <w:tc>
          <w:tcPr>
            <w:tcW w:w="1600" w:type="dxa"/>
            <w:tcBorders>
              <w:top w:val="single" w:sz="8" w:space="0" w:color="auto"/>
              <w:left w:val="nil"/>
              <w:bottom w:val="single" w:sz="8" w:space="0" w:color="auto"/>
              <w:right w:val="single" w:sz="8" w:space="0" w:color="auto"/>
            </w:tcBorders>
            <w:shd w:val="clear" w:color="000000" w:fill="BFBFBF"/>
            <w:noWrap/>
            <w:vAlign w:val="bottom"/>
            <w:hideMark/>
          </w:tcPr>
          <w:p w14:paraId="6AEB799C" w14:textId="77777777" w:rsidR="00A86B49" w:rsidRPr="00A86B49" w:rsidRDefault="00E9083D" w:rsidP="00A86B49">
            <w:pPr>
              <w:rPr>
                <w:rFonts w:cs="Arial"/>
                <w:b/>
                <w:bCs/>
                <w:color w:val="000000"/>
                <w:szCs w:val="24"/>
              </w:rPr>
            </w:pPr>
            <w:r w:rsidRPr="00A86B49">
              <w:rPr>
                <w:rFonts w:cs="Arial"/>
                <w:b/>
                <w:bCs/>
                <w:color w:val="000000"/>
                <w:szCs w:val="24"/>
              </w:rPr>
              <w:t>Net Budget</w:t>
            </w:r>
          </w:p>
        </w:tc>
      </w:tr>
      <w:tr w:rsidR="00FC5064" w14:paraId="028B189F" w14:textId="77777777" w:rsidTr="00A86B49">
        <w:trPr>
          <w:trHeight w:val="315"/>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6CA0695D" w14:textId="77777777" w:rsidR="00A86B49" w:rsidRPr="00A86B49" w:rsidRDefault="00E9083D" w:rsidP="00A86B49">
            <w:pPr>
              <w:rPr>
                <w:rFonts w:cs="Arial"/>
                <w:color w:val="000000"/>
                <w:szCs w:val="24"/>
              </w:rPr>
            </w:pPr>
            <w:r w:rsidRPr="00A86B49">
              <w:rPr>
                <w:rFonts w:cs="Arial"/>
                <w:color w:val="000000"/>
                <w:szCs w:val="24"/>
              </w:rPr>
              <w:t> </w:t>
            </w:r>
          </w:p>
        </w:tc>
        <w:tc>
          <w:tcPr>
            <w:tcW w:w="1600" w:type="dxa"/>
            <w:tcBorders>
              <w:top w:val="nil"/>
              <w:left w:val="nil"/>
              <w:bottom w:val="single" w:sz="8" w:space="0" w:color="auto"/>
              <w:right w:val="single" w:sz="8" w:space="0" w:color="auto"/>
            </w:tcBorders>
            <w:shd w:val="clear" w:color="auto" w:fill="auto"/>
            <w:noWrap/>
            <w:vAlign w:val="bottom"/>
            <w:hideMark/>
          </w:tcPr>
          <w:p w14:paraId="60F7191B" w14:textId="77777777" w:rsidR="00A86B49" w:rsidRPr="00A86B49" w:rsidRDefault="00E9083D" w:rsidP="00A86B49">
            <w:pPr>
              <w:rPr>
                <w:rFonts w:cs="Arial"/>
                <w:b/>
                <w:bCs/>
                <w:color w:val="000000"/>
                <w:szCs w:val="24"/>
              </w:rPr>
            </w:pPr>
            <w:r w:rsidRPr="00A86B49">
              <w:rPr>
                <w:rFonts w:cs="Arial"/>
                <w:b/>
                <w:bCs/>
                <w:color w:val="000000"/>
                <w:szCs w:val="24"/>
              </w:rPr>
              <w:t>£m</w:t>
            </w:r>
          </w:p>
        </w:tc>
      </w:tr>
      <w:tr w:rsidR="00FC5064" w14:paraId="7CC538F3"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2D3C503F" w14:textId="77777777" w:rsidR="00A86B49" w:rsidRPr="00A86B49" w:rsidRDefault="00E9083D" w:rsidP="00A86B49">
            <w:pPr>
              <w:rPr>
                <w:rFonts w:cs="Arial"/>
                <w:color w:val="000000"/>
                <w:szCs w:val="24"/>
              </w:rPr>
            </w:pPr>
            <w:r w:rsidRPr="00A86B49">
              <w:rPr>
                <w:rFonts w:cs="Arial"/>
                <w:color w:val="000000"/>
                <w:szCs w:val="24"/>
              </w:rPr>
              <w:t>Adult Services</w:t>
            </w:r>
          </w:p>
        </w:tc>
        <w:tc>
          <w:tcPr>
            <w:tcW w:w="1600" w:type="dxa"/>
            <w:tcBorders>
              <w:top w:val="nil"/>
              <w:left w:val="nil"/>
              <w:bottom w:val="single" w:sz="8" w:space="0" w:color="auto"/>
              <w:right w:val="single" w:sz="8" w:space="0" w:color="auto"/>
            </w:tcBorders>
            <w:shd w:val="clear" w:color="auto" w:fill="auto"/>
            <w:noWrap/>
            <w:vAlign w:val="bottom"/>
            <w:hideMark/>
          </w:tcPr>
          <w:p w14:paraId="7DDF5B79" w14:textId="77777777" w:rsidR="00A86B49" w:rsidRPr="00A86B49" w:rsidRDefault="00E9083D" w:rsidP="00A86B49">
            <w:pPr>
              <w:jc w:val="right"/>
              <w:rPr>
                <w:rFonts w:cs="Arial"/>
                <w:color w:val="000000"/>
                <w:szCs w:val="24"/>
              </w:rPr>
            </w:pPr>
            <w:r w:rsidRPr="00A86B49">
              <w:rPr>
                <w:rFonts w:cs="Arial"/>
                <w:color w:val="000000"/>
                <w:szCs w:val="24"/>
              </w:rPr>
              <w:t>418.950</w:t>
            </w:r>
          </w:p>
        </w:tc>
      </w:tr>
      <w:tr w:rsidR="00FC5064" w14:paraId="0A841841"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3526B631" w14:textId="77777777" w:rsidR="00A86B49" w:rsidRPr="00A86B49" w:rsidRDefault="00E9083D" w:rsidP="00A86B49">
            <w:pPr>
              <w:rPr>
                <w:rFonts w:cs="Arial"/>
                <w:color w:val="000000"/>
                <w:szCs w:val="24"/>
              </w:rPr>
            </w:pPr>
            <w:r w:rsidRPr="00A86B49">
              <w:rPr>
                <w:rFonts w:cs="Arial"/>
                <w:color w:val="000000"/>
                <w:szCs w:val="24"/>
              </w:rPr>
              <w:t>Chief Executive Services</w:t>
            </w:r>
          </w:p>
        </w:tc>
        <w:tc>
          <w:tcPr>
            <w:tcW w:w="1600" w:type="dxa"/>
            <w:tcBorders>
              <w:top w:val="nil"/>
              <w:left w:val="nil"/>
              <w:bottom w:val="single" w:sz="8" w:space="0" w:color="auto"/>
              <w:right w:val="single" w:sz="8" w:space="0" w:color="auto"/>
            </w:tcBorders>
            <w:shd w:val="clear" w:color="auto" w:fill="auto"/>
            <w:noWrap/>
            <w:vAlign w:val="bottom"/>
            <w:hideMark/>
          </w:tcPr>
          <w:p w14:paraId="29284FA4" w14:textId="77777777" w:rsidR="00A86B49" w:rsidRPr="00A86B49" w:rsidRDefault="00E9083D" w:rsidP="00A86B49">
            <w:pPr>
              <w:jc w:val="right"/>
              <w:rPr>
                <w:rFonts w:cs="Arial"/>
                <w:color w:val="000000"/>
                <w:szCs w:val="24"/>
              </w:rPr>
            </w:pPr>
            <w:r w:rsidRPr="00A86B49">
              <w:rPr>
                <w:rFonts w:cs="Arial"/>
                <w:color w:val="000000"/>
                <w:szCs w:val="24"/>
              </w:rPr>
              <w:t>15.470</w:t>
            </w:r>
          </w:p>
        </w:tc>
      </w:tr>
      <w:tr w:rsidR="00FC5064" w14:paraId="18C84F97"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08A328A5" w14:textId="77777777" w:rsidR="00A86B49" w:rsidRPr="00A86B49" w:rsidRDefault="00E9083D" w:rsidP="00A86B49">
            <w:pPr>
              <w:rPr>
                <w:rFonts w:cs="Arial"/>
                <w:color w:val="000000"/>
                <w:szCs w:val="24"/>
              </w:rPr>
            </w:pPr>
            <w:r w:rsidRPr="00A86B49">
              <w:rPr>
                <w:rFonts w:cs="Arial"/>
                <w:color w:val="000000"/>
                <w:szCs w:val="24"/>
              </w:rPr>
              <w:t>Children's Social Care</w:t>
            </w:r>
          </w:p>
        </w:tc>
        <w:tc>
          <w:tcPr>
            <w:tcW w:w="1600" w:type="dxa"/>
            <w:tcBorders>
              <w:top w:val="nil"/>
              <w:left w:val="nil"/>
              <w:bottom w:val="single" w:sz="8" w:space="0" w:color="auto"/>
              <w:right w:val="single" w:sz="8" w:space="0" w:color="auto"/>
            </w:tcBorders>
            <w:shd w:val="clear" w:color="auto" w:fill="auto"/>
            <w:noWrap/>
            <w:vAlign w:val="bottom"/>
            <w:hideMark/>
          </w:tcPr>
          <w:p w14:paraId="765AE9CD" w14:textId="77777777" w:rsidR="00A86B49" w:rsidRPr="00A86B49" w:rsidRDefault="00E9083D" w:rsidP="00A86B49">
            <w:pPr>
              <w:jc w:val="right"/>
              <w:rPr>
                <w:rFonts w:cs="Arial"/>
                <w:color w:val="000000"/>
                <w:szCs w:val="24"/>
              </w:rPr>
            </w:pPr>
            <w:r w:rsidRPr="00A86B49">
              <w:rPr>
                <w:rFonts w:cs="Arial"/>
                <w:color w:val="000000"/>
                <w:szCs w:val="24"/>
              </w:rPr>
              <w:t>171.440</w:t>
            </w:r>
          </w:p>
        </w:tc>
      </w:tr>
      <w:tr w:rsidR="00FC5064" w14:paraId="2F18BBC0"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57A21FE8" w14:textId="77777777" w:rsidR="00A86B49" w:rsidRPr="00A86B49" w:rsidRDefault="00E9083D" w:rsidP="00A86B49">
            <w:pPr>
              <w:rPr>
                <w:rFonts w:cs="Arial"/>
                <w:color w:val="000000"/>
                <w:szCs w:val="24"/>
              </w:rPr>
            </w:pPr>
            <w:r w:rsidRPr="00A86B49">
              <w:rPr>
                <w:rFonts w:cs="Arial"/>
                <w:color w:val="000000"/>
                <w:szCs w:val="24"/>
              </w:rPr>
              <w:t>Corporate Services</w:t>
            </w:r>
          </w:p>
        </w:tc>
        <w:tc>
          <w:tcPr>
            <w:tcW w:w="1600" w:type="dxa"/>
            <w:tcBorders>
              <w:top w:val="nil"/>
              <w:left w:val="nil"/>
              <w:bottom w:val="single" w:sz="8" w:space="0" w:color="auto"/>
              <w:right w:val="single" w:sz="8" w:space="0" w:color="auto"/>
            </w:tcBorders>
            <w:shd w:val="clear" w:color="auto" w:fill="auto"/>
            <w:noWrap/>
            <w:vAlign w:val="bottom"/>
            <w:hideMark/>
          </w:tcPr>
          <w:p w14:paraId="01AEEF23" w14:textId="77777777" w:rsidR="00A86B49" w:rsidRPr="00A86B49" w:rsidRDefault="00E9083D" w:rsidP="00A86B49">
            <w:pPr>
              <w:jc w:val="right"/>
              <w:rPr>
                <w:rFonts w:cs="Arial"/>
                <w:color w:val="000000"/>
                <w:szCs w:val="24"/>
              </w:rPr>
            </w:pPr>
            <w:r w:rsidRPr="00A86B49">
              <w:rPr>
                <w:rFonts w:cs="Arial"/>
                <w:color w:val="000000"/>
                <w:szCs w:val="24"/>
              </w:rPr>
              <w:t>23.160</w:t>
            </w:r>
          </w:p>
        </w:tc>
      </w:tr>
      <w:tr w:rsidR="00FC5064" w14:paraId="52FD5C4E"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62E78AC5" w14:textId="77777777" w:rsidR="00A86B49" w:rsidRPr="00A86B49" w:rsidRDefault="00E9083D" w:rsidP="00A86B49">
            <w:pPr>
              <w:rPr>
                <w:rFonts w:cs="Arial"/>
                <w:color w:val="000000"/>
                <w:szCs w:val="24"/>
              </w:rPr>
            </w:pPr>
            <w:r w:rsidRPr="00A86B49">
              <w:rPr>
                <w:rFonts w:cs="Arial"/>
                <w:color w:val="000000"/>
                <w:szCs w:val="24"/>
              </w:rPr>
              <w:t>Education and Skills</w:t>
            </w:r>
          </w:p>
        </w:tc>
        <w:tc>
          <w:tcPr>
            <w:tcW w:w="1600" w:type="dxa"/>
            <w:tcBorders>
              <w:top w:val="nil"/>
              <w:left w:val="nil"/>
              <w:bottom w:val="single" w:sz="8" w:space="0" w:color="auto"/>
              <w:right w:val="single" w:sz="8" w:space="0" w:color="auto"/>
            </w:tcBorders>
            <w:shd w:val="clear" w:color="auto" w:fill="auto"/>
            <w:noWrap/>
            <w:vAlign w:val="bottom"/>
            <w:hideMark/>
          </w:tcPr>
          <w:p w14:paraId="67C38620" w14:textId="77777777" w:rsidR="00A86B49" w:rsidRPr="00A86B49" w:rsidRDefault="00E9083D" w:rsidP="00A86B49">
            <w:pPr>
              <w:jc w:val="right"/>
              <w:rPr>
                <w:rFonts w:cs="Arial"/>
                <w:color w:val="000000"/>
                <w:szCs w:val="24"/>
              </w:rPr>
            </w:pPr>
            <w:r w:rsidRPr="00A86B49">
              <w:rPr>
                <w:rFonts w:cs="Arial"/>
                <w:color w:val="000000"/>
                <w:szCs w:val="24"/>
              </w:rPr>
              <w:t>58.230</w:t>
            </w:r>
          </w:p>
        </w:tc>
      </w:tr>
      <w:tr w:rsidR="00FC5064" w14:paraId="4296CCDA"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5CCAFEA4" w14:textId="77777777" w:rsidR="00A86B49" w:rsidRPr="00A86B49" w:rsidRDefault="00E9083D" w:rsidP="00A86B49">
            <w:pPr>
              <w:rPr>
                <w:rFonts w:cs="Arial"/>
                <w:color w:val="000000"/>
                <w:szCs w:val="24"/>
              </w:rPr>
            </w:pPr>
            <w:r w:rsidRPr="00A86B49">
              <w:rPr>
                <w:rFonts w:cs="Arial"/>
                <w:color w:val="000000"/>
                <w:szCs w:val="24"/>
              </w:rPr>
              <w:t>Finance Services</w:t>
            </w:r>
          </w:p>
        </w:tc>
        <w:tc>
          <w:tcPr>
            <w:tcW w:w="1600" w:type="dxa"/>
            <w:tcBorders>
              <w:top w:val="nil"/>
              <w:left w:val="nil"/>
              <w:bottom w:val="single" w:sz="8" w:space="0" w:color="auto"/>
              <w:right w:val="single" w:sz="8" w:space="0" w:color="auto"/>
            </w:tcBorders>
            <w:shd w:val="clear" w:color="auto" w:fill="auto"/>
            <w:noWrap/>
            <w:vAlign w:val="bottom"/>
            <w:hideMark/>
          </w:tcPr>
          <w:p w14:paraId="7297BF67" w14:textId="77777777" w:rsidR="00A86B49" w:rsidRPr="00A86B49" w:rsidRDefault="00E9083D" w:rsidP="00A86B49">
            <w:pPr>
              <w:jc w:val="right"/>
              <w:rPr>
                <w:rFonts w:cs="Arial"/>
                <w:color w:val="000000"/>
                <w:szCs w:val="24"/>
              </w:rPr>
            </w:pPr>
            <w:r w:rsidRPr="00A86B49">
              <w:rPr>
                <w:rFonts w:cs="Arial"/>
                <w:color w:val="000000"/>
                <w:szCs w:val="24"/>
              </w:rPr>
              <w:t>18.760</w:t>
            </w:r>
          </w:p>
        </w:tc>
      </w:tr>
      <w:tr w:rsidR="00FC5064" w14:paraId="635144DF"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2E3D998B" w14:textId="77777777" w:rsidR="00A86B49" w:rsidRPr="00A86B49" w:rsidRDefault="00E9083D" w:rsidP="00A86B49">
            <w:pPr>
              <w:rPr>
                <w:rFonts w:cs="Arial"/>
                <w:color w:val="000000"/>
                <w:szCs w:val="24"/>
              </w:rPr>
            </w:pPr>
            <w:r w:rsidRPr="00A86B49">
              <w:rPr>
                <w:rFonts w:cs="Arial"/>
                <w:color w:val="000000"/>
                <w:szCs w:val="24"/>
              </w:rPr>
              <w:t>Growth, Environment and Planning</w:t>
            </w:r>
          </w:p>
        </w:tc>
        <w:tc>
          <w:tcPr>
            <w:tcW w:w="1600" w:type="dxa"/>
            <w:tcBorders>
              <w:top w:val="nil"/>
              <w:left w:val="nil"/>
              <w:bottom w:val="single" w:sz="8" w:space="0" w:color="auto"/>
              <w:right w:val="single" w:sz="8" w:space="0" w:color="auto"/>
            </w:tcBorders>
            <w:shd w:val="clear" w:color="auto" w:fill="auto"/>
            <w:noWrap/>
            <w:vAlign w:val="bottom"/>
            <w:hideMark/>
          </w:tcPr>
          <w:p w14:paraId="0C3834E1" w14:textId="77777777" w:rsidR="00A86B49" w:rsidRPr="00A86B49" w:rsidRDefault="00E9083D" w:rsidP="00A86B49">
            <w:pPr>
              <w:jc w:val="right"/>
              <w:rPr>
                <w:rFonts w:cs="Arial"/>
                <w:color w:val="000000"/>
                <w:szCs w:val="24"/>
              </w:rPr>
            </w:pPr>
            <w:r w:rsidRPr="00A86B49">
              <w:rPr>
                <w:rFonts w:cs="Arial"/>
                <w:color w:val="000000"/>
                <w:szCs w:val="24"/>
              </w:rPr>
              <w:t>6.290</w:t>
            </w:r>
          </w:p>
        </w:tc>
      </w:tr>
      <w:tr w:rsidR="00FC5064" w14:paraId="63D883B1"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3FCC1480" w14:textId="77777777" w:rsidR="00A86B49" w:rsidRPr="00A86B49" w:rsidRDefault="00E9083D" w:rsidP="00A86B49">
            <w:pPr>
              <w:rPr>
                <w:rFonts w:cs="Arial"/>
                <w:color w:val="000000"/>
                <w:szCs w:val="24"/>
              </w:rPr>
            </w:pPr>
            <w:r w:rsidRPr="00A86B49">
              <w:rPr>
                <w:rFonts w:cs="Arial"/>
                <w:color w:val="000000"/>
                <w:szCs w:val="24"/>
              </w:rPr>
              <w:t>Waste Management</w:t>
            </w:r>
          </w:p>
        </w:tc>
        <w:tc>
          <w:tcPr>
            <w:tcW w:w="1600" w:type="dxa"/>
            <w:tcBorders>
              <w:top w:val="nil"/>
              <w:left w:val="nil"/>
              <w:bottom w:val="single" w:sz="8" w:space="0" w:color="auto"/>
              <w:right w:val="single" w:sz="8" w:space="0" w:color="auto"/>
            </w:tcBorders>
            <w:shd w:val="clear" w:color="auto" w:fill="auto"/>
            <w:noWrap/>
            <w:vAlign w:val="bottom"/>
            <w:hideMark/>
          </w:tcPr>
          <w:p w14:paraId="133B4526" w14:textId="77777777" w:rsidR="00A86B49" w:rsidRPr="00A86B49" w:rsidRDefault="00E9083D" w:rsidP="00A86B49">
            <w:pPr>
              <w:jc w:val="right"/>
              <w:rPr>
                <w:rFonts w:cs="Arial"/>
                <w:color w:val="000000"/>
                <w:szCs w:val="24"/>
              </w:rPr>
            </w:pPr>
            <w:r w:rsidRPr="00A86B49">
              <w:rPr>
                <w:rFonts w:cs="Arial"/>
                <w:color w:val="000000"/>
                <w:szCs w:val="24"/>
              </w:rPr>
              <w:t>71.730</w:t>
            </w:r>
          </w:p>
        </w:tc>
      </w:tr>
      <w:tr w:rsidR="00FC5064" w14:paraId="1183DF4E"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044102AF" w14:textId="77777777" w:rsidR="00A86B49" w:rsidRPr="00A86B49" w:rsidRDefault="00E9083D" w:rsidP="00A86B49">
            <w:pPr>
              <w:rPr>
                <w:rFonts w:cs="Arial"/>
                <w:color w:val="000000"/>
                <w:szCs w:val="24"/>
              </w:rPr>
            </w:pPr>
            <w:r w:rsidRPr="00A86B49">
              <w:rPr>
                <w:rFonts w:cs="Arial"/>
                <w:color w:val="000000"/>
                <w:szCs w:val="24"/>
              </w:rPr>
              <w:t>Highways and Transport</w:t>
            </w:r>
          </w:p>
        </w:tc>
        <w:tc>
          <w:tcPr>
            <w:tcW w:w="1600" w:type="dxa"/>
            <w:tcBorders>
              <w:top w:val="nil"/>
              <w:left w:val="nil"/>
              <w:bottom w:val="single" w:sz="8" w:space="0" w:color="auto"/>
              <w:right w:val="single" w:sz="8" w:space="0" w:color="auto"/>
            </w:tcBorders>
            <w:shd w:val="clear" w:color="auto" w:fill="auto"/>
            <w:noWrap/>
            <w:vAlign w:val="bottom"/>
            <w:hideMark/>
          </w:tcPr>
          <w:p w14:paraId="4D109DD5" w14:textId="77777777" w:rsidR="00A86B49" w:rsidRPr="00A86B49" w:rsidRDefault="00E9083D" w:rsidP="00A86B49">
            <w:pPr>
              <w:jc w:val="right"/>
              <w:rPr>
                <w:rFonts w:cs="Arial"/>
                <w:color w:val="000000"/>
                <w:szCs w:val="24"/>
              </w:rPr>
            </w:pPr>
            <w:r w:rsidRPr="00A86B49">
              <w:rPr>
                <w:rFonts w:cs="Arial"/>
                <w:color w:val="000000"/>
                <w:szCs w:val="24"/>
              </w:rPr>
              <w:t>75.540</w:t>
            </w:r>
          </w:p>
        </w:tc>
      </w:tr>
      <w:tr w:rsidR="00FC5064" w14:paraId="2EFB70ED"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0B1A6E88" w14:textId="77777777" w:rsidR="00A86B49" w:rsidRPr="00A86B49" w:rsidRDefault="00E9083D" w:rsidP="00A86B49">
            <w:pPr>
              <w:rPr>
                <w:rFonts w:cs="Arial"/>
                <w:color w:val="000000"/>
                <w:szCs w:val="24"/>
              </w:rPr>
            </w:pPr>
            <w:r w:rsidRPr="00A86B49">
              <w:rPr>
                <w:rFonts w:cs="Arial"/>
                <w:color w:val="000000"/>
                <w:szCs w:val="24"/>
              </w:rPr>
              <w:t>Public Health and Wellbeing</w:t>
            </w:r>
          </w:p>
        </w:tc>
        <w:tc>
          <w:tcPr>
            <w:tcW w:w="1600" w:type="dxa"/>
            <w:tcBorders>
              <w:top w:val="nil"/>
              <w:left w:val="nil"/>
              <w:bottom w:val="single" w:sz="8" w:space="0" w:color="auto"/>
              <w:right w:val="single" w:sz="8" w:space="0" w:color="auto"/>
            </w:tcBorders>
            <w:shd w:val="clear" w:color="auto" w:fill="auto"/>
            <w:noWrap/>
            <w:vAlign w:val="bottom"/>
            <w:hideMark/>
          </w:tcPr>
          <w:p w14:paraId="100F1DEB" w14:textId="77777777" w:rsidR="00A86B49" w:rsidRPr="00A86B49" w:rsidRDefault="00E9083D" w:rsidP="00A86B49">
            <w:pPr>
              <w:jc w:val="right"/>
              <w:rPr>
                <w:rFonts w:cs="Arial"/>
                <w:color w:val="000000"/>
                <w:szCs w:val="24"/>
              </w:rPr>
            </w:pPr>
            <w:r w:rsidRPr="00A86B49">
              <w:rPr>
                <w:rFonts w:cs="Arial"/>
                <w:color w:val="000000"/>
                <w:szCs w:val="24"/>
              </w:rPr>
              <w:t>2.290</w:t>
            </w:r>
          </w:p>
        </w:tc>
      </w:tr>
      <w:tr w:rsidR="00FC5064" w14:paraId="5AD2CF14"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7F28028B" w14:textId="77777777" w:rsidR="00A86B49" w:rsidRPr="00A86B49" w:rsidRDefault="00E9083D" w:rsidP="00A86B49">
            <w:pPr>
              <w:rPr>
                <w:rFonts w:cs="Arial"/>
                <w:color w:val="000000"/>
                <w:szCs w:val="24"/>
              </w:rPr>
            </w:pPr>
            <w:r w:rsidRPr="00A86B49">
              <w:rPr>
                <w:rFonts w:cs="Arial"/>
                <w:color w:val="000000"/>
                <w:szCs w:val="24"/>
              </w:rPr>
              <w:t>Strategy and Performance</w:t>
            </w:r>
          </w:p>
        </w:tc>
        <w:tc>
          <w:tcPr>
            <w:tcW w:w="1600" w:type="dxa"/>
            <w:tcBorders>
              <w:top w:val="nil"/>
              <w:left w:val="nil"/>
              <w:bottom w:val="single" w:sz="8" w:space="0" w:color="auto"/>
              <w:right w:val="single" w:sz="8" w:space="0" w:color="auto"/>
            </w:tcBorders>
            <w:shd w:val="clear" w:color="auto" w:fill="auto"/>
            <w:noWrap/>
            <w:vAlign w:val="bottom"/>
            <w:hideMark/>
          </w:tcPr>
          <w:p w14:paraId="3CF69584" w14:textId="77777777" w:rsidR="00A86B49" w:rsidRPr="00A86B49" w:rsidRDefault="00E9083D" w:rsidP="00A86B49">
            <w:pPr>
              <w:jc w:val="right"/>
              <w:rPr>
                <w:rFonts w:cs="Arial"/>
                <w:color w:val="000000"/>
                <w:szCs w:val="24"/>
              </w:rPr>
            </w:pPr>
            <w:r w:rsidRPr="00A86B49">
              <w:rPr>
                <w:rFonts w:cs="Arial"/>
                <w:color w:val="000000"/>
                <w:szCs w:val="24"/>
              </w:rPr>
              <w:t>33.650</w:t>
            </w:r>
          </w:p>
        </w:tc>
      </w:tr>
      <w:tr w:rsidR="00FC5064" w14:paraId="72AE02D1"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645F2235" w14:textId="77777777" w:rsidR="00A86B49" w:rsidRPr="00A86B49" w:rsidRDefault="00E9083D" w:rsidP="00A86B49">
            <w:pPr>
              <w:rPr>
                <w:rFonts w:cs="Arial"/>
                <w:color w:val="000000"/>
                <w:szCs w:val="24"/>
              </w:rPr>
            </w:pPr>
            <w:r w:rsidRPr="00A86B49">
              <w:rPr>
                <w:rFonts w:cs="Arial"/>
                <w:color w:val="000000"/>
                <w:szCs w:val="24"/>
              </w:rPr>
              <w:t>Organisational Development and Change</w:t>
            </w:r>
          </w:p>
        </w:tc>
        <w:tc>
          <w:tcPr>
            <w:tcW w:w="1600" w:type="dxa"/>
            <w:tcBorders>
              <w:top w:val="nil"/>
              <w:left w:val="nil"/>
              <w:bottom w:val="single" w:sz="8" w:space="0" w:color="auto"/>
              <w:right w:val="single" w:sz="8" w:space="0" w:color="auto"/>
            </w:tcBorders>
            <w:shd w:val="clear" w:color="auto" w:fill="auto"/>
            <w:noWrap/>
            <w:vAlign w:val="bottom"/>
            <w:hideMark/>
          </w:tcPr>
          <w:p w14:paraId="30B03355" w14:textId="77777777" w:rsidR="00A86B49" w:rsidRPr="00A86B49" w:rsidRDefault="00E9083D" w:rsidP="00A86B49">
            <w:pPr>
              <w:jc w:val="right"/>
              <w:rPr>
                <w:rFonts w:cs="Arial"/>
                <w:color w:val="000000"/>
                <w:szCs w:val="24"/>
              </w:rPr>
            </w:pPr>
            <w:r w:rsidRPr="00A86B49">
              <w:rPr>
                <w:rFonts w:cs="Arial"/>
                <w:color w:val="000000"/>
                <w:szCs w:val="24"/>
              </w:rPr>
              <w:t>1.980</w:t>
            </w:r>
          </w:p>
        </w:tc>
      </w:tr>
      <w:tr w:rsidR="00FC5064" w14:paraId="1971F746"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18AEFBF2" w14:textId="77777777" w:rsidR="00A86B49" w:rsidRPr="00A86B49" w:rsidRDefault="00E9083D" w:rsidP="00A86B49">
            <w:pPr>
              <w:rPr>
                <w:rFonts w:cs="Arial"/>
                <w:color w:val="000000"/>
                <w:szCs w:val="24"/>
              </w:rPr>
            </w:pPr>
            <w:r w:rsidRPr="00A86B49">
              <w:rPr>
                <w:rFonts w:cs="Arial"/>
                <w:color w:val="000000"/>
                <w:szCs w:val="24"/>
              </w:rPr>
              <w:t>Digital Services</w:t>
            </w:r>
          </w:p>
        </w:tc>
        <w:tc>
          <w:tcPr>
            <w:tcW w:w="1600" w:type="dxa"/>
            <w:tcBorders>
              <w:top w:val="nil"/>
              <w:left w:val="nil"/>
              <w:bottom w:val="single" w:sz="8" w:space="0" w:color="auto"/>
              <w:right w:val="single" w:sz="8" w:space="0" w:color="auto"/>
            </w:tcBorders>
            <w:shd w:val="clear" w:color="auto" w:fill="auto"/>
            <w:noWrap/>
            <w:vAlign w:val="bottom"/>
            <w:hideMark/>
          </w:tcPr>
          <w:p w14:paraId="0C043BAC" w14:textId="77777777" w:rsidR="00A86B49" w:rsidRPr="00A86B49" w:rsidRDefault="00E9083D" w:rsidP="00A86B49">
            <w:pPr>
              <w:jc w:val="right"/>
              <w:rPr>
                <w:rFonts w:cs="Arial"/>
                <w:color w:val="000000"/>
                <w:szCs w:val="24"/>
              </w:rPr>
            </w:pPr>
            <w:r w:rsidRPr="00A86B49">
              <w:rPr>
                <w:rFonts w:cs="Arial"/>
                <w:color w:val="000000"/>
                <w:szCs w:val="24"/>
              </w:rPr>
              <w:t>33.510</w:t>
            </w:r>
          </w:p>
        </w:tc>
      </w:tr>
      <w:tr w:rsidR="00FC5064" w14:paraId="5418CF22" w14:textId="77777777" w:rsidTr="00A86B49">
        <w:trPr>
          <w:trHeight w:val="402"/>
        </w:trPr>
        <w:tc>
          <w:tcPr>
            <w:tcW w:w="5700" w:type="dxa"/>
            <w:tcBorders>
              <w:top w:val="nil"/>
              <w:left w:val="single" w:sz="8" w:space="0" w:color="auto"/>
              <w:bottom w:val="single" w:sz="8" w:space="0" w:color="auto"/>
              <w:right w:val="single" w:sz="8" w:space="0" w:color="auto"/>
            </w:tcBorders>
            <w:shd w:val="clear" w:color="000000" w:fill="BFBFBF"/>
            <w:noWrap/>
            <w:vAlign w:val="bottom"/>
            <w:hideMark/>
          </w:tcPr>
          <w:p w14:paraId="4427FE56" w14:textId="77777777" w:rsidR="00A86B49" w:rsidRPr="00A86B49" w:rsidRDefault="00E9083D" w:rsidP="00A86B49">
            <w:pPr>
              <w:rPr>
                <w:rFonts w:cs="Arial"/>
                <w:color w:val="000000"/>
                <w:szCs w:val="24"/>
              </w:rPr>
            </w:pPr>
            <w:r w:rsidRPr="00A86B49">
              <w:rPr>
                <w:rFonts w:cs="Arial"/>
                <w:color w:val="000000"/>
                <w:szCs w:val="24"/>
              </w:rPr>
              <w:t>Sub-Total</w:t>
            </w:r>
          </w:p>
        </w:tc>
        <w:tc>
          <w:tcPr>
            <w:tcW w:w="1600" w:type="dxa"/>
            <w:tcBorders>
              <w:top w:val="nil"/>
              <w:left w:val="nil"/>
              <w:bottom w:val="single" w:sz="8" w:space="0" w:color="auto"/>
              <w:right w:val="single" w:sz="8" w:space="0" w:color="auto"/>
            </w:tcBorders>
            <w:shd w:val="clear" w:color="000000" w:fill="BFBFBF"/>
            <w:noWrap/>
            <w:vAlign w:val="bottom"/>
            <w:hideMark/>
          </w:tcPr>
          <w:p w14:paraId="4D551523" w14:textId="77777777" w:rsidR="00A86B49" w:rsidRPr="00A86B49" w:rsidRDefault="00E9083D" w:rsidP="00A86B49">
            <w:pPr>
              <w:jc w:val="right"/>
              <w:rPr>
                <w:rFonts w:cs="Arial"/>
                <w:color w:val="000000"/>
                <w:szCs w:val="24"/>
              </w:rPr>
            </w:pPr>
            <w:r w:rsidRPr="00A86B49">
              <w:rPr>
                <w:rFonts w:cs="Arial"/>
                <w:color w:val="000000"/>
                <w:szCs w:val="24"/>
              </w:rPr>
              <w:t>931.000</w:t>
            </w:r>
          </w:p>
        </w:tc>
      </w:tr>
      <w:tr w:rsidR="00FC5064" w14:paraId="198405C6"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56CF2903" w14:textId="77777777" w:rsidR="00A86B49" w:rsidRPr="00A86B49" w:rsidRDefault="00E9083D" w:rsidP="00A86B49">
            <w:pPr>
              <w:rPr>
                <w:rFonts w:cs="Arial"/>
                <w:color w:val="000000"/>
                <w:szCs w:val="24"/>
              </w:rPr>
            </w:pPr>
            <w:r w:rsidRPr="00A86B49">
              <w:rPr>
                <w:rFonts w:cs="Arial"/>
                <w:color w:val="000000"/>
                <w:szCs w:val="24"/>
              </w:rPr>
              <w:t>Financing Charges</w:t>
            </w:r>
          </w:p>
        </w:tc>
        <w:tc>
          <w:tcPr>
            <w:tcW w:w="1600" w:type="dxa"/>
            <w:tcBorders>
              <w:top w:val="nil"/>
              <w:left w:val="nil"/>
              <w:bottom w:val="single" w:sz="8" w:space="0" w:color="auto"/>
              <w:right w:val="single" w:sz="8" w:space="0" w:color="auto"/>
            </w:tcBorders>
            <w:shd w:val="clear" w:color="auto" w:fill="auto"/>
            <w:noWrap/>
            <w:vAlign w:val="bottom"/>
            <w:hideMark/>
          </w:tcPr>
          <w:p w14:paraId="646533E0" w14:textId="77777777" w:rsidR="00A86B49" w:rsidRPr="00A86B49" w:rsidRDefault="00E9083D" w:rsidP="00A86B49">
            <w:pPr>
              <w:jc w:val="right"/>
              <w:rPr>
                <w:rFonts w:cs="Arial"/>
                <w:color w:val="000000"/>
                <w:szCs w:val="24"/>
              </w:rPr>
            </w:pPr>
            <w:r w:rsidRPr="00A86B49">
              <w:rPr>
                <w:rFonts w:cs="Arial"/>
                <w:color w:val="000000"/>
                <w:szCs w:val="24"/>
              </w:rPr>
              <w:t>30.450</w:t>
            </w:r>
          </w:p>
        </w:tc>
      </w:tr>
      <w:tr w:rsidR="00FC5064" w14:paraId="7F1EB3BE" w14:textId="77777777" w:rsidTr="00A86B49">
        <w:trPr>
          <w:trHeight w:val="402"/>
        </w:trPr>
        <w:tc>
          <w:tcPr>
            <w:tcW w:w="5700" w:type="dxa"/>
            <w:tcBorders>
              <w:top w:val="nil"/>
              <w:left w:val="single" w:sz="8" w:space="0" w:color="auto"/>
              <w:bottom w:val="single" w:sz="8" w:space="0" w:color="auto"/>
              <w:right w:val="single" w:sz="8" w:space="0" w:color="auto"/>
            </w:tcBorders>
            <w:shd w:val="clear" w:color="auto" w:fill="auto"/>
            <w:noWrap/>
            <w:vAlign w:val="bottom"/>
            <w:hideMark/>
          </w:tcPr>
          <w:p w14:paraId="78DE37E5" w14:textId="77777777" w:rsidR="00A86B49" w:rsidRPr="00A86B49" w:rsidRDefault="00E9083D" w:rsidP="00A86B49">
            <w:pPr>
              <w:rPr>
                <w:rFonts w:cs="Arial"/>
                <w:color w:val="000000"/>
                <w:szCs w:val="24"/>
              </w:rPr>
            </w:pPr>
            <w:r w:rsidRPr="00A86B49">
              <w:rPr>
                <w:rFonts w:cs="Arial"/>
                <w:color w:val="000000"/>
                <w:szCs w:val="24"/>
              </w:rPr>
              <w:t>Use of one off resources</w:t>
            </w:r>
          </w:p>
        </w:tc>
        <w:tc>
          <w:tcPr>
            <w:tcW w:w="1600" w:type="dxa"/>
            <w:tcBorders>
              <w:top w:val="nil"/>
              <w:left w:val="nil"/>
              <w:bottom w:val="single" w:sz="8" w:space="0" w:color="auto"/>
              <w:right w:val="single" w:sz="8" w:space="0" w:color="auto"/>
            </w:tcBorders>
            <w:shd w:val="clear" w:color="auto" w:fill="auto"/>
            <w:noWrap/>
            <w:vAlign w:val="bottom"/>
            <w:hideMark/>
          </w:tcPr>
          <w:p w14:paraId="00134A86" w14:textId="77777777" w:rsidR="00A86B49" w:rsidRPr="00DA319B" w:rsidRDefault="00E9083D" w:rsidP="00A86B49">
            <w:pPr>
              <w:jc w:val="right"/>
              <w:rPr>
                <w:rFonts w:cs="Arial"/>
                <w:color w:val="000000"/>
                <w:szCs w:val="24"/>
              </w:rPr>
            </w:pPr>
            <w:r w:rsidRPr="00DA319B">
              <w:rPr>
                <w:rFonts w:cs="Arial"/>
                <w:color w:val="000000"/>
                <w:szCs w:val="24"/>
              </w:rPr>
              <w:t>-13.340</w:t>
            </w:r>
          </w:p>
        </w:tc>
      </w:tr>
      <w:tr w:rsidR="00FC5064" w14:paraId="0DE6D08B" w14:textId="77777777" w:rsidTr="00A86B49">
        <w:trPr>
          <w:trHeight w:val="402"/>
        </w:trPr>
        <w:tc>
          <w:tcPr>
            <w:tcW w:w="5700" w:type="dxa"/>
            <w:tcBorders>
              <w:top w:val="nil"/>
              <w:left w:val="single" w:sz="8" w:space="0" w:color="auto"/>
              <w:bottom w:val="single" w:sz="8" w:space="0" w:color="auto"/>
              <w:right w:val="single" w:sz="8" w:space="0" w:color="auto"/>
            </w:tcBorders>
            <w:shd w:val="clear" w:color="000000" w:fill="BFBFBF"/>
            <w:noWrap/>
            <w:vAlign w:val="bottom"/>
            <w:hideMark/>
          </w:tcPr>
          <w:p w14:paraId="57E281A6" w14:textId="77777777" w:rsidR="00A86B49" w:rsidRPr="00A86B49" w:rsidRDefault="00E9083D" w:rsidP="00A86B49">
            <w:pPr>
              <w:rPr>
                <w:rFonts w:cs="Arial"/>
                <w:color w:val="000000"/>
                <w:szCs w:val="24"/>
              </w:rPr>
            </w:pPr>
            <w:r w:rsidRPr="00A86B49">
              <w:rPr>
                <w:rFonts w:cs="Arial"/>
                <w:color w:val="000000"/>
                <w:szCs w:val="24"/>
              </w:rPr>
              <w:t>Revenue budget 2022/23</w:t>
            </w:r>
          </w:p>
        </w:tc>
        <w:tc>
          <w:tcPr>
            <w:tcW w:w="1600" w:type="dxa"/>
            <w:tcBorders>
              <w:top w:val="nil"/>
              <w:left w:val="nil"/>
              <w:bottom w:val="single" w:sz="8" w:space="0" w:color="auto"/>
              <w:right w:val="single" w:sz="8" w:space="0" w:color="auto"/>
            </w:tcBorders>
            <w:shd w:val="clear" w:color="000000" w:fill="BFBFBF"/>
            <w:noWrap/>
            <w:vAlign w:val="bottom"/>
            <w:hideMark/>
          </w:tcPr>
          <w:p w14:paraId="2794AE13" w14:textId="77777777" w:rsidR="00A86B49" w:rsidRPr="00DA319B" w:rsidRDefault="00E9083D" w:rsidP="00A86B49">
            <w:pPr>
              <w:jc w:val="right"/>
              <w:rPr>
                <w:rFonts w:cs="Arial"/>
                <w:color w:val="000000"/>
                <w:szCs w:val="24"/>
              </w:rPr>
            </w:pPr>
            <w:r w:rsidRPr="00DA319B">
              <w:rPr>
                <w:rFonts w:cs="Arial"/>
                <w:color w:val="000000"/>
                <w:szCs w:val="24"/>
              </w:rPr>
              <w:t>9</w:t>
            </w:r>
            <w:r w:rsidR="00DA319B" w:rsidRPr="00DA319B">
              <w:rPr>
                <w:rFonts w:cs="Arial"/>
                <w:color w:val="000000"/>
                <w:szCs w:val="24"/>
              </w:rPr>
              <w:t>48.110</w:t>
            </w:r>
          </w:p>
        </w:tc>
      </w:tr>
    </w:tbl>
    <w:p w14:paraId="72DFF55E" w14:textId="77777777" w:rsidR="007D5937" w:rsidRDefault="007D5937" w:rsidP="007D5937">
      <w:pPr>
        <w:rPr>
          <w:b/>
        </w:rPr>
      </w:pPr>
    </w:p>
    <w:p w14:paraId="14D505F8" w14:textId="77777777" w:rsidR="007D5937" w:rsidRPr="001A4F65" w:rsidRDefault="00E9083D" w:rsidP="007D5937">
      <w:pPr>
        <w:numPr>
          <w:ilvl w:val="0"/>
          <w:numId w:val="1"/>
        </w:numPr>
        <w:spacing w:line="276" w:lineRule="auto"/>
        <w:jc w:val="both"/>
        <w:rPr>
          <w:rFonts w:cs="Arial"/>
          <w:b/>
          <w:szCs w:val="24"/>
        </w:rPr>
      </w:pPr>
      <w:r w:rsidRPr="001A4F65">
        <w:rPr>
          <w:rFonts w:cs="Arial"/>
          <w:b/>
          <w:szCs w:val="24"/>
        </w:rPr>
        <w:t>Capital Programme Delivery 202</w:t>
      </w:r>
      <w:r w:rsidR="00AE151C">
        <w:rPr>
          <w:rFonts w:cs="Arial"/>
          <w:b/>
          <w:szCs w:val="24"/>
        </w:rPr>
        <w:t>2</w:t>
      </w:r>
      <w:r w:rsidRPr="001A4F65">
        <w:rPr>
          <w:rFonts w:cs="Arial"/>
          <w:b/>
          <w:szCs w:val="24"/>
        </w:rPr>
        <w:t>/2</w:t>
      </w:r>
      <w:r w:rsidR="00AE151C">
        <w:rPr>
          <w:rFonts w:cs="Arial"/>
          <w:b/>
          <w:szCs w:val="24"/>
        </w:rPr>
        <w:t>3</w:t>
      </w:r>
      <w:r w:rsidRPr="001A4F65">
        <w:rPr>
          <w:rFonts w:cs="Arial"/>
          <w:b/>
          <w:szCs w:val="24"/>
        </w:rPr>
        <w:t xml:space="preserve"> </w:t>
      </w:r>
    </w:p>
    <w:p w14:paraId="4B52C772" w14:textId="77777777" w:rsidR="007D5937" w:rsidRPr="001A4F65" w:rsidRDefault="007D5937" w:rsidP="007D5937">
      <w:pPr>
        <w:pStyle w:val="BodyText"/>
        <w:spacing w:line="276" w:lineRule="auto"/>
        <w:jc w:val="both"/>
        <w:rPr>
          <w:rFonts w:cs="Arial"/>
          <w:szCs w:val="24"/>
        </w:rPr>
      </w:pPr>
    </w:p>
    <w:p w14:paraId="41BA3DC6" w14:textId="58BBF2BB" w:rsidR="007D5937" w:rsidRPr="001A4F65" w:rsidRDefault="00E9083D" w:rsidP="007D5937">
      <w:pPr>
        <w:pStyle w:val="BodyText"/>
        <w:spacing w:line="276" w:lineRule="auto"/>
        <w:jc w:val="both"/>
        <w:rPr>
          <w:rFonts w:cs="Arial"/>
        </w:rPr>
      </w:pPr>
      <w:r w:rsidRPr="5972327E">
        <w:rPr>
          <w:rFonts w:cs="Arial"/>
        </w:rPr>
        <w:t xml:space="preserve">Full Council </w:t>
      </w:r>
      <w:r>
        <w:rPr>
          <w:rFonts w:cs="Arial"/>
        </w:rPr>
        <w:t>is</w:t>
      </w:r>
      <w:r w:rsidRPr="5972327E">
        <w:rPr>
          <w:rFonts w:cs="Arial"/>
        </w:rPr>
        <w:t xml:space="preserve"> asked to consider and approve the proposals for the capital programme delivery 202</w:t>
      </w:r>
      <w:r w:rsidR="005060AF">
        <w:rPr>
          <w:rFonts w:cs="Arial"/>
        </w:rPr>
        <w:t>2</w:t>
      </w:r>
      <w:r w:rsidRPr="5972327E">
        <w:rPr>
          <w:rFonts w:cs="Arial"/>
        </w:rPr>
        <w:t>/2</w:t>
      </w:r>
      <w:r w:rsidR="005060AF">
        <w:rPr>
          <w:rFonts w:cs="Arial"/>
        </w:rPr>
        <w:t>3</w:t>
      </w:r>
      <w:r w:rsidRPr="5972327E">
        <w:rPr>
          <w:rFonts w:cs="Arial"/>
        </w:rPr>
        <w:t xml:space="preserve"> as set out at Appendix </w:t>
      </w:r>
      <w:r w:rsidR="0BEB2FFB" w:rsidRPr="5972327E">
        <w:rPr>
          <w:rFonts w:cs="Arial"/>
        </w:rPr>
        <w:t>B</w:t>
      </w:r>
      <w:r w:rsidRPr="5972327E">
        <w:rPr>
          <w:rFonts w:cs="Arial"/>
        </w:rPr>
        <w:t>.</w:t>
      </w:r>
    </w:p>
    <w:p w14:paraId="20E0BB36" w14:textId="77777777" w:rsidR="007D5937" w:rsidRPr="001A4F65" w:rsidRDefault="007D5937" w:rsidP="007D5937">
      <w:pPr>
        <w:pStyle w:val="BodyText"/>
        <w:spacing w:line="276" w:lineRule="auto"/>
        <w:jc w:val="both"/>
        <w:rPr>
          <w:rFonts w:cs="Arial"/>
          <w:szCs w:val="24"/>
        </w:rPr>
      </w:pPr>
    </w:p>
    <w:p w14:paraId="687AB7C5" w14:textId="77777777" w:rsidR="007D5937" w:rsidRPr="001A4F65" w:rsidRDefault="00E9083D" w:rsidP="007D5937">
      <w:pPr>
        <w:pStyle w:val="ListParagraph"/>
        <w:numPr>
          <w:ilvl w:val="0"/>
          <w:numId w:val="1"/>
        </w:numPr>
        <w:spacing w:line="276" w:lineRule="auto"/>
        <w:jc w:val="both"/>
        <w:rPr>
          <w:rFonts w:cs="Arial"/>
          <w:b/>
          <w:szCs w:val="24"/>
        </w:rPr>
      </w:pPr>
      <w:r>
        <w:rPr>
          <w:rFonts w:cs="Arial"/>
          <w:b/>
          <w:szCs w:val="24"/>
        </w:rPr>
        <w:t>Capital Strategy 202</w:t>
      </w:r>
      <w:r w:rsidR="00AE151C">
        <w:rPr>
          <w:rFonts w:cs="Arial"/>
          <w:b/>
          <w:szCs w:val="24"/>
        </w:rPr>
        <w:t>2</w:t>
      </w:r>
      <w:r>
        <w:rPr>
          <w:rFonts w:cs="Arial"/>
          <w:b/>
          <w:szCs w:val="24"/>
        </w:rPr>
        <w:t>-</w:t>
      </w:r>
      <w:r w:rsidRPr="001A4F65">
        <w:rPr>
          <w:rFonts w:cs="Arial"/>
          <w:b/>
          <w:szCs w:val="24"/>
        </w:rPr>
        <w:t>204</w:t>
      </w:r>
      <w:r w:rsidR="00AE151C">
        <w:rPr>
          <w:rFonts w:cs="Arial"/>
          <w:b/>
          <w:szCs w:val="24"/>
        </w:rPr>
        <w:t>2</w:t>
      </w:r>
    </w:p>
    <w:p w14:paraId="46E8E066" w14:textId="77777777" w:rsidR="007D5937" w:rsidRPr="001A4F65" w:rsidRDefault="007D5937" w:rsidP="007D5937">
      <w:pPr>
        <w:pStyle w:val="BodyText"/>
        <w:spacing w:line="276" w:lineRule="auto"/>
        <w:jc w:val="both"/>
        <w:rPr>
          <w:rFonts w:cs="Arial"/>
          <w:szCs w:val="24"/>
        </w:rPr>
      </w:pPr>
    </w:p>
    <w:p w14:paraId="6EF58F1B" w14:textId="77777777" w:rsidR="007D5937" w:rsidRPr="001A4F65" w:rsidRDefault="00E9083D" w:rsidP="007D5937">
      <w:pPr>
        <w:spacing w:line="276" w:lineRule="auto"/>
        <w:jc w:val="both"/>
        <w:rPr>
          <w:rFonts w:cs="Arial"/>
        </w:rPr>
      </w:pPr>
      <w:r w:rsidRPr="5972327E">
        <w:rPr>
          <w:rFonts w:cs="Arial"/>
        </w:rPr>
        <w:t xml:space="preserve">Full Council </w:t>
      </w:r>
      <w:r w:rsidR="77869D39" w:rsidRPr="5972327E">
        <w:rPr>
          <w:rFonts w:cs="Arial"/>
        </w:rPr>
        <w:t>is</w:t>
      </w:r>
      <w:r w:rsidRPr="5972327E">
        <w:rPr>
          <w:rFonts w:cs="Arial"/>
        </w:rPr>
        <w:t xml:space="preserve"> asked to consider and approve the proposals for the capital strategy 202</w:t>
      </w:r>
      <w:r w:rsidR="005060AF">
        <w:rPr>
          <w:rFonts w:cs="Arial"/>
        </w:rPr>
        <w:t>2</w:t>
      </w:r>
      <w:r w:rsidRPr="5972327E">
        <w:rPr>
          <w:rFonts w:cs="Arial"/>
        </w:rPr>
        <w:t>-204</w:t>
      </w:r>
      <w:r w:rsidR="005060AF">
        <w:rPr>
          <w:rFonts w:cs="Arial"/>
        </w:rPr>
        <w:t>2</w:t>
      </w:r>
      <w:r w:rsidRPr="5972327E">
        <w:rPr>
          <w:rFonts w:cs="Arial"/>
        </w:rPr>
        <w:t xml:space="preserve"> as set out at Appendix C.</w:t>
      </w:r>
    </w:p>
    <w:p w14:paraId="5D7FE7C8" w14:textId="31B59C67" w:rsidR="007D5937" w:rsidRDefault="007D5937" w:rsidP="007D5937">
      <w:pPr>
        <w:rPr>
          <w:b/>
        </w:rPr>
      </w:pPr>
    </w:p>
    <w:p w14:paraId="1F3DE094" w14:textId="77777777" w:rsidR="00E9083D" w:rsidRDefault="00E9083D" w:rsidP="007D5937">
      <w:pPr>
        <w:rPr>
          <w:b/>
        </w:rPr>
      </w:pPr>
    </w:p>
    <w:p w14:paraId="0EEBCFEE" w14:textId="77777777" w:rsidR="007D5937" w:rsidRPr="001A4F65" w:rsidRDefault="00E9083D" w:rsidP="007D5937">
      <w:pPr>
        <w:pStyle w:val="ListParagraph"/>
        <w:numPr>
          <w:ilvl w:val="0"/>
          <w:numId w:val="1"/>
        </w:numPr>
        <w:spacing w:line="276" w:lineRule="auto"/>
        <w:jc w:val="both"/>
        <w:rPr>
          <w:rFonts w:cs="Arial"/>
          <w:b/>
          <w:szCs w:val="24"/>
        </w:rPr>
      </w:pPr>
      <w:r w:rsidRPr="001A4F65">
        <w:rPr>
          <w:rFonts w:cs="Arial"/>
          <w:b/>
          <w:szCs w:val="24"/>
        </w:rPr>
        <w:lastRenderedPageBreak/>
        <w:t>Council Tax and Precept 202</w:t>
      </w:r>
      <w:r w:rsidR="00AE151C">
        <w:rPr>
          <w:rFonts w:cs="Arial"/>
          <w:b/>
          <w:szCs w:val="24"/>
        </w:rPr>
        <w:t>2</w:t>
      </w:r>
      <w:r w:rsidRPr="001A4F65">
        <w:rPr>
          <w:rFonts w:cs="Arial"/>
          <w:b/>
          <w:szCs w:val="24"/>
        </w:rPr>
        <w:t>/2</w:t>
      </w:r>
      <w:r w:rsidR="00AE151C">
        <w:rPr>
          <w:rFonts w:cs="Arial"/>
          <w:b/>
          <w:szCs w:val="24"/>
        </w:rPr>
        <w:t>3</w:t>
      </w:r>
    </w:p>
    <w:p w14:paraId="0794A300" w14:textId="77777777" w:rsidR="007D5937" w:rsidRPr="001A4F65" w:rsidRDefault="007D5937" w:rsidP="007D5937">
      <w:pPr>
        <w:spacing w:line="276" w:lineRule="auto"/>
        <w:jc w:val="both"/>
        <w:rPr>
          <w:rFonts w:cs="Arial"/>
          <w:szCs w:val="24"/>
        </w:rPr>
      </w:pPr>
    </w:p>
    <w:p w14:paraId="6C3DD9B0" w14:textId="77777777" w:rsidR="007D5937" w:rsidRPr="001A4F65" w:rsidRDefault="00E9083D" w:rsidP="3F3B0D43">
      <w:pPr>
        <w:spacing w:line="276" w:lineRule="auto"/>
        <w:jc w:val="both"/>
        <w:rPr>
          <w:rFonts w:cs="Arial"/>
        </w:rPr>
      </w:pPr>
      <w:r w:rsidRPr="3F3B0D43">
        <w:rPr>
          <w:rFonts w:cs="Arial"/>
        </w:rPr>
        <w:t xml:space="preserve">Full Council </w:t>
      </w:r>
      <w:r w:rsidR="2FC4EC07" w:rsidRPr="5972327E">
        <w:rPr>
          <w:rFonts w:cs="Arial"/>
        </w:rPr>
        <w:t>is</w:t>
      </w:r>
      <w:r w:rsidRPr="3F3B0D43">
        <w:rPr>
          <w:rFonts w:cs="Arial"/>
        </w:rPr>
        <w:t xml:space="preserve"> asked to consider and authorise, in pursuance of the provisions of the Local Government Finance Act 1992, and </w:t>
      </w:r>
      <w:bookmarkStart w:id="0" w:name="_Int_Nr0UcWst"/>
      <w:r w:rsidRPr="3F3B0D43">
        <w:rPr>
          <w:rFonts w:cs="Arial"/>
        </w:rPr>
        <w:t>in order to</w:t>
      </w:r>
      <w:bookmarkEnd w:id="0"/>
      <w:r w:rsidRPr="3F3B0D43">
        <w:rPr>
          <w:rFonts w:cs="Arial"/>
        </w:rPr>
        <w:t xml:space="preserve"> meet the general expenses of the county council for the financial year 202</w:t>
      </w:r>
      <w:r w:rsidR="0C31AB91" w:rsidRPr="3F3B0D43">
        <w:rPr>
          <w:rFonts w:cs="Arial"/>
        </w:rPr>
        <w:t>2</w:t>
      </w:r>
      <w:r w:rsidRPr="3F3B0D43">
        <w:rPr>
          <w:rFonts w:cs="Arial"/>
        </w:rPr>
        <w:t>/2</w:t>
      </w:r>
      <w:r w:rsidR="0FED172B" w:rsidRPr="3F3B0D43">
        <w:rPr>
          <w:rFonts w:cs="Arial"/>
        </w:rPr>
        <w:t>3</w:t>
      </w:r>
      <w:r w:rsidRPr="3F3B0D43">
        <w:rPr>
          <w:rFonts w:cs="Arial"/>
        </w:rPr>
        <w:t>.</w:t>
      </w:r>
    </w:p>
    <w:p w14:paraId="1BD538F7" w14:textId="77777777" w:rsidR="007D5937" w:rsidRPr="001A4F65" w:rsidRDefault="007D5937" w:rsidP="007D5937">
      <w:pPr>
        <w:spacing w:line="276" w:lineRule="auto"/>
        <w:jc w:val="both"/>
        <w:rPr>
          <w:rFonts w:cs="Arial"/>
          <w:szCs w:val="24"/>
        </w:rPr>
      </w:pPr>
    </w:p>
    <w:p w14:paraId="5DF7114D" w14:textId="77777777" w:rsidR="007D5937" w:rsidRPr="001A4F65" w:rsidRDefault="00E9083D" w:rsidP="3F3B0D43">
      <w:pPr>
        <w:pStyle w:val="ListParagraph"/>
        <w:numPr>
          <w:ilvl w:val="0"/>
          <w:numId w:val="7"/>
        </w:numPr>
        <w:spacing w:line="276" w:lineRule="auto"/>
        <w:ind w:left="360"/>
        <w:jc w:val="both"/>
        <w:rPr>
          <w:rFonts w:cs="Arial"/>
        </w:rPr>
      </w:pPr>
      <w:r w:rsidRPr="3F3B0D43">
        <w:rPr>
          <w:rFonts w:cs="Arial"/>
        </w:rPr>
        <w:t>Budget, Council Tax Requirement and Precept for 202</w:t>
      </w:r>
      <w:r w:rsidR="4DB13CC1" w:rsidRPr="3F3B0D43">
        <w:rPr>
          <w:rFonts w:cs="Arial"/>
        </w:rPr>
        <w:t>2</w:t>
      </w:r>
      <w:r w:rsidRPr="3F3B0D43">
        <w:rPr>
          <w:rFonts w:cs="Arial"/>
        </w:rPr>
        <w:t>/2</w:t>
      </w:r>
      <w:r w:rsidR="475CE18E" w:rsidRPr="3F3B0D43">
        <w:rPr>
          <w:rFonts w:cs="Arial"/>
        </w:rPr>
        <w:t>3</w:t>
      </w:r>
      <w:r w:rsidRPr="3F3B0D43">
        <w:rPr>
          <w:rFonts w:cs="Arial"/>
        </w:rPr>
        <w:t>:</w:t>
      </w:r>
    </w:p>
    <w:p w14:paraId="6A5FB24D" w14:textId="77777777" w:rsidR="007D5937" w:rsidRPr="001A4F65" w:rsidRDefault="00E9083D" w:rsidP="007D5937">
      <w:pPr>
        <w:spacing w:line="276" w:lineRule="auto"/>
        <w:jc w:val="both"/>
        <w:rPr>
          <w:rFonts w:cs="Arial"/>
          <w:szCs w:val="24"/>
        </w:rPr>
      </w:pPr>
      <w:r w:rsidRPr="001A4F65">
        <w:rPr>
          <w:rFonts w:cs="Arial"/>
          <w:szCs w:val="24"/>
        </w:rPr>
        <w:t xml:space="preserve"> </w:t>
      </w:r>
    </w:p>
    <w:p w14:paraId="7448336C" w14:textId="77777777" w:rsidR="007D5937" w:rsidRPr="001A4F65" w:rsidRDefault="00E9083D" w:rsidP="3F3B0D43">
      <w:pPr>
        <w:spacing w:line="276" w:lineRule="auto"/>
        <w:ind w:firstLine="360"/>
        <w:jc w:val="both"/>
        <w:rPr>
          <w:rFonts w:cs="Arial"/>
        </w:rPr>
      </w:pPr>
      <w:r w:rsidRPr="3F3B0D43">
        <w:rPr>
          <w:rFonts w:cs="Arial"/>
        </w:rPr>
        <w:t>That the band D council tax for 202</w:t>
      </w:r>
      <w:r w:rsidR="7A5A443F" w:rsidRPr="3F3B0D43">
        <w:rPr>
          <w:rFonts w:cs="Arial"/>
        </w:rPr>
        <w:t>2</w:t>
      </w:r>
      <w:r w:rsidRPr="3F3B0D43">
        <w:rPr>
          <w:rFonts w:cs="Arial"/>
        </w:rPr>
        <w:t>/2</w:t>
      </w:r>
      <w:r w:rsidR="35E535FD" w:rsidRPr="3F3B0D43">
        <w:rPr>
          <w:rFonts w:cs="Arial"/>
        </w:rPr>
        <w:t>3</w:t>
      </w:r>
      <w:r w:rsidRPr="3F3B0D43">
        <w:rPr>
          <w:rFonts w:cs="Arial"/>
        </w:rPr>
        <w:t xml:space="preserve"> is increased by:</w:t>
      </w:r>
    </w:p>
    <w:p w14:paraId="10E9B551" w14:textId="77777777" w:rsidR="007D5937" w:rsidRPr="001A4F65" w:rsidRDefault="007D5937" w:rsidP="007D5937">
      <w:pPr>
        <w:spacing w:line="276" w:lineRule="auto"/>
        <w:jc w:val="both"/>
        <w:rPr>
          <w:rFonts w:cs="Arial"/>
          <w:szCs w:val="24"/>
        </w:rPr>
      </w:pPr>
    </w:p>
    <w:p w14:paraId="70DD9A4C" w14:textId="77777777" w:rsidR="007D5937" w:rsidRPr="00C01C79" w:rsidRDefault="00E9083D" w:rsidP="3F3B0D43">
      <w:pPr>
        <w:pStyle w:val="ListParagraph"/>
        <w:numPr>
          <w:ilvl w:val="0"/>
          <w:numId w:val="6"/>
        </w:numPr>
        <w:spacing w:line="276" w:lineRule="auto"/>
        <w:jc w:val="both"/>
        <w:rPr>
          <w:rFonts w:cs="Arial"/>
        </w:rPr>
      </w:pPr>
      <w:r w:rsidRPr="3F3B0D43">
        <w:rPr>
          <w:rFonts w:cs="Arial"/>
        </w:rPr>
        <w:t>2</w:t>
      </w:r>
      <w:r w:rsidR="00BD3D58" w:rsidRPr="3F3B0D43">
        <w:rPr>
          <w:rFonts w:cs="Arial"/>
        </w:rPr>
        <w:t xml:space="preserve">% for the adult social care precept being an annual increase </w:t>
      </w:r>
      <w:r w:rsidR="00BD3D58" w:rsidRPr="00C01C79">
        <w:rPr>
          <w:rFonts w:cs="Arial"/>
        </w:rPr>
        <w:t>of £</w:t>
      </w:r>
      <w:r w:rsidR="00C01C79">
        <w:rPr>
          <w:rFonts w:cs="Arial"/>
        </w:rPr>
        <w:t>29.12</w:t>
      </w:r>
      <w:r w:rsidR="00BD3D58" w:rsidRPr="00C01C79">
        <w:rPr>
          <w:rFonts w:cs="Arial"/>
        </w:rPr>
        <w:t xml:space="preserve"> for band D council taxpayers.</w:t>
      </w:r>
    </w:p>
    <w:p w14:paraId="00754675" w14:textId="77777777" w:rsidR="007D5937" w:rsidRPr="00C01C79" w:rsidRDefault="007D5937" w:rsidP="007D5937">
      <w:pPr>
        <w:spacing w:line="276" w:lineRule="auto"/>
        <w:ind w:firstLine="60"/>
        <w:jc w:val="both"/>
        <w:rPr>
          <w:rFonts w:cs="Arial"/>
          <w:szCs w:val="24"/>
        </w:rPr>
      </w:pPr>
    </w:p>
    <w:p w14:paraId="2E1C98E6" w14:textId="23DD5A58" w:rsidR="007D5937" w:rsidRPr="001A4F65" w:rsidRDefault="00E9083D" w:rsidP="3F3B0D43">
      <w:pPr>
        <w:pStyle w:val="ListParagraph"/>
        <w:numPr>
          <w:ilvl w:val="0"/>
          <w:numId w:val="6"/>
        </w:numPr>
        <w:spacing w:line="276" w:lineRule="auto"/>
        <w:jc w:val="both"/>
        <w:rPr>
          <w:rFonts w:cs="Arial"/>
        </w:rPr>
      </w:pPr>
      <w:r w:rsidRPr="00C01C79">
        <w:rPr>
          <w:rFonts w:cs="Arial"/>
        </w:rPr>
        <w:t>1.99% for general council tax being an annual increase £</w:t>
      </w:r>
      <w:r w:rsidR="000C2439">
        <w:rPr>
          <w:rFonts w:cs="Arial"/>
        </w:rPr>
        <w:t>28.98</w:t>
      </w:r>
      <w:r w:rsidRPr="00C01C79">
        <w:rPr>
          <w:rFonts w:cs="Arial"/>
        </w:rPr>
        <w:t xml:space="preserve"> for band</w:t>
      </w:r>
      <w:r w:rsidRPr="3F3B0D43">
        <w:rPr>
          <w:rFonts w:cs="Arial"/>
        </w:rPr>
        <w:t xml:space="preserve"> D council taxpayers</w:t>
      </w:r>
      <w:r>
        <w:rPr>
          <w:rFonts w:cs="Arial"/>
        </w:rPr>
        <w:t>.</w:t>
      </w:r>
    </w:p>
    <w:p w14:paraId="1A227158" w14:textId="77777777" w:rsidR="007D5937" w:rsidRPr="001A4F65" w:rsidRDefault="007D5937" w:rsidP="007D5937">
      <w:pPr>
        <w:pStyle w:val="ListParagraph"/>
        <w:rPr>
          <w:rFonts w:cs="Arial"/>
          <w:szCs w:val="24"/>
        </w:rPr>
      </w:pPr>
    </w:p>
    <w:p w14:paraId="36630E61" w14:textId="77777777" w:rsidR="007D5937" w:rsidRPr="001A4F65" w:rsidRDefault="00E9083D" w:rsidP="007D5937">
      <w:pPr>
        <w:pStyle w:val="ListParagraph"/>
        <w:numPr>
          <w:ilvl w:val="0"/>
          <w:numId w:val="6"/>
        </w:numPr>
        <w:spacing w:line="276" w:lineRule="auto"/>
        <w:jc w:val="both"/>
        <w:rPr>
          <w:rFonts w:cs="Arial"/>
          <w:szCs w:val="24"/>
        </w:rPr>
      </w:pPr>
      <w:r w:rsidRPr="001A4F65">
        <w:rPr>
          <w:rFonts w:cs="Arial"/>
          <w:szCs w:val="24"/>
        </w:rPr>
        <w:t>This gives an overall position of:</w:t>
      </w:r>
    </w:p>
    <w:p w14:paraId="112B736C" w14:textId="77777777" w:rsidR="007D5937" w:rsidRPr="001A4F65" w:rsidRDefault="007D5937" w:rsidP="007D5937">
      <w:pPr>
        <w:spacing w:line="276" w:lineRule="auto"/>
        <w:ind w:left="720"/>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505"/>
      </w:tblGrid>
      <w:tr w:rsidR="00FC5064" w14:paraId="6DF55CBC" w14:textId="77777777" w:rsidTr="5972327E">
        <w:trPr>
          <w:trHeight w:val="377"/>
          <w:jc w:val="center"/>
        </w:trPr>
        <w:tc>
          <w:tcPr>
            <w:tcW w:w="5681" w:type="dxa"/>
            <w:shd w:val="clear" w:color="auto" w:fill="BFBFBF" w:themeFill="background1" w:themeFillShade="BF"/>
            <w:vAlign w:val="center"/>
          </w:tcPr>
          <w:p w14:paraId="4AF7BFAA" w14:textId="77777777" w:rsidR="007D5937" w:rsidRPr="001A4F65" w:rsidRDefault="007D5937" w:rsidP="007D5937">
            <w:pPr>
              <w:autoSpaceDE w:val="0"/>
              <w:autoSpaceDN w:val="0"/>
              <w:adjustRightInd w:val="0"/>
              <w:spacing w:line="276" w:lineRule="auto"/>
              <w:jc w:val="both"/>
              <w:rPr>
                <w:rFonts w:cs="Arial"/>
                <w:b/>
                <w:sz w:val="22"/>
                <w:szCs w:val="24"/>
              </w:rPr>
            </w:pPr>
          </w:p>
        </w:tc>
        <w:tc>
          <w:tcPr>
            <w:tcW w:w="2505" w:type="dxa"/>
            <w:shd w:val="clear" w:color="auto" w:fill="BFBFBF" w:themeFill="background1" w:themeFillShade="BF"/>
            <w:vAlign w:val="center"/>
          </w:tcPr>
          <w:p w14:paraId="1D80B6E6" w14:textId="77777777" w:rsidR="007D5937" w:rsidRPr="001A4F65" w:rsidRDefault="00E9083D" w:rsidP="007D5937">
            <w:pPr>
              <w:autoSpaceDE w:val="0"/>
              <w:autoSpaceDN w:val="0"/>
              <w:adjustRightInd w:val="0"/>
              <w:spacing w:line="276" w:lineRule="auto"/>
              <w:jc w:val="center"/>
              <w:rPr>
                <w:rFonts w:cs="Arial"/>
                <w:b/>
                <w:sz w:val="22"/>
                <w:szCs w:val="24"/>
              </w:rPr>
            </w:pPr>
            <w:r w:rsidRPr="001A4F65">
              <w:rPr>
                <w:rFonts w:cs="Arial"/>
                <w:b/>
                <w:sz w:val="22"/>
                <w:szCs w:val="24"/>
              </w:rPr>
              <w:t>£m</w:t>
            </w:r>
          </w:p>
        </w:tc>
      </w:tr>
      <w:tr w:rsidR="00FC5064" w14:paraId="12072E08" w14:textId="77777777" w:rsidTr="5972327E">
        <w:trPr>
          <w:trHeight w:val="377"/>
          <w:jc w:val="center"/>
        </w:trPr>
        <w:tc>
          <w:tcPr>
            <w:tcW w:w="5681" w:type="dxa"/>
            <w:shd w:val="clear" w:color="auto" w:fill="BFBFBF" w:themeFill="background1" w:themeFillShade="BF"/>
            <w:vAlign w:val="center"/>
          </w:tcPr>
          <w:p w14:paraId="78F38790" w14:textId="77777777" w:rsidR="007D5937" w:rsidRPr="00A76F29" w:rsidRDefault="00E9083D" w:rsidP="007D5937">
            <w:pPr>
              <w:autoSpaceDE w:val="0"/>
              <w:autoSpaceDN w:val="0"/>
              <w:adjustRightInd w:val="0"/>
              <w:spacing w:line="276" w:lineRule="auto"/>
              <w:jc w:val="both"/>
              <w:rPr>
                <w:rFonts w:cs="Arial"/>
                <w:b/>
                <w:szCs w:val="24"/>
              </w:rPr>
            </w:pPr>
            <w:r w:rsidRPr="00A76F29">
              <w:rPr>
                <w:rFonts w:cs="Arial"/>
                <w:b/>
                <w:szCs w:val="24"/>
              </w:rPr>
              <w:t>Budget Requirement</w:t>
            </w:r>
          </w:p>
        </w:tc>
        <w:tc>
          <w:tcPr>
            <w:tcW w:w="2505" w:type="dxa"/>
            <w:shd w:val="clear" w:color="auto" w:fill="BFBFBF" w:themeFill="background1" w:themeFillShade="BF"/>
            <w:vAlign w:val="center"/>
          </w:tcPr>
          <w:p w14:paraId="31A4957A" w14:textId="24181DAF" w:rsidR="007D5937" w:rsidRPr="00A76F29" w:rsidRDefault="00F112F0" w:rsidP="00D51302">
            <w:pPr>
              <w:autoSpaceDE w:val="0"/>
              <w:autoSpaceDN w:val="0"/>
              <w:adjustRightInd w:val="0"/>
              <w:spacing w:line="276" w:lineRule="auto"/>
              <w:jc w:val="right"/>
              <w:rPr>
                <w:rFonts w:cs="Arial"/>
                <w:b/>
                <w:szCs w:val="24"/>
              </w:rPr>
            </w:pPr>
            <w:r>
              <w:rPr>
                <w:rFonts w:cs="Arial"/>
                <w:b/>
                <w:szCs w:val="24"/>
              </w:rPr>
              <w:t>948.110</w:t>
            </w:r>
          </w:p>
        </w:tc>
      </w:tr>
      <w:tr w:rsidR="00FC5064" w14:paraId="01843A3A" w14:textId="77777777" w:rsidTr="007D5937">
        <w:trPr>
          <w:trHeight w:val="377"/>
          <w:jc w:val="center"/>
        </w:trPr>
        <w:tc>
          <w:tcPr>
            <w:tcW w:w="5681" w:type="dxa"/>
            <w:shd w:val="clear" w:color="auto" w:fill="auto"/>
            <w:vAlign w:val="center"/>
          </w:tcPr>
          <w:p w14:paraId="387DB209" w14:textId="77777777" w:rsidR="00B56080" w:rsidRPr="00A76F29" w:rsidRDefault="00E9083D" w:rsidP="00B56080">
            <w:pPr>
              <w:autoSpaceDE w:val="0"/>
              <w:autoSpaceDN w:val="0"/>
              <w:adjustRightInd w:val="0"/>
              <w:spacing w:line="276" w:lineRule="auto"/>
              <w:jc w:val="both"/>
              <w:rPr>
                <w:rFonts w:cs="Arial"/>
                <w:szCs w:val="24"/>
              </w:rPr>
            </w:pPr>
            <w:r w:rsidRPr="00A76F29">
              <w:rPr>
                <w:rFonts w:cs="Arial"/>
                <w:szCs w:val="24"/>
              </w:rPr>
              <w:t>Less Revenue Support Grant</w:t>
            </w:r>
          </w:p>
        </w:tc>
        <w:tc>
          <w:tcPr>
            <w:tcW w:w="2505" w:type="dxa"/>
            <w:shd w:val="clear" w:color="auto" w:fill="auto"/>
            <w:vAlign w:val="center"/>
          </w:tcPr>
          <w:p w14:paraId="4923E7E6" w14:textId="2D94C130" w:rsidR="00B56080" w:rsidRPr="00A76F29" w:rsidRDefault="00F112F0" w:rsidP="0060074D">
            <w:pPr>
              <w:autoSpaceDE w:val="0"/>
              <w:autoSpaceDN w:val="0"/>
              <w:adjustRightInd w:val="0"/>
              <w:spacing w:line="276" w:lineRule="auto"/>
              <w:jc w:val="right"/>
              <w:rPr>
                <w:rFonts w:cs="Arial"/>
                <w:szCs w:val="24"/>
              </w:rPr>
            </w:pPr>
            <w:r>
              <w:rPr>
                <w:rFonts w:cs="Arial"/>
                <w:szCs w:val="24"/>
              </w:rPr>
              <w:t>34.630</w:t>
            </w:r>
          </w:p>
        </w:tc>
      </w:tr>
      <w:tr w:rsidR="00FC5064" w14:paraId="508B4728" w14:textId="77777777" w:rsidTr="007D5937">
        <w:trPr>
          <w:trHeight w:val="400"/>
          <w:jc w:val="center"/>
        </w:trPr>
        <w:tc>
          <w:tcPr>
            <w:tcW w:w="5681" w:type="dxa"/>
            <w:shd w:val="clear" w:color="auto" w:fill="auto"/>
            <w:vAlign w:val="center"/>
          </w:tcPr>
          <w:p w14:paraId="48BA641D" w14:textId="77777777" w:rsidR="00B56080" w:rsidRPr="00A76F29" w:rsidRDefault="00E9083D" w:rsidP="00B56080">
            <w:pPr>
              <w:autoSpaceDE w:val="0"/>
              <w:autoSpaceDN w:val="0"/>
              <w:adjustRightInd w:val="0"/>
              <w:spacing w:line="276" w:lineRule="auto"/>
              <w:jc w:val="both"/>
              <w:rPr>
                <w:rFonts w:cs="Arial"/>
                <w:szCs w:val="24"/>
              </w:rPr>
            </w:pPr>
            <w:r w:rsidRPr="00A76F29">
              <w:rPr>
                <w:rFonts w:cs="Arial"/>
                <w:color w:val="000000"/>
                <w:szCs w:val="24"/>
              </w:rPr>
              <w:t>Less Business Rates</w:t>
            </w:r>
          </w:p>
        </w:tc>
        <w:tc>
          <w:tcPr>
            <w:tcW w:w="2505" w:type="dxa"/>
            <w:shd w:val="clear" w:color="auto" w:fill="auto"/>
            <w:vAlign w:val="center"/>
          </w:tcPr>
          <w:p w14:paraId="319F8A59" w14:textId="6DC63675" w:rsidR="00B56080" w:rsidRPr="00A76F29" w:rsidRDefault="00F112F0" w:rsidP="0060074D">
            <w:pPr>
              <w:autoSpaceDE w:val="0"/>
              <w:autoSpaceDN w:val="0"/>
              <w:adjustRightInd w:val="0"/>
              <w:spacing w:line="276" w:lineRule="auto"/>
              <w:jc w:val="right"/>
              <w:rPr>
                <w:rFonts w:cs="Arial"/>
                <w:szCs w:val="24"/>
              </w:rPr>
            </w:pPr>
            <w:r>
              <w:rPr>
                <w:rFonts w:cs="Arial"/>
                <w:color w:val="000000"/>
                <w:szCs w:val="24"/>
              </w:rPr>
              <w:t>215.250</w:t>
            </w:r>
          </w:p>
        </w:tc>
      </w:tr>
      <w:tr w:rsidR="00FC5064" w14:paraId="268A28A8" w14:textId="77777777" w:rsidTr="007D5937">
        <w:trPr>
          <w:trHeight w:val="400"/>
          <w:jc w:val="center"/>
        </w:trPr>
        <w:tc>
          <w:tcPr>
            <w:tcW w:w="5681" w:type="dxa"/>
            <w:shd w:val="clear" w:color="auto" w:fill="auto"/>
            <w:vAlign w:val="center"/>
          </w:tcPr>
          <w:p w14:paraId="0A35A6AC" w14:textId="77777777" w:rsidR="00B56080" w:rsidRPr="00A76F29" w:rsidRDefault="00E9083D" w:rsidP="00B56080">
            <w:pPr>
              <w:autoSpaceDE w:val="0"/>
              <w:autoSpaceDN w:val="0"/>
              <w:adjustRightInd w:val="0"/>
              <w:jc w:val="both"/>
              <w:rPr>
                <w:rFonts w:cs="Arial"/>
                <w:szCs w:val="24"/>
              </w:rPr>
            </w:pPr>
            <w:r w:rsidRPr="00A76F29">
              <w:rPr>
                <w:rFonts w:cs="Arial"/>
                <w:color w:val="000000"/>
                <w:szCs w:val="24"/>
              </w:rPr>
              <w:t>Less New Homes Bonus</w:t>
            </w:r>
          </w:p>
        </w:tc>
        <w:tc>
          <w:tcPr>
            <w:tcW w:w="2505" w:type="dxa"/>
            <w:shd w:val="clear" w:color="auto" w:fill="auto"/>
            <w:vAlign w:val="center"/>
          </w:tcPr>
          <w:p w14:paraId="4747BF7E" w14:textId="77777777" w:rsidR="00B56080" w:rsidRPr="00A76F29" w:rsidRDefault="00E9083D" w:rsidP="0060074D">
            <w:pPr>
              <w:autoSpaceDE w:val="0"/>
              <w:autoSpaceDN w:val="0"/>
              <w:adjustRightInd w:val="0"/>
              <w:jc w:val="right"/>
              <w:rPr>
                <w:rFonts w:cs="Arial"/>
                <w:szCs w:val="24"/>
              </w:rPr>
            </w:pPr>
            <w:r w:rsidRPr="00A76F29">
              <w:rPr>
                <w:rFonts w:cs="Arial"/>
                <w:color w:val="000000"/>
                <w:szCs w:val="24"/>
              </w:rPr>
              <w:t>2.470</w:t>
            </w:r>
          </w:p>
        </w:tc>
      </w:tr>
      <w:tr w:rsidR="00FC5064" w14:paraId="502377D6" w14:textId="77777777" w:rsidTr="007D5937">
        <w:trPr>
          <w:trHeight w:val="400"/>
          <w:jc w:val="center"/>
        </w:trPr>
        <w:tc>
          <w:tcPr>
            <w:tcW w:w="5681" w:type="dxa"/>
            <w:shd w:val="clear" w:color="auto" w:fill="auto"/>
            <w:vAlign w:val="center"/>
          </w:tcPr>
          <w:p w14:paraId="1D466D61" w14:textId="77777777" w:rsidR="00B56080" w:rsidRPr="00A76F29" w:rsidRDefault="00E9083D" w:rsidP="00B56080">
            <w:pPr>
              <w:autoSpaceDE w:val="0"/>
              <w:autoSpaceDN w:val="0"/>
              <w:adjustRightInd w:val="0"/>
              <w:jc w:val="both"/>
              <w:rPr>
                <w:rFonts w:cs="Arial"/>
                <w:szCs w:val="24"/>
              </w:rPr>
            </w:pPr>
            <w:r w:rsidRPr="00A76F29">
              <w:rPr>
                <w:rFonts w:cs="Arial"/>
                <w:color w:val="000000"/>
                <w:szCs w:val="24"/>
              </w:rPr>
              <w:t>Less Improved Better Care Fund</w:t>
            </w:r>
          </w:p>
        </w:tc>
        <w:tc>
          <w:tcPr>
            <w:tcW w:w="2505" w:type="dxa"/>
            <w:shd w:val="clear" w:color="auto" w:fill="auto"/>
            <w:vAlign w:val="center"/>
          </w:tcPr>
          <w:p w14:paraId="31DEEC7E" w14:textId="77777777" w:rsidR="00B56080" w:rsidRPr="00A76F29" w:rsidRDefault="00E9083D" w:rsidP="0060074D">
            <w:pPr>
              <w:autoSpaceDE w:val="0"/>
              <w:autoSpaceDN w:val="0"/>
              <w:adjustRightInd w:val="0"/>
              <w:jc w:val="right"/>
              <w:rPr>
                <w:rFonts w:cs="Arial"/>
                <w:szCs w:val="24"/>
              </w:rPr>
            </w:pPr>
            <w:r w:rsidRPr="00A76F29">
              <w:rPr>
                <w:rFonts w:cs="Arial"/>
                <w:szCs w:val="24"/>
              </w:rPr>
              <w:t>47.150</w:t>
            </w:r>
          </w:p>
        </w:tc>
      </w:tr>
      <w:tr w:rsidR="00FC5064" w14:paraId="189D2A47" w14:textId="77777777" w:rsidTr="007D5937">
        <w:trPr>
          <w:trHeight w:val="400"/>
          <w:jc w:val="center"/>
        </w:trPr>
        <w:tc>
          <w:tcPr>
            <w:tcW w:w="5681" w:type="dxa"/>
            <w:shd w:val="clear" w:color="auto" w:fill="auto"/>
            <w:vAlign w:val="center"/>
          </w:tcPr>
          <w:p w14:paraId="7BB93351" w14:textId="77777777" w:rsidR="00B56080" w:rsidRPr="00A76F29" w:rsidRDefault="00E9083D" w:rsidP="00B56080">
            <w:pPr>
              <w:autoSpaceDE w:val="0"/>
              <w:autoSpaceDN w:val="0"/>
              <w:adjustRightInd w:val="0"/>
              <w:jc w:val="both"/>
              <w:rPr>
                <w:rFonts w:cs="Arial"/>
                <w:szCs w:val="24"/>
              </w:rPr>
            </w:pPr>
            <w:r w:rsidRPr="00A76F29">
              <w:rPr>
                <w:rFonts w:cs="Arial"/>
                <w:color w:val="000000"/>
                <w:szCs w:val="24"/>
              </w:rPr>
              <w:t>Less Social Care Grant</w:t>
            </w:r>
          </w:p>
        </w:tc>
        <w:tc>
          <w:tcPr>
            <w:tcW w:w="2505" w:type="dxa"/>
            <w:shd w:val="clear" w:color="auto" w:fill="auto"/>
            <w:vAlign w:val="center"/>
          </w:tcPr>
          <w:p w14:paraId="0AF29DD2" w14:textId="77777777" w:rsidR="00B56080" w:rsidRPr="00A76F29" w:rsidRDefault="00E9083D" w:rsidP="0060074D">
            <w:pPr>
              <w:autoSpaceDE w:val="0"/>
              <w:autoSpaceDN w:val="0"/>
              <w:adjustRightInd w:val="0"/>
              <w:jc w:val="right"/>
              <w:rPr>
                <w:rFonts w:cs="Arial"/>
                <w:szCs w:val="24"/>
              </w:rPr>
            </w:pPr>
            <w:r w:rsidRPr="00A76F29">
              <w:rPr>
                <w:rFonts w:cs="Arial"/>
                <w:color w:val="000000"/>
                <w:szCs w:val="24"/>
              </w:rPr>
              <w:t>57.090</w:t>
            </w:r>
          </w:p>
        </w:tc>
      </w:tr>
      <w:tr w:rsidR="00FC5064" w14:paraId="0248870C" w14:textId="77777777" w:rsidTr="007D5937">
        <w:trPr>
          <w:trHeight w:val="400"/>
          <w:jc w:val="center"/>
        </w:trPr>
        <w:tc>
          <w:tcPr>
            <w:tcW w:w="5681" w:type="dxa"/>
            <w:shd w:val="clear" w:color="auto" w:fill="auto"/>
            <w:vAlign w:val="center"/>
          </w:tcPr>
          <w:p w14:paraId="606BA6FB" w14:textId="2E343D14" w:rsidR="007D5937" w:rsidRPr="00A76F29" w:rsidRDefault="00E9083D" w:rsidP="007D5937">
            <w:pPr>
              <w:autoSpaceDE w:val="0"/>
              <w:autoSpaceDN w:val="0"/>
              <w:adjustRightInd w:val="0"/>
              <w:jc w:val="both"/>
              <w:rPr>
                <w:rFonts w:cs="Arial"/>
                <w:szCs w:val="24"/>
              </w:rPr>
            </w:pPr>
            <w:r w:rsidRPr="00A76F29">
              <w:rPr>
                <w:rFonts w:cs="Arial"/>
                <w:color w:val="000000"/>
                <w:szCs w:val="24"/>
              </w:rPr>
              <w:t>Less Collection Fund</w:t>
            </w:r>
          </w:p>
        </w:tc>
        <w:tc>
          <w:tcPr>
            <w:tcW w:w="2505" w:type="dxa"/>
            <w:shd w:val="clear" w:color="auto" w:fill="auto"/>
            <w:vAlign w:val="center"/>
          </w:tcPr>
          <w:p w14:paraId="1CF1C613" w14:textId="78829CF0" w:rsidR="007D5937" w:rsidRPr="00A76F29" w:rsidRDefault="00F112F0" w:rsidP="0060074D">
            <w:pPr>
              <w:autoSpaceDE w:val="0"/>
              <w:autoSpaceDN w:val="0"/>
              <w:adjustRightInd w:val="0"/>
              <w:jc w:val="right"/>
              <w:rPr>
                <w:rFonts w:cs="Arial"/>
                <w:szCs w:val="24"/>
              </w:rPr>
            </w:pPr>
            <w:r>
              <w:rPr>
                <w:rFonts w:cs="Arial"/>
                <w:szCs w:val="24"/>
              </w:rPr>
              <w:t>1.260</w:t>
            </w:r>
          </w:p>
        </w:tc>
      </w:tr>
      <w:tr w:rsidR="00FC5064" w14:paraId="188770C5" w14:textId="77777777" w:rsidTr="007D5937">
        <w:trPr>
          <w:trHeight w:val="400"/>
          <w:jc w:val="center"/>
        </w:trPr>
        <w:tc>
          <w:tcPr>
            <w:tcW w:w="5681" w:type="dxa"/>
            <w:shd w:val="clear" w:color="auto" w:fill="auto"/>
            <w:vAlign w:val="center"/>
          </w:tcPr>
          <w:p w14:paraId="3371770E" w14:textId="77777777" w:rsidR="007D5937" w:rsidRPr="00A76F29" w:rsidRDefault="00E9083D" w:rsidP="007D5937">
            <w:pPr>
              <w:autoSpaceDE w:val="0"/>
              <w:autoSpaceDN w:val="0"/>
              <w:adjustRightInd w:val="0"/>
              <w:jc w:val="both"/>
              <w:rPr>
                <w:rFonts w:cs="Arial"/>
                <w:color w:val="000000"/>
                <w:szCs w:val="24"/>
              </w:rPr>
            </w:pPr>
            <w:r w:rsidRPr="00A76F29">
              <w:rPr>
                <w:rFonts w:cs="Arial"/>
                <w:color w:val="000000"/>
                <w:szCs w:val="24"/>
              </w:rPr>
              <w:t xml:space="preserve">Less </w:t>
            </w:r>
            <w:r w:rsidR="00202975" w:rsidRPr="00A76F29">
              <w:rPr>
                <w:rFonts w:cs="Arial"/>
                <w:color w:val="000000"/>
                <w:szCs w:val="24"/>
              </w:rPr>
              <w:t>Services Grant 2022/23</w:t>
            </w:r>
          </w:p>
        </w:tc>
        <w:tc>
          <w:tcPr>
            <w:tcW w:w="2505" w:type="dxa"/>
            <w:shd w:val="clear" w:color="auto" w:fill="auto"/>
            <w:vAlign w:val="center"/>
          </w:tcPr>
          <w:p w14:paraId="22F1278F" w14:textId="77777777" w:rsidR="007D5937" w:rsidRPr="00A76F29" w:rsidRDefault="00E9083D" w:rsidP="0060074D">
            <w:pPr>
              <w:autoSpaceDE w:val="0"/>
              <w:autoSpaceDN w:val="0"/>
              <w:adjustRightInd w:val="0"/>
              <w:jc w:val="right"/>
              <w:rPr>
                <w:rFonts w:cs="Arial"/>
                <w:color w:val="000000"/>
                <w:szCs w:val="24"/>
              </w:rPr>
            </w:pPr>
            <w:r w:rsidRPr="00A76F29">
              <w:rPr>
                <w:rFonts w:cs="Arial"/>
                <w:color w:val="000000"/>
                <w:szCs w:val="24"/>
              </w:rPr>
              <w:t>13.060</w:t>
            </w:r>
          </w:p>
        </w:tc>
      </w:tr>
      <w:tr w:rsidR="00FC5064" w14:paraId="5DF1D412" w14:textId="77777777" w:rsidTr="007D5937">
        <w:trPr>
          <w:trHeight w:val="400"/>
          <w:jc w:val="center"/>
        </w:trPr>
        <w:tc>
          <w:tcPr>
            <w:tcW w:w="5681" w:type="dxa"/>
            <w:shd w:val="clear" w:color="auto" w:fill="auto"/>
            <w:vAlign w:val="center"/>
          </w:tcPr>
          <w:p w14:paraId="1EFDE48C" w14:textId="77777777" w:rsidR="007D5937" w:rsidRPr="00A76F29" w:rsidRDefault="00E9083D" w:rsidP="007D5937">
            <w:pPr>
              <w:autoSpaceDE w:val="0"/>
              <w:autoSpaceDN w:val="0"/>
              <w:adjustRightInd w:val="0"/>
              <w:jc w:val="both"/>
              <w:rPr>
                <w:rFonts w:cs="Arial"/>
                <w:color w:val="000000"/>
                <w:szCs w:val="24"/>
              </w:rPr>
            </w:pPr>
            <w:r w:rsidRPr="00A76F29">
              <w:rPr>
                <w:rFonts w:cs="Arial"/>
                <w:color w:val="000000"/>
                <w:szCs w:val="24"/>
              </w:rPr>
              <w:t>Less Capital Receipts</w:t>
            </w:r>
          </w:p>
        </w:tc>
        <w:tc>
          <w:tcPr>
            <w:tcW w:w="2505" w:type="dxa"/>
            <w:shd w:val="clear" w:color="auto" w:fill="auto"/>
            <w:vAlign w:val="center"/>
          </w:tcPr>
          <w:p w14:paraId="0D35A46E" w14:textId="77777777" w:rsidR="007D5937" w:rsidRPr="00A76F29" w:rsidRDefault="00E9083D" w:rsidP="0060074D">
            <w:pPr>
              <w:autoSpaceDE w:val="0"/>
              <w:autoSpaceDN w:val="0"/>
              <w:adjustRightInd w:val="0"/>
              <w:jc w:val="right"/>
              <w:rPr>
                <w:rFonts w:cs="Arial"/>
                <w:color w:val="000000"/>
                <w:szCs w:val="24"/>
              </w:rPr>
            </w:pPr>
            <w:r w:rsidRPr="00A76F29">
              <w:rPr>
                <w:rFonts w:cs="Arial"/>
                <w:color w:val="000000"/>
                <w:szCs w:val="24"/>
              </w:rPr>
              <w:t>6.000</w:t>
            </w:r>
          </w:p>
        </w:tc>
      </w:tr>
      <w:tr w:rsidR="00FC5064" w14:paraId="3E1319CD" w14:textId="77777777" w:rsidTr="007D5937">
        <w:trPr>
          <w:trHeight w:val="400"/>
          <w:jc w:val="center"/>
        </w:trPr>
        <w:tc>
          <w:tcPr>
            <w:tcW w:w="5681" w:type="dxa"/>
            <w:shd w:val="clear" w:color="auto" w:fill="auto"/>
            <w:vAlign w:val="center"/>
          </w:tcPr>
          <w:p w14:paraId="216194A7" w14:textId="77777777" w:rsidR="007D5937" w:rsidRPr="00A76F29" w:rsidRDefault="00E9083D" w:rsidP="007D5937">
            <w:pPr>
              <w:autoSpaceDE w:val="0"/>
              <w:autoSpaceDN w:val="0"/>
              <w:adjustRightInd w:val="0"/>
              <w:spacing w:line="276" w:lineRule="auto"/>
              <w:jc w:val="both"/>
              <w:rPr>
                <w:rFonts w:cs="Arial"/>
                <w:b/>
                <w:szCs w:val="24"/>
              </w:rPr>
            </w:pPr>
            <w:r w:rsidRPr="00A76F29">
              <w:rPr>
                <w:rFonts w:cs="Arial"/>
                <w:b/>
                <w:szCs w:val="24"/>
              </w:rPr>
              <w:t>Equals council tax cash</w:t>
            </w:r>
          </w:p>
        </w:tc>
        <w:tc>
          <w:tcPr>
            <w:tcW w:w="2505" w:type="dxa"/>
            <w:shd w:val="clear" w:color="auto" w:fill="auto"/>
            <w:vAlign w:val="center"/>
          </w:tcPr>
          <w:p w14:paraId="3790838A" w14:textId="77777777" w:rsidR="007D5937" w:rsidRPr="00A76F29" w:rsidRDefault="00E9083D" w:rsidP="0060074D">
            <w:pPr>
              <w:autoSpaceDE w:val="0"/>
              <w:autoSpaceDN w:val="0"/>
              <w:adjustRightInd w:val="0"/>
              <w:spacing w:line="276" w:lineRule="auto"/>
              <w:jc w:val="right"/>
              <w:rPr>
                <w:rFonts w:cs="Arial"/>
                <w:b/>
                <w:szCs w:val="24"/>
              </w:rPr>
            </w:pPr>
            <w:r w:rsidRPr="00A76F29">
              <w:rPr>
                <w:rFonts w:cs="Arial"/>
                <w:b/>
                <w:szCs w:val="24"/>
              </w:rPr>
              <w:t xml:space="preserve">            57</w:t>
            </w:r>
            <w:r w:rsidR="00EF67DA" w:rsidRPr="00A76F29">
              <w:rPr>
                <w:rFonts w:cs="Arial"/>
                <w:b/>
                <w:szCs w:val="24"/>
              </w:rPr>
              <w:t>1</w:t>
            </w:r>
            <w:r w:rsidRPr="00A76F29">
              <w:rPr>
                <w:rFonts w:cs="Arial"/>
                <w:b/>
                <w:szCs w:val="24"/>
              </w:rPr>
              <w:t>.1</w:t>
            </w:r>
            <w:r w:rsidR="00041FC2" w:rsidRPr="00A76F29">
              <w:rPr>
                <w:rFonts w:cs="Arial"/>
                <w:b/>
                <w:szCs w:val="24"/>
              </w:rPr>
              <w:t>9</w:t>
            </w:r>
            <w:r w:rsidRPr="00A76F29">
              <w:rPr>
                <w:rFonts w:cs="Arial"/>
                <w:b/>
                <w:szCs w:val="24"/>
              </w:rPr>
              <w:t>0</w:t>
            </w:r>
          </w:p>
        </w:tc>
      </w:tr>
      <w:tr w:rsidR="00FC5064" w14:paraId="4C68C079" w14:textId="77777777" w:rsidTr="5972327E">
        <w:trPr>
          <w:trHeight w:val="400"/>
          <w:jc w:val="center"/>
        </w:trPr>
        <w:tc>
          <w:tcPr>
            <w:tcW w:w="5681" w:type="dxa"/>
            <w:shd w:val="clear" w:color="auto" w:fill="BFBFBF" w:themeFill="background1" w:themeFillShade="BF"/>
            <w:vAlign w:val="center"/>
          </w:tcPr>
          <w:p w14:paraId="7DD1B10D" w14:textId="77777777" w:rsidR="007D5937" w:rsidRPr="00A76F29" w:rsidRDefault="007D5937" w:rsidP="007D5937">
            <w:pPr>
              <w:autoSpaceDE w:val="0"/>
              <w:autoSpaceDN w:val="0"/>
              <w:adjustRightInd w:val="0"/>
              <w:jc w:val="both"/>
              <w:rPr>
                <w:rFonts w:cs="Arial"/>
                <w:szCs w:val="24"/>
              </w:rPr>
            </w:pPr>
          </w:p>
        </w:tc>
        <w:tc>
          <w:tcPr>
            <w:tcW w:w="2505" w:type="dxa"/>
            <w:shd w:val="clear" w:color="auto" w:fill="BFBFBF" w:themeFill="background1" w:themeFillShade="BF"/>
            <w:vAlign w:val="center"/>
          </w:tcPr>
          <w:p w14:paraId="708228EB" w14:textId="77777777" w:rsidR="007D5937" w:rsidRPr="00A76F29" w:rsidRDefault="007D5937" w:rsidP="007D5937">
            <w:pPr>
              <w:autoSpaceDE w:val="0"/>
              <w:autoSpaceDN w:val="0"/>
              <w:adjustRightInd w:val="0"/>
              <w:jc w:val="center"/>
              <w:rPr>
                <w:rFonts w:cs="Arial"/>
                <w:szCs w:val="24"/>
              </w:rPr>
            </w:pPr>
          </w:p>
        </w:tc>
      </w:tr>
      <w:tr w:rsidR="00FC5064" w14:paraId="09E6FDCC" w14:textId="77777777" w:rsidTr="007D5937">
        <w:trPr>
          <w:trHeight w:val="400"/>
          <w:jc w:val="center"/>
        </w:trPr>
        <w:tc>
          <w:tcPr>
            <w:tcW w:w="5681" w:type="dxa"/>
            <w:shd w:val="clear" w:color="auto" w:fill="auto"/>
            <w:vAlign w:val="center"/>
          </w:tcPr>
          <w:p w14:paraId="69ACBA98" w14:textId="77777777" w:rsidR="007D5937" w:rsidRPr="00A76F29" w:rsidRDefault="00E9083D" w:rsidP="007D5937">
            <w:pPr>
              <w:autoSpaceDE w:val="0"/>
              <w:autoSpaceDN w:val="0"/>
              <w:adjustRightInd w:val="0"/>
              <w:spacing w:line="276" w:lineRule="auto"/>
              <w:jc w:val="both"/>
              <w:rPr>
                <w:rFonts w:cs="Arial"/>
                <w:szCs w:val="24"/>
              </w:rPr>
            </w:pPr>
            <w:r w:rsidRPr="00A76F29">
              <w:rPr>
                <w:rFonts w:cs="Arial"/>
                <w:szCs w:val="24"/>
              </w:rPr>
              <w:t>Divided by tax base</w:t>
            </w:r>
            <w:r w:rsidR="001C73C8" w:rsidRPr="00A76F29">
              <w:rPr>
                <w:rFonts w:cs="Arial"/>
                <w:szCs w:val="24"/>
              </w:rPr>
              <w:t xml:space="preserve"> (estimate)</w:t>
            </w:r>
          </w:p>
        </w:tc>
        <w:tc>
          <w:tcPr>
            <w:tcW w:w="2505" w:type="dxa"/>
            <w:shd w:val="clear" w:color="auto" w:fill="auto"/>
            <w:vAlign w:val="center"/>
          </w:tcPr>
          <w:p w14:paraId="227F54DA" w14:textId="77777777" w:rsidR="007D5937" w:rsidRPr="00A76F29" w:rsidRDefault="00E9083D" w:rsidP="0060074D">
            <w:pPr>
              <w:autoSpaceDE w:val="0"/>
              <w:autoSpaceDN w:val="0"/>
              <w:adjustRightInd w:val="0"/>
              <w:spacing w:line="276" w:lineRule="auto"/>
              <w:jc w:val="right"/>
              <w:rPr>
                <w:rFonts w:cs="Arial"/>
                <w:szCs w:val="24"/>
              </w:rPr>
            </w:pPr>
            <w:r w:rsidRPr="00A76F29">
              <w:rPr>
                <w:rFonts w:cs="Arial"/>
                <w:szCs w:val="24"/>
              </w:rPr>
              <w:t>377</w:t>
            </w:r>
            <w:r w:rsidR="51F3A8C9" w:rsidRPr="00A76F29">
              <w:rPr>
                <w:rFonts w:cs="Arial"/>
                <w:szCs w:val="24"/>
              </w:rPr>
              <w:t>,</w:t>
            </w:r>
            <w:r w:rsidRPr="00A76F29">
              <w:rPr>
                <w:rFonts w:cs="Arial"/>
                <w:szCs w:val="24"/>
              </w:rPr>
              <w:t>198.67</w:t>
            </w:r>
          </w:p>
        </w:tc>
      </w:tr>
      <w:tr w:rsidR="00FC5064" w14:paraId="7673726F" w14:textId="77777777" w:rsidTr="007D5937">
        <w:trPr>
          <w:trHeight w:val="400"/>
          <w:jc w:val="center"/>
        </w:trPr>
        <w:tc>
          <w:tcPr>
            <w:tcW w:w="5681" w:type="dxa"/>
            <w:shd w:val="clear" w:color="auto" w:fill="auto"/>
            <w:vAlign w:val="center"/>
          </w:tcPr>
          <w:p w14:paraId="7DA34356" w14:textId="77777777" w:rsidR="007D5937" w:rsidRPr="00A76F29" w:rsidRDefault="00E9083D" w:rsidP="007D5937">
            <w:pPr>
              <w:autoSpaceDE w:val="0"/>
              <w:autoSpaceDN w:val="0"/>
              <w:adjustRightInd w:val="0"/>
              <w:spacing w:line="276" w:lineRule="auto"/>
              <w:jc w:val="both"/>
              <w:rPr>
                <w:rFonts w:cs="Arial"/>
                <w:szCs w:val="24"/>
              </w:rPr>
            </w:pPr>
            <w:r w:rsidRPr="00A76F29">
              <w:rPr>
                <w:rFonts w:cs="Arial"/>
                <w:szCs w:val="24"/>
              </w:rPr>
              <w:t>Gives Band D council tax for 202</w:t>
            </w:r>
            <w:r w:rsidR="00CA5218" w:rsidRPr="00A76F29">
              <w:rPr>
                <w:rFonts w:cs="Arial"/>
                <w:szCs w:val="24"/>
              </w:rPr>
              <w:t>2</w:t>
            </w:r>
            <w:r w:rsidRPr="00A76F29">
              <w:rPr>
                <w:rFonts w:cs="Arial"/>
                <w:szCs w:val="24"/>
              </w:rPr>
              <w:t>/2</w:t>
            </w:r>
            <w:r w:rsidR="00CA5218" w:rsidRPr="00A76F29">
              <w:rPr>
                <w:rFonts w:cs="Arial"/>
                <w:szCs w:val="24"/>
              </w:rPr>
              <w:t>3</w:t>
            </w:r>
          </w:p>
        </w:tc>
        <w:tc>
          <w:tcPr>
            <w:tcW w:w="2505" w:type="dxa"/>
            <w:shd w:val="clear" w:color="auto" w:fill="auto"/>
            <w:vAlign w:val="center"/>
          </w:tcPr>
          <w:p w14:paraId="7B5B3E56" w14:textId="77777777" w:rsidR="007D5937" w:rsidRPr="00A76F29" w:rsidRDefault="00E9083D" w:rsidP="0060074D">
            <w:pPr>
              <w:autoSpaceDE w:val="0"/>
              <w:autoSpaceDN w:val="0"/>
              <w:adjustRightInd w:val="0"/>
              <w:spacing w:line="276" w:lineRule="auto"/>
              <w:jc w:val="right"/>
              <w:rPr>
                <w:rFonts w:cs="Arial"/>
                <w:szCs w:val="24"/>
              </w:rPr>
            </w:pPr>
            <w:r w:rsidRPr="00A76F29">
              <w:rPr>
                <w:rFonts w:cs="Arial"/>
                <w:szCs w:val="24"/>
              </w:rPr>
              <w:t>£1,514.29</w:t>
            </w:r>
          </w:p>
        </w:tc>
      </w:tr>
      <w:tr w:rsidR="00FC5064" w14:paraId="0BD43CEC" w14:textId="77777777" w:rsidTr="007D5937">
        <w:trPr>
          <w:trHeight w:val="400"/>
          <w:jc w:val="center"/>
        </w:trPr>
        <w:tc>
          <w:tcPr>
            <w:tcW w:w="5681" w:type="dxa"/>
            <w:shd w:val="clear" w:color="auto" w:fill="auto"/>
            <w:vAlign w:val="center"/>
          </w:tcPr>
          <w:p w14:paraId="45F9FCA4" w14:textId="77777777" w:rsidR="007D5937" w:rsidRPr="00A76F29" w:rsidRDefault="00E9083D" w:rsidP="007D5937">
            <w:pPr>
              <w:autoSpaceDE w:val="0"/>
              <w:autoSpaceDN w:val="0"/>
              <w:adjustRightInd w:val="0"/>
              <w:spacing w:line="276" w:lineRule="auto"/>
              <w:jc w:val="both"/>
              <w:rPr>
                <w:rFonts w:cs="Arial"/>
                <w:szCs w:val="24"/>
              </w:rPr>
            </w:pPr>
            <w:r w:rsidRPr="00A76F29">
              <w:rPr>
                <w:rFonts w:cs="Arial"/>
                <w:szCs w:val="24"/>
              </w:rPr>
              <w:t>202</w:t>
            </w:r>
            <w:r w:rsidR="00FA1CFD" w:rsidRPr="00A76F29">
              <w:rPr>
                <w:rFonts w:cs="Arial"/>
                <w:szCs w:val="24"/>
              </w:rPr>
              <w:t>1</w:t>
            </w:r>
            <w:r w:rsidRPr="00A76F29">
              <w:rPr>
                <w:rFonts w:cs="Arial"/>
                <w:szCs w:val="24"/>
              </w:rPr>
              <w:t>/2</w:t>
            </w:r>
            <w:r w:rsidR="00FA1CFD" w:rsidRPr="00A76F29">
              <w:rPr>
                <w:rFonts w:cs="Arial"/>
                <w:szCs w:val="24"/>
              </w:rPr>
              <w:t>2</w:t>
            </w:r>
            <w:r w:rsidRPr="00A76F29">
              <w:rPr>
                <w:rFonts w:cs="Arial"/>
                <w:szCs w:val="24"/>
              </w:rPr>
              <w:t xml:space="preserve"> council tax</w:t>
            </w:r>
          </w:p>
        </w:tc>
        <w:tc>
          <w:tcPr>
            <w:tcW w:w="2505" w:type="dxa"/>
            <w:shd w:val="clear" w:color="auto" w:fill="auto"/>
            <w:vAlign w:val="center"/>
          </w:tcPr>
          <w:p w14:paraId="225E0435" w14:textId="77777777" w:rsidR="007D5937" w:rsidRPr="00A76F29" w:rsidRDefault="00E9083D" w:rsidP="0060074D">
            <w:pPr>
              <w:autoSpaceDE w:val="0"/>
              <w:autoSpaceDN w:val="0"/>
              <w:adjustRightInd w:val="0"/>
              <w:spacing w:line="276" w:lineRule="auto"/>
              <w:jc w:val="right"/>
              <w:rPr>
                <w:rFonts w:cs="Arial"/>
                <w:szCs w:val="24"/>
              </w:rPr>
            </w:pPr>
            <w:r w:rsidRPr="00A76F29">
              <w:rPr>
                <w:rFonts w:cs="Arial"/>
                <w:szCs w:val="24"/>
              </w:rPr>
              <w:t>£1,456.19</w:t>
            </w:r>
          </w:p>
        </w:tc>
      </w:tr>
      <w:tr w:rsidR="00FC5064" w14:paraId="23C02131" w14:textId="77777777" w:rsidTr="007D5937">
        <w:trPr>
          <w:trHeight w:val="400"/>
          <w:jc w:val="center"/>
        </w:trPr>
        <w:tc>
          <w:tcPr>
            <w:tcW w:w="5681" w:type="dxa"/>
            <w:shd w:val="clear" w:color="auto" w:fill="auto"/>
            <w:vAlign w:val="center"/>
          </w:tcPr>
          <w:p w14:paraId="6831F124" w14:textId="77777777" w:rsidR="007D5937" w:rsidRPr="00A76F29" w:rsidRDefault="00E9083D" w:rsidP="007D5937">
            <w:pPr>
              <w:autoSpaceDE w:val="0"/>
              <w:autoSpaceDN w:val="0"/>
              <w:adjustRightInd w:val="0"/>
              <w:spacing w:line="276" w:lineRule="auto"/>
              <w:jc w:val="both"/>
              <w:rPr>
                <w:rFonts w:cs="Arial"/>
                <w:b/>
                <w:szCs w:val="24"/>
              </w:rPr>
            </w:pPr>
            <w:r w:rsidRPr="00A76F29">
              <w:rPr>
                <w:rFonts w:cs="Arial"/>
                <w:b/>
                <w:szCs w:val="24"/>
              </w:rPr>
              <w:t>Percentage increase</w:t>
            </w:r>
          </w:p>
        </w:tc>
        <w:tc>
          <w:tcPr>
            <w:tcW w:w="2505" w:type="dxa"/>
            <w:shd w:val="clear" w:color="auto" w:fill="auto"/>
            <w:vAlign w:val="center"/>
          </w:tcPr>
          <w:p w14:paraId="5EFCCFE3" w14:textId="77777777" w:rsidR="007D5937" w:rsidRPr="00A76F29" w:rsidRDefault="00E9083D" w:rsidP="0060074D">
            <w:pPr>
              <w:autoSpaceDE w:val="0"/>
              <w:autoSpaceDN w:val="0"/>
              <w:adjustRightInd w:val="0"/>
              <w:spacing w:line="276" w:lineRule="auto"/>
              <w:jc w:val="right"/>
              <w:rPr>
                <w:rFonts w:cs="Arial"/>
                <w:b/>
                <w:szCs w:val="24"/>
              </w:rPr>
            </w:pPr>
            <w:r w:rsidRPr="00A76F29">
              <w:rPr>
                <w:rFonts w:cs="Arial"/>
                <w:b/>
                <w:szCs w:val="24"/>
              </w:rPr>
              <w:t>3</w:t>
            </w:r>
            <w:r w:rsidR="00BD3D58" w:rsidRPr="00A76F29">
              <w:rPr>
                <w:rFonts w:cs="Arial"/>
                <w:b/>
                <w:szCs w:val="24"/>
              </w:rPr>
              <w:t>.99%</w:t>
            </w:r>
          </w:p>
        </w:tc>
      </w:tr>
    </w:tbl>
    <w:p w14:paraId="1CC61398" w14:textId="77777777" w:rsidR="007D5937" w:rsidRPr="001A4F65" w:rsidRDefault="007D5937" w:rsidP="007D5937">
      <w:pPr>
        <w:spacing w:line="276" w:lineRule="auto"/>
        <w:ind w:left="720"/>
        <w:jc w:val="both"/>
        <w:rPr>
          <w:rFonts w:cs="Arial"/>
          <w:szCs w:val="24"/>
        </w:rPr>
      </w:pPr>
    </w:p>
    <w:p w14:paraId="75EA69EF" w14:textId="77777777" w:rsidR="007D5937" w:rsidRPr="001A4F65" w:rsidRDefault="00E9083D" w:rsidP="007D5937">
      <w:pPr>
        <w:ind w:left="709" w:hanging="425"/>
        <w:jc w:val="both"/>
        <w:rPr>
          <w:rFonts w:cs="Arial"/>
          <w:szCs w:val="24"/>
        </w:rPr>
      </w:pPr>
      <w:r w:rsidRPr="001A4F65">
        <w:rPr>
          <w:rFonts w:cs="Arial"/>
          <w:szCs w:val="24"/>
        </w:rPr>
        <w:br w:type="page"/>
        <w:t xml:space="preserve">b) </w:t>
      </w:r>
      <w:r w:rsidRPr="001A4F65">
        <w:rPr>
          <w:rFonts w:cs="Arial"/>
          <w:szCs w:val="24"/>
        </w:rPr>
        <w:tab/>
        <w:t>Council Tax (on the basis o</w:t>
      </w:r>
      <w:r>
        <w:rPr>
          <w:rFonts w:cs="Arial"/>
          <w:szCs w:val="24"/>
        </w:rPr>
        <w:t>f a budget requirement of £</w:t>
      </w:r>
      <w:r w:rsidR="00D60AE7">
        <w:rPr>
          <w:rFonts w:cs="Arial"/>
          <w:szCs w:val="24"/>
        </w:rPr>
        <w:t>9</w:t>
      </w:r>
      <w:r w:rsidR="005060AF">
        <w:rPr>
          <w:rFonts w:cs="Arial"/>
          <w:szCs w:val="24"/>
        </w:rPr>
        <w:t>48.110</w:t>
      </w:r>
      <w:r w:rsidRPr="001A4F65">
        <w:rPr>
          <w:rFonts w:cs="Arial"/>
          <w:szCs w:val="24"/>
        </w:rPr>
        <w:t>m and the Council Tax base for each property valuation band:</w:t>
      </w:r>
    </w:p>
    <w:p w14:paraId="3CEEED1C" w14:textId="77777777" w:rsidR="007D5937" w:rsidRPr="001A4F65" w:rsidRDefault="007D5937" w:rsidP="007D5937">
      <w:pPr>
        <w:pStyle w:val="BodyTextIndent"/>
        <w:spacing w:line="276" w:lineRule="auto"/>
        <w:jc w:val="both"/>
        <w:rPr>
          <w:rFonts w:cs="Arial"/>
          <w:b/>
          <w:szCs w:val="24"/>
        </w:rPr>
      </w:pPr>
    </w:p>
    <w:tbl>
      <w:tblPr>
        <w:tblW w:w="5197" w:type="dxa"/>
        <w:tblInd w:w="2329" w:type="dxa"/>
        <w:tblLook w:val="04A0" w:firstRow="1" w:lastRow="0" w:firstColumn="1" w:lastColumn="0" w:noHBand="0" w:noVBand="1"/>
      </w:tblPr>
      <w:tblGrid>
        <w:gridCol w:w="2521"/>
        <w:gridCol w:w="2440"/>
        <w:gridCol w:w="236"/>
      </w:tblGrid>
      <w:tr w:rsidR="00FC5064" w14:paraId="4A59399B" w14:textId="77777777" w:rsidTr="00DA319B">
        <w:trPr>
          <w:gridAfter w:val="1"/>
          <w:wAfter w:w="236" w:type="dxa"/>
          <w:trHeight w:val="870"/>
        </w:trPr>
        <w:tc>
          <w:tcPr>
            <w:tcW w:w="2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B2B9B" w14:textId="77777777" w:rsidR="00053A6B" w:rsidRPr="00053A6B" w:rsidRDefault="00E9083D" w:rsidP="00053A6B">
            <w:pPr>
              <w:jc w:val="both"/>
              <w:rPr>
                <w:rFonts w:eastAsia="Arial" w:cs="Arial"/>
                <w:b/>
                <w:color w:val="000000"/>
                <w:szCs w:val="24"/>
              </w:rPr>
            </w:pPr>
            <w:r w:rsidRPr="5972327E">
              <w:rPr>
                <w:rFonts w:eastAsia="Arial" w:cs="Arial"/>
                <w:b/>
                <w:color w:val="000000" w:themeColor="text1"/>
                <w:szCs w:val="24"/>
              </w:rPr>
              <w:t>Council Tax Band</w:t>
            </w:r>
          </w:p>
        </w:tc>
        <w:tc>
          <w:tcPr>
            <w:tcW w:w="2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94AA62" w14:textId="77777777" w:rsidR="00053A6B" w:rsidRPr="00053A6B" w:rsidRDefault="00E9083D" w:rsidP="00053A6B">
            <w:pPr>
              <w:jc w:val="center"/>
              <w:rPr>
                <w:rFonts w:eastAsia="Arial" w:cs="Arial"/>
                <w:b/>
                <w:color w:val="000000"/>
                <w:szCs w:val="24"/>
              </w:rPr>
            </w:pPr>
            <w:r w:rsidRPr="5972327E">
              <w:rPr>
                <w:rFonts w:eastAsia="Arial" w:cs="Arial"/>
                <w:b/>
                <w:szCs w:val="24"/>
              </w:rPr>
              <w:t>£</w:t>
            </w:r>
          </w:p>
        </w:tc>
      </w:tr>
      <w:tr w:rsidR="00FC5064" w14:paraId="760C6C8C" w14:textId="77777777" w:rsidTr="00DA319B">
        <w:trPr>
          <w:gridAfter w:val="1"/>
          <w:wAfter w:w="236" w:type="dxa"/>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3DE80"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A</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7BC39F"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1,009.53</w:t>
            </w:r>
          </w:p>
        </w:tc>
      </w:tr>
      <w:tr w:rsidR="00FC5064" w14:paraId="78BEE2DD"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55AD2321"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E2994F5"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4C447164" w14:textId="77777777" w:rsidR="00053A6B" w:rsidRPr="00053A6B" w:rsidRDefault="00053A6B" w:rsidP="00053A6B">
            <w:pPr>
              <w:jc w:val="right"/>
              <w:rPr>
                <w:rFonts w:eastAsia="Arial" w:cs="Arial"/>
                <w:color w:val="000000"/>
                <w:szCs w:val="24"/>
              </w:rPr>
            </w:pPr>
          </w:p>
        </w:tc>
      </w:tr>
      <w:tr w:rsidR="00FC5064" w14:paraId="467B881C"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23ACF"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B</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670139"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1,177.78</w:t>
            </w:r>
          </w:p>
        </w:tc>
        <w:tc>
          <w:tcPr>
            <w:tcW w:w="236" w:type="dxa"/>
            <w:tcBorders>
              <w:left w:val="single" w:sz="4" w:space="0" w:color="auto"/>
            </w:tcBorders>
            <w:vAlign w:val="center"/>
            <w:hideMark/>
          </w:tcPr>
          <w:p w14:paraId="06A6C260" w14:textId="77777777" w:rsidR="00053A6B" w:rsidRPr="00053A6B" w:rsidRDefault="00053A6B" w:rsidP="00053A6B">
            <w:pPr>
              <w:rPr>
                <w:rFonts w:eastAsia="Arial" w:cs="Arial"/>
                <w:szCs w:val="24"/>
              </w:rPr>
            </w:pPr>
          </w:p>
        </w:tc>
      </w:tr>
      <w:tr w:rsidR="00FC5064" w14:paraId="316CD3BC"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0C216C99"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794FD590"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06C0E70F" w14:textId="77777777" w:rsidR="00053A6B" w:rsidRPr="00053A6B" w:rsidRDefault="00053A6B" w:rsidP="00053A6B">
            <w:pPr>
              <w:jc w:val="right"/>
              <w:rPr>
                <w:rFonts w:eastAsia="Arial" w:cs="Arial"/>
                <w:color w:val="000000"/>
                <w:szCs w:val="24"/>
              </w:rPr>
            </w:pPr>
          </w:p>
        </w:tc>
      </w:tr>
      <w:tr w:rsidR="00FC5064" w14:paraId="2E2D6E01"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3B05C"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C</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83D4"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1,346.04</w:t>
            </w:r>
          </w:p>
        </w:tc>
        <w:tc>
          <w:tcPr>
            <w:tcW w:w="236" w:type="dxa"/>
            <w:tcBorders>
              <w:left w:val="single" w:sz="4" w:space="0" w:color="auto"/>
            </w:tcBorders>
            <w:vAlign w:val="center"/>
            <w:hideMark/>
          </w:tcPr>
          <w:p w14:paraId="207B1DA8" w14:textId="77777777" w:rsidR="00053A6B" w:rsidRPr="00053A6B" w:rsidRDefault="00053A6B" w:rsidP="00053A6B">
            <w:pPr>
              <w:rPr>
                <w:rFonts w:eastAsia="Arial" w:cs="Arial"/>
                <w:szCs w:val="24"/>
              </w:rPr>
            </w:pPr>
          </w:p>
        </w:tc>
      </w:tr>
      <w:tr w:rsidR="00FC5064" w14:paraId="47CD39F8"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1FE1EA24"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8E02F62"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0B86A74F" w14:textId="77777777" w:rsidR="00053A6B" w:rsidRPr="00053A6B" w:rsidRDefault="00053A6B" w:rsidP="00053A6B">
            <w:pPr>
              <w:jc w:val="right"/>
              <w:rPr>
                <w:rFonts w:eastAsia="Arial" w:cs="Arial"/>
                <w:color w:val="000000"/>
                <w:szCs w:val="24"/>
              </w:rPr>
            </w:pPr>
          </w:p>
        </w:tc>
      </w:tr>
      <w:tr w:rsidR="00FC5064" w14:paraId="6B97AB0D"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5C8BF"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D (basic)</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2FF35"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1,514.29</w:t>
            </w:r>
          </w:p>
        </w:tc>
        <w:tc>
          <w:tcPr>
            <w:tcW w:w="236" w:type="dxa"/>
            <w:tcBorders>
              <w:left w:val="single" w:sz="4" w:space="0" w:color="auto"/>
            </w:tcBorders>
            <w:vAlign w:val="center"/>
            <w:hideMark/>
          </w:tcPr>
          <w:p w14:paraId="51E57A75" w14:textId="77777777" w:rsidR="00053A6B" w:rsidRPr="00053A6B" w:rsidRDefault="00053A6B" w:rsidP="00053A6B">
            <w:pPr>
              <w:rPr>
                <w:rFonts w:eastAsia="Arial" w:cs="Arial"/>
                <w:szCs w:val="24"/>
              </w:rPr>
            </w:pPr>
          </w:p>
        </w:tc>
      </w:tr>
      <w:tr w:rsidR="00FC5064" w14:paraId="1E627492"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3489F5AE"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BA2D3AD"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209F67EB" w14:textId="77777777" w:rsidR="00053A6B" w:rsidRPr="00053A6B" w:rsidRDefault="00053A6B" w:rsidP="00053A6B">
            <w:pPr>
              <w:jc w:val="right"/>
              <w:rPr>
                <w:rFonts w:eastAsia="Arial" w:cs="Arial"/>
                <w:color w:val="000000"/>
                <w:szCs w:val="24"/>
              </w:rPr>
            </w:pPr>
          </w:p>
        </w:tc>
      </w:tr>
      <w:tr w:rsidR="00FC5064" w14:paraId="1C5FA126"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EC27B"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7C06D"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1,850.80</w:t>
            </w:r>
          </w:p>
        </w:tc>
        <w:tc>
          <w:tcPr>
            <w:tcW w:w="236" w:type="dxa"/>
            <w:tcBorders>
              <w:left w:val="single" w:sz="4" w:space="0" w:color="auto"/>
            </w:tcBorders>
            <w:vAlign w:val="center"/>
            <w:hideMark/>
          </w:tcPr>
          <w:p w14:paraId="773DE3F8" w14:textId="77777777" w:rsidR="00053A6B" w:rsidRPr="00053A6B" w:rsidRDefault="00053A6B" w:rsidP="00053A6B">
            <w:pPr>
              <w:rPr>
                <w:rFonts w:eastAsia="Arial" w:cs="Arial"/>
                <w:szCs w:val="24"/>
              </w:rPr>
            </w:pPr>
          </w:p>
        </w:tc>
      </w:tr>
      <w:tr w:rsidR="00FC5064" w14:paraId="29D73336"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1BB5F29E"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E2959A3"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03608B93" w14:textId="77777777" w:rsidR="00053A6B" w:rsidRPr="00053A6B" w:rsidRDefault="00053A6B" w:rsidP="00053A6B">
            <w:pPr>
              <w:jc w:val="right"/>
              <w:rPr>
                <w:rFonts w:eastAsia="Arial" w:cs="Arial"/>
                <w:color w:val="000000"/>
                <w:szCs w:val="24"/>
              </w:rPr>
            </w:pPr>
          </w:p>
        </w:tc>
      </w:tr>
      <w:tr w:rsidR="00FC5064" w14:paraId="5809368C"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469EC"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F</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04B44"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2,187.31</w:t>
            </w:r>
          </w:p>
        </w:tc>
        <w:tc>
          <w:tcPr>
            <w:tcW w:w="236" w:type="dxa"/>
            <w:tcBorders>
              <w:left w:val="single" w:sz="4" w:space="0" w:color="auto"/>
            </w:tcBorders>
            <w:vAlign w:val="center"/>
            <w:hideMark/>
          </w:tcPr>
          <w:p w14:paraId="678442F2" w14:textId="77777777" w:rsidR="00053A6B" w:rsidRPr="00053A6B" w:rsidRDefault="00053A6B" w:rsidP="00053A6B">
            <w:pPr>
              <w:rPr>
                <w:rFonts w:eastAsia="Arial" w:cs="Arial"/>
                <w:szCs w:val="24"/>
              </w:rPr>
            </w:pPr>
          </w:p>
        </w:tc>
      </w:tr>
      <w:tr w:rsidR="00FC5064" w14:paraId="3D291EEC"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747E83A1"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48CB179"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14813DB6" w14:textId="77777777" w:rsidR="00053A6B" w:rsidRPr="00053A6B" w:rsidRDefault="00053A6B" w:rsidP="00053A6B">
            <w:pPr>
              <w:jc w:val="right"/>
              <w:rPr>
                <w:rFonts w:eastAsia="Arial" w:cs="Arial"/>
                <w:color w:val="000000"/>
                <w:szCs w:val="24"/>
              </w:rPr>
            </w:pPr>
          </w:p>
        </w:tc>
      </w:tr>
      <w:tr w:rsidR="00FC5064" w14:paraId="360B7BB6"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4193A"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G</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8A993"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2,523.82</w:t>
            </w:r>
          </w:p>
        </w:tc>
        <w:tc>
          <w:tcPr>
            <w:tcW w:w="236" w:type="dxa"/>
            <w:tcBorders>
              <w:left w:val="single" w:sz="4" w:space="0" w:color="auto"/>
            </w:tcBorders>
            <w:vAlign w:val="center"/>
            <w:hideMark/>
          </w:tcPr>
          <w:p w14:paraId="2CAE4EA3" w14:textId="77777777" w:rsidR="00053A6B" w:rsidRPr="00053A6B" w:rsidRDefault="00053A6B" w:rsidP="00053A6B">
            <w:pPr>
              <w:rPr>
                <w:rFonts w:eastAsia="Arial" w:cs="Arial"/>
                <w:szCs w:val="24"/>
              </w:rPr>
            </w:pPr>
          </w:p>
        </w:tc>
      </w:tr>
      <w:tr w:rsidR="00FC5064" w14:paraId="5F29C9EC"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7195CD4E"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AF22186" w14:textId="77777777" w:rsidR="00053A6B" w:rsidRPr="00053A6B" w:rsidRDefault="00053A6B" w:rsidP="00053A6B">
            <w:pPr>
              <w:rPr>
                <w:rFonts w:cs="Arial"/>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55FCD2A4" w14:textId="77777777" w:rsidR="00053A6B" w:rsidRPr="00053A6B" w:rsidRDefault="00053A6B" w:rsidP="00053A6B">
            <w:pPr>
              <w:jc w:val="right"/>
              <w:rPr>
                <w:rFonts w:eastAsia="Arial" w:cs="Arial"/>
                <w:color w:val="000000"/>
                <w:szCs w:val="24"/>
              </w:rPr>
            </w:pPr>
          </w:p>
        </w:tc>
      </w:tr>
      <w:tr w:rsidR="00FC5064" w14:paraId="2A3EE632" w14:textId="77777777" w:rsidTr="00DA319B">
        <w:trPr>
          <w:trHeight w:val="286"/>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45599" w14:textId="77777777" w:rsidR="00053A6B" w:rsidRPr="00053A6B" w:rsidRDefault="00E9083D" w:rsidP="00053A6B">
            <w:pPr>
              <w:jc w:val="both"/>
              <w:rPr>
                <w:rFonts w:eastAsia="Arial" w:cs="Arial"/>
                <w:color w:val="000000"/>
                <w:szCs w:val="24"/>
              </w:rPr>
            </w:pPr>
            <w:r w:rsidRPr="5972327E">
              <w:rPr>
                <w:rFonts w:eastAsia="Arial" w:cs="Arial"/>
                <w:color w:val="000000" w:themeColor="text1"/>
                <w:szCs w:val="24"/>
              </w:rPr>
              <w:t>Band H</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B9E1" w14:textId="77777777" w:rsidR="00053A6B" w:rsidRPr="00053A6B" w:rsidRDefault="00E9083D" w:rsidP="00053A6B">
            <w:pPr>
              <w:jc w:val="right"/>
              <w:rPr>
                <w:rFonts w:eastAsia="Arial" w:cs="Arial"/>
                <w:color w:val="000000"/>
                <w:szCs w:val="24"/>
              </w:rPr>
            </w:pPr>
            <w:r w:rsidRPr="5972327E">
              <w:rPr>
                <w:rFonts w:eastAsia="Arial" w:cs="Arial"/>
                <w:color w:val="000000" w:themeColor="text1"/>
                <w:szCs w:val="24"/>
              </w:rPr>
              <w:t>3,028.58</w:t>
            </w:r>
          </w:p>
        </w:tc>
        <w:tc>
          <w:tcPr>
            <w:tcW w:w="236" w:type="dxa"/>
            <w:tcBorders>
              <w:left w:val="single" w:sz="4" w:space="0" w:color="auto"/>
            </w:tcBorders>
            <w:vAlign w:val="center"/>
            <w:hideMark/>
          </w:tcPr>
          <w:p w14:paraId="291BCAC6" w14:textId="77777777" w:rsidR="00053A6B" w:rsidRPr="00053A6B" w:rsidRDefault="00053A6B" w:rsidP="00053A6B">
            <w:pPr>
              <w:rPr>
                <w:rFonts w:eastAsia="Arial" w:cs="Arial"/>
                <w:szCs w:val="24"/>
              </w:rPr>
            </w:pPr>
          </w:p>
        </w:tc>
      </w:tr>
      <w:tr w:rsidR="00FC5064" w14:paraId="34DE1EC8" w14:textId="77777777" w:rsidTr="00DA319B">
        <w:trPr>
          <w:trHeight w:val="299"/>
        </w:trPr>
        <w:tc>
          <w:tcPr>
            <w:tcW w:w="2521" w:type="dxa"/>
            <w:vMerge/>
            <w:tcBorders>
              <w:top w:val="single" w:sz="4" w:space="0" w:color="auto"/>
              <w:left w:val="single" w:sz="4" w:space="0" w:color="auto"/>
              <w:bottom w:val="single" w:sz="4" w:space="0" w:color="auto"/>
              <w:right w:val="single" w:sz="4" w:space="0" w:color="auto"/>
            </w:tcBorders>
            <w:vAlign w:val="center"/>
            <w:hideMark/>
          </w:tcPr>
          <w:p w14:paraId="4A11E4F4" w14:textId="77777777" w:rsidR="00053A6B" w:rsidRPr="00053A6B" w:rsidRDefault="00053A6B" w:rsidP="00053A6B">
            <w:pPr>
              <w:rPr>
                <w:rFonts w:cs="Arial"/>
                <w:color w:val="000000"/>
                <w:sz w:val="22"/>
                <w:szCs w:val="22"/>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B8947D9" w14:textId="77777777" w:rsidR="00053A6B" w:rsidRPr="00053A6B" w:rsidRDefault="00053A6B" w:rsidP="00053A6B">
            <w:pPr>
              <w:rPr>
                <w:rFonts w:ascii="Calibri" w:hAnsi="Calibri"/>
                <w:color w:val="000000"/>
                <w:sz w:val="22"/>
                <w:szCs w:val="22"/>
              </w:rPr>
            </w:pPr>
          </w:p>
        </w:tc>
        <w:tc>
          <w:tcPr>
            <w:tcW w:w="236" w:type="dxa"/>
            <w:tcBorders>
              <w:top w:val="nil"/>
              <w:left w:val="single" w:sz="4" w:space="0" w:color="auto"/>
              <w:bottom w:val="nil"/>
              <w:right w:val="nil"/>
            </w:tcBorders>
            <w:shd w:val="clear" w:color="auto" w:fill="auto"/>
            <w:noWrap/>
            <w:vAlign w:val="bottom"/>
            <w:hideMark/>
          </w:tcPr>
          <w:p w14:paraId="4C961630" w14:textId="77777777" w:rsidR="00053A6B" w:rsidRPr="00053A6B" w:rsidRDefault="00053A6B" w:rsidP="00053A6B">
            <w:pPr>
              <w:jc w:val="right"/>
              <w:rPr>
                <w:rFonts w:eastAsia="Arial" w:cs="Arial"/>
                <w:color w:val="000000"/>
                <w:szCs w:val="24"/>
              </w:rPr>
            </w:pPr>
          </w:p>
        </w:tc>
      </w:tr>
    </w:tbl>
    <w:p w14:paraId="484FB559" w14:textId="77777777" w:rsidR="007D5937" w:rsidRPr="001A4F65" w:rsidRDefault="007D5937" w:rsidP="007D5937">
      <w:pPr>
        <w:pStyle w:val="BodyText"/>
        <w:rPr>
          <w:rFonts w:eastAsia="Arial" w:cs="Arial"/>
          <w:szCs w:val="24"/>
        </w:rPr>
      </w:pPr>
    </w:p>
    <w:p w14:paraId="34ECF73E" w14:textId="77777777" w:rsidR="007D5937" w:rsidRPr="001A4F65" w:rsidRDefault="00E9083D" w:rsidP="007D5937">
      <w:pPr>
        <w:pStyle w:val="BodyText"/>
        <w:numPr>
          <w:ilvl w:val="0"/>
          <w:numId w:val="3"/>
        </w:numPr>
        <w:rPr>
          <w:rFonts w:eastAsia="Arial" w:cs="Arial"/>
          <w:szCs w:val="24"/>
        </w:rPr>
      </w:pPr>
      <w:r w:rsidRPr="5972327E">
        <w:rPr>
          <w:rFonts w:eastAsia="Arial" w:cs="Arial"/>
          <w:szCs w:val="24"/>
        </w:rPr>
        <w:t>The share for each district council of the net total raised from the council tax of £</w:t>
      </w:r>
      <w:r w:rsidR="00993901" w:rsidRPr="5972327E">
        <w:rPr>
          <w:rFonts w:eastAsia="Arial" w:cs="Arial"/>
          <w:szCs w:val="24"/>
        </w:rPr>
        <w:t>571.190</w:t>
      </w:r>
      <w:r w:rsidRPr="5972327E">
        <w:rPr>
          <w:rFonts w:eastAsia="Arial" w:cs="Arial"/>
          <w:szCs w:val="24"/>
        </w:rPr>
        <w:t>:</w:t>
      </w:r>
    </w:p>
    <w:p w14:paraId="01D5CC2F" w14:textId="77777777" w:rsidR="007D5937" w:rsidRPr="001A4F65" w:rsidRDefault="007D5937" w:rsidP="007D5937">
      <w:pPr>
        <w:pStyle w:val="BodyText"/>
        <w:ind w:left="720"/>
        <w:rPr>
          <w:rFonts w:eastAsia="Arial" w:cs="Arial"/>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1841"/>
      </w:tblGrid>
      <w:tr w:rsidR="00FC5064" w14:paraId="1F322382" w14:textId="77777777" w:rsidTr="00DA319B">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6E592" w14:textId="77777777" w:rsidR="009D32C7" w:rsidRPr="009D32C7" w:rsidRDefault="00E9083D" w:rsidP="009D32C7">
            <w:pPr>
              <w:rPr>
                <w:rFonts w:eastAsia="Arial" w:cs="Arial"/>
                <w:b/>
                <w:szCs w:val="24"/>
              </w:rPr>
            </w:pPr>
            <w:r w:rsidRPr="5972327E">
              <w:rPr>
                <w:rFonts w:eastAsia="Arial" w:cs="Arial"/>
                <w:b/>
                <w:szCs w:val="24"/>
              </w:rPr>
              <w:t>District</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A1B1E2" w14:textId="77777777" w:rsidR="009D32C7" w:rsidRPr="009D32C7" w:rsidRDefault="00E9083D" w:rsidP="00F81219">
            <w:pPr>
              <w:jc w:val="center"/>
              <w:rPr>
                <w:rFonts w:eastAsia="Arial" w:cs="Arial"/>
                <w:b/>
                <w:color w:val="000000"/>
                <w:szCs w:val="24"/>
              </w:rPr>
            </w:pPr>
            <w:r w:rsidRPr="5972327E">
              <w:rPr>
                <w:rFonts w:eastAsia="Arial" w:cs="Arial"/>
                <w:b/>
                <w:color w:val="000000" w:themeColor="text1"/>
                <w:szCs w:val="24"/>
              </w:rPr>
              <w:t>£m</w:t>
            </w:r>
          </w:p>
        </w:tc>
      </w:tr>
      <w:tr w:rsidR="00FC5064" w14:paraId="2964762C"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61890073" w14:textId="77777777" w:rsidR="009D32C7" w:rsidRPr="009D32C7" w:rsidRDefault="00E9083D" w:rsidP="009D32C7">
            <w:pPr>
              <w:rPr>
                <w:rFonts w:eastAsia="Arial" w:cs="Arial"/>
                <w:szCs w:val="24"/>
              </w:rPr>
            </w:pPr>
            <w:r w:rsidRPr="5972327E">
              <w:rPr>
                <w:rFonts w:eastAsia="Arial" w:cs="Arial"/>
                <w:szCs w:val="24"/>
              </w:rPr>
              <w:t>Burnley</w:t>
            </w:r>
          </w:p>
        </w:tc>
        <w:tc>
          <w:tcPr>
            <w:tcW w:w="1841" w:type="dxa"/>
            <w:tcBorders>
              <w:top w:val="nil"/>
              <w:left w:val="single" w:sz="4" w:space="0" w:color="auto"/>
              <w:bottom w:val="single" w:sz="4" w:space="0" w:color="auto"/>
              <w:right w:val="single" w:sz="4" w:space="0" w:color="auto"/>
            </w:tcBorders>
            <w:shd w:val="clear" w:color="auto" w:fill="auto"/>
            <w:vAlign w:val="bottom"/>
          </w:tcPr>
          <w:p w14:paraId="5FE32DE4"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35.570 </w:t>
            </w:r>
          </w:p>
        </w:tc>
      </w:tr>
      <w:tr w:rsidR="00FC5064" w14:paraId="7CBC1A3E"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E163082" w14:textId="77777777" w:rsidR="009D32C7" w:rsidRPr="009D32C7" w:rsidRDefault="00E9083D" w:rsidP="009D32C7">
            <w:pPr>
              <w:rPr>
                <w:rFonts w:eastAsia="Arial" w:cs="Arial"/>
                <w:szCs w:val="24"/>
              </w:rPr>
            </w:pPr>
            <w:r w:rsidRPr="5972327E">
              <w:rPr>
                <w:rFonts w:eastAsia="Arial" w:cs="Arial"/>
                <w:szCs w:val="24"/>
              </w:rPr>
              <w:t>Chorley</w:t>
            </w:r>
          </w:p>
        </w:tc>
        <w:tc>
          <w:tcPr>
            <w:tcW w:w="1841" w:type="dxa"/>
            <w:tcBorders>
              <w:top w:val="nil"/>
              <w:left w:val="single" w:sz="4" w:space="0" w:color="auto"/>
              <w:bottom w:val="single" w:sz="4" w:space="0" w:color="auto"/>
              <w:right w:val="single" w:sz="4" w:space="0" w:color="auto"/>
            </w:tcBorders>
            <w:shd w:val="clear" w:color="auto" w:fill="auto"/>
            <w:vAlign w:val="bottom"/>
          </w:tcPr>
          <w:p w14:paraId="044F9963"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57.710 </w:t>
            </w:r>
          </w:p>
        </w:tc>
      </w:tr>
      <w:tr w:rsidR="00FC5064" w14:paraId="68195031"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5747ADF7" w14:textId="77777777" w:rsidR="009D32C7" w:rsidRPr="009D32C7" w:rsidRDefault="00E9083D" w:rsidP="009D32C7">
            <w:pPr>
              <w:rPr>
                <w:rFonts w:eastAsia="Arial" w:cs="Arial"/>
                <w:szCs w:val="24"/>
              </w:rPr>
            </w:pPr>
            <w:r w:rsidRPr="5972327E">
              <w:rPr>
                <w:rFonts w:eastAsia="Arial" w:cs="Arial"/>
                <w:szCs w:val="24"/>
              </w:rPr>
              <w:t>Fylde</w:t>
            </w:r>
          </w:p>
        </w:tc>
        <w:tc>
          <w:tcPr>
            <w:tcW w:w="1841" w:type="dxa"/>
            <w:tcBorders>
              <w:top w:val="nil"/>
              <w:left w:val="single" w:sz="4" w:space="0" w:color="auto"/>
              <w:bottom w:val="single" w:sz="4" w:space="0" w:color="auto"/>
              <w:right w:val="single" w:sz="4" w:space="0" w:color="auto"/>
            </w:tcBorders>
            <w:shd w:val="clear" w:color="auto" w:fill="auto"/>
            <w:vAlign w:val="bottom"/>
          </w:tcPr>
          <w:p w14:paraId="73E9B6DE"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47.540 </w:t>
            </w:r>
          </w:p>
        </w:tc>
      </w:tr>
      <w:tr w:rsidR="00FC5064" w14:paraId="0CE74B27"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2E265738" w14:textId="77777777" w:rsidR="009D32C7" w:rsidRPr="009D32C7" w:rsidRDefault="00E9083D" w:rsidP="009D32C7">
            <w:pPr>
              <w:rPr>
                <w:rFonts w:eastAsia="Arial" w:cs="Arial"/>
                <w:szCs w:val="24"/>
              </w:rPr>
            </w:pPr>
            <w:r w:rsidRPr="5972327E">
              <w:rPr>
                <w:rFonts w:eastAsia="Arial" w:cs="Arial"/>
                <w:szCs w:val="24"/>
              </w:rPr>
              <w:t>Hyndburn</w:t>
            </w:r>
          </w:p>
        </w:tc>
        <w:tc>
          <w:tcPr>
            <w:tcW w:w="1841" w:type="dxa"/>
            <w:tcBorders>
              <w:top w:val="nil"/>
              <w:left w:val="single" w:sz="4" w:space="0" w:color="auto"/>
              <w:bottom w:val="single" w:sz="4" w:space="0" w:color="auto"/>
              <w:right w:val="single" w:sz="4" w:space="0" w:color="auto"/>
            </w:tcBorders>
            <w:shd w:val="clear" w:color="auto" w:fill="auto"/>
            <w:vAlign w:val="bottom"/>
          </w:tcPr>
          <w:p w14:paraId="0FECDD02"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31.880 </w:t>
            </w:r>
          </w:p>
        </w:tc>
      </w:tr>
      <w:tr w:rsidR="00FC5064" w14:paraId="637E6EE3"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203ADE34" w14:textId="77777777" w:rsidR="009D32C7" w:rsidRPr="009D32C7" w:rsidRDefault="00E9083D" w:rsidP="009D32C7">
            <w:pPr>
              <w:rPr>
                <w:rFonts w:eastAsia="Arial" w:cs="Arial"/>
                <w:szCs w:val="24"/>
              </w:rPr>
            </w:pPr>
            <w:r w:rsidRPr="5972327E">
              <w:rPr>
                <w:rFonts w:eastAsia="Arial" w:cs="Arial"/>
                <w:szCs w:val="24"/>
              </w:rPr>
              <w:t>Lancaster</w:t>
            </w:r>
          </w:p>
        </w:tc>
        <w:tc>
          <w:tcPr>
            <w:tcW w:w="1841" w:type="dxa"/>
            <w:tcBorders>
              <w:top w:val="nil"/>
              <w:left w:val="single" w:sz="4" w:space="0" w:color="auto"/>
              <w:bottom w:val="single" w:sz="4" w:space="0" w:color="auto"/>
              <w:right w:val="single" w:sz="4" w:space="0" w:color="auto"/>
            </w:tcBorders>
            <w:shd w:val="clear" w:color="auto" w:fill="auto"/>
            <w:vAlign w:val="bottom"/>
          </w:tcPr>
          <w:p w14:paraId="0D6B2BDD"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63.690 </w:t>
            </w:r>
          </w:p>
        </w:tc>
      </w:tr>
      <w:tr w:rsidR="00FC5064" w14:paraId="5202F257"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470DDC0" w14:textId="77777777" w:rsidR="009D32C7" w:rsidRPr="009D32C7" w:rsidRDefault="00E9083D" w:rsidP="009D32C7">
            <w:pPr>
              <w:rPr>
                <w:rFonts w:eastAsia="Arial" w:cs="Arial"/>
                <w:szCs w:val="24"/>
              </w:rPr>
            </w:pPr>
            <w:r w:rsidRPr="5972327E">
              <w:rPr>
                <w:rFonts w:eastAsia="Arial" w:cs="Arial"/>
                <w:szCs w:val="24"/>
              </w:rPr>
              <w:t>Pendle</w:t>
            </w:r>
          </w:p>
        </w:tc>
        <w:tc>
          <w:tcPr>
            <w:tcW w:w="1841" w:type="dxa"/>
            <w:tcBorders>
              <w:top w:val="nil"/>
              <w:left w:val="single" w:sz="4" w:space="0" w:color="auto"/>
              <w:bottom w:val="single" w:sz="4" w:space="0" w:color="auto"/>
              <w:right w:val="single" w:sz="4" w:space="0" w:color="auto"/>
            </w:tcBorders>
            <w:shd w:val="clear" w:color="auto" w:fill="auto"/>
            <w:vAlign w:val="bottom"/>
          </w:tcPr>
          <w:p w14:paraId="78F7B5B6"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36.250 </w:t>
            </w:r>
          </w:p>
        </w:tc>
      </w:tr>
      <w:tr w:rsidR="00FC5064" w14:paraId="01592152"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5617CABF" w14:textId="77777777" w:rsidR="009D32C7" w:rsidRPr="009D32C7" w:rsidRDefault="00E9083D" w:rsidP="009D32C7">
            <w:pPr>
              <w:rPr>
                <w:rFonts w:eastAsia="Arial" w:cs="Arial"/>
                <w:szCs w:val="24"/>
              </w:rPr>
            </w:pPr>
            <w:r w:rsidRPr="5972327E">
              <w:rPr>
                <w:rFonts w:eastAsia="Arial" w:cs="Arial"/>
                <w:szCs w:val="24"/>
              </w:rPr>
              <w:t>Preston</w:t>
            </w:r>
          </w:p>
        </w:tc>
        <w:tc>
          <w:tcPr>
            <w:tcW w:w="1841" w:type="dxa"/>
            <w:tcBorders>
              <w:top w:val="nil"/>
              <w:left w:val="single" w:sz="4" w:space="0" w:color="auto"/>
              <w:bottom w:val="single" w:sz="4" w:space="0" w:color="auto"/>
              <w:right w:val="single" w:sz="4" w:space="0" w:color="auto"/>
            </w:tcBorders>
            <w:shd w:val="clear" w:color="auto" w:fill="auto"/>
            <w:vAlign w:val="bottom"/>
          </w:tcPr>
          <w:p w14:paraId="69C9E4BD"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60.220 </w:t>
            </w:r>
          </w:p>
        </w:tc>
      </w:tr>
      <w:tr w:rsidR="00FC5064" w14:paraId="735F8260"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53600787" w14:textId="77777777" w:rsidR="009D32C7" w:rsidRPr="009D32C7" w:rsidRDefault="00E9083D" w:rsidP="009D32C7">
            <w:pPr>
              <w:rPr>
                <w:rFonts w:eastAsia="Arial" w:cs="Arial"/>
                <w:szCs w:val="24"/>
              </w:rPr>
            </w:pPr>
            <w:r w:rsidRPr="5972327E">
              <w:rPr>
                <w:rFonts w:eastAsia="Arial" w:cs="Arial"/>
                <w:szCs w:val="24"/>
              </w:rPr>
              <w:t>Ribble Valley</w:t>
            </w:r>
          </w:p>
        </w:tc>
        <w:tc>
          <w:tcPr>
            <w:tcW w:w="1841" w:type="dxa"/>
            <w:tcBorders>
              <w:top w:val="nil"/>
              <w:left w:val="single" w:sz="4" w:space="0" w:color="auto"/>
              <w:bottom w:val="single" w:sz="4" w:space="0" w:color="auto"/>
              <w:right w:val="single" w:sz="4" w:space="0" w:color="auto"/>
            </w:tcBorders>
            <w:shd w:val="clear" w:color="auto" w:fill="auto"/>
            <w:vAlign w:val="bottom"/>
          </w:tcPr>
          <w:p w14:paraId="260D9D7D"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37.180 </w:t>
            </w:r>
          </w:p>
        </w:tc>
      </w:tr>
      <w:tr w:rsidR="00FC5064" w14:paraId="6E8E8729"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32197F08" w14:textId="77777777" w:rsidR="009D32C7" w:rsidRPr="009D32C7" w:rsidRDefault="00E9083D" w:rsidP="009D32C7">
            <w:pPr>
              <w:rPr>
                <w:rFonts w:eastAsia="Arial" w:cs="Arial"/>
                <w:szCs w:val="24"/>
              </w:rPr>
            </w:pPr>
            <w:r w:rsidRPr="5972327E">
              <w:rPr>
                <w:rFonts w:eastAsia="Arial" w:cs="Arial"/>
                <w:szCs w:val="24"/>
              </w:rPr>
              <w:t>Rossendale</w:t>
            </w:r>
          </w:p>
        </w:tc>
        <w:tc>
          <w:tcPr>
            <w:tcW w:w="1841" w:type="dxa"/>
            <w:tcBorders>
              <w:top w:val="nil"/>
              <w:left w:val="single" w:sz="4" w:space="0" w:color="auto"/>
              <w:bottom w:val="single" w:sz="4" w:space="0" w:color="auto"/>
              <w:right w:val="single" w:sz="4" w:space="0" w:color="auto"/>
            </w:tcBorders>
            <w:shd w:val="clear" w:color="auto" w:fill="auto"/>
            <w:vAlign w:val="bottom"/>
          </w:tcPr>
          <w:p w14:paraId="172B2DF3"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31.160 </w:t>
            </w:r>
          </w:p>
        </w:tc>
      </w:tr>
      <w:tr w:rsidR="00FC5064" w14:paraId="0B1AD1BA"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6CE41F76" w14:textId="77777777" w:rsidR="009D32C7" w:rsidRPr="009D32C7" w:rsidRDefault="00E9083D" w:rsidP="009D32C7">
            <w:pPr>
              <w:rPr>
                <w:rFonts w:eastAsia="Arial" w:cs="Arial"/>
                <w:szCs w:val="24"/>
              </w:rPr>
            </w:pPr>
            <w:r w:rsidRPr="5972327E">
              <w:rPr>
                <w:rFonts w:eastAsia="Arial" w:cs="Arial"/>
                <w:szCs w:val="24"/>
              </w:rPr>
              <w:t>South Ribble</w:t>
            </w:r>
          </w:p>
        </w:tc>
        <w:tc>
          <w:tcPr>
            <w:tcW w:w="1841" w:type="dxa"/>
            <w:tcBorders>
              <w:top w:val="nil"/>
              <w:left w:val="single" w:sz="4" w:space="0" w:color="auto"/>
              <w:bottom w:val="single" w:sz="4" w:space="0" w:color="auto"/>
              <w:right w:val="single" w:sz="4" w:space="0" w:color="auto"/>
            </w:tcBorders>
            <w:shd w:val="clear" w:color="auto" w:fill="auto"/>
            <w:vAlign w:val="bottom"/>
          </w:tcPr>
          <w:p w14:paraId="0697DD8B"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55.400 </w:t>
            </w:r>
          </w:p>
        </w:tc>
      </w:tr>
      <w:tr w:rsidR="00FC5064" w14:paraId="0B2BFA7F"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1EEC70D7" w14:textId="77777777" w:rsidR="009D32C7" w:rsidRPr="009D32C7" w:rsidRDefault="00E9083D" w:rsidP="009D32C7">
            <w:pPr>
              <w:rPr>
                <w:rFonts w:eastAsia="Arial" w:cs="Arial"/>
                <w:szCs w:val="24"/>
              </w:rPr>
            </w:pPr>
            <w:r w:rsidRPr="5972327E">
              <w:rPr>
                <w:rFonts w:eastAsia="Arial" w:cs="Arial"/>
                <w:szCs w:val="24"/>
              </w:rPr>
              <w:t>West Lancashire</w:t>
            </w:r>
          </w:p>
        </w:tc>
        <w:tc>
          <w:tcPr>
            <w:tcW w:w="1841" w:type="dxa"/>
            <w:tcBorders>
              <w:top w:val="nil"/>
              <w:left w:val="single" w:sz="4" w:space="0" w:color="auto"/>
              <w:bottom w:val="single" w:sz="4" w:space="0" w:color="auto"/>
              <w:right w:val="single" w:sz="4" w:space="0" w:color="auto"/>
            </w:tcBorders>
            <w:shd w:val="clear" w:color="auto" w:fill="auto"/>
            <w:vAlign w:val="bottom"/>
          </w:tcPr>
          <w:p w14:paraId="6FB19848"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57.040 </w:t>
            </w:r>
          </w:p>
        </w:tc>
      </w:tr>
      <w:tr w:rsidR="00FC5064" w14:paraId="33F515E4" w14:textId="77777777" w:rsidTr="00A76F29">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313582D3" w14:textId="77777777" w:rsidR="009D32C7" w:rsidRPr="009D32C7" w:rsidRDefault="00E9083D" w:rsidP="009D32C7">
            <w:pPr>
              <w:rPr>
                <w:rFonts w:eastAsia="Arial" w:cs="Arial"/>
                <w:szCs w:val="24"/>
              </w:rPr>
            </w:pPr>
            <w:r w:rsidRPr="5972327E">
              <w:rPr>
                <w:rFonts w:eastAsia="Arial" w:cs="Arial"/>
                <w:szCs w:val="24"/>
              </w:rPr>
              <w:t>Wyre</w:t>
            </w:r>
          </w:p>
        </w:tc>
        <w:tc>
          <w:tcPr>
            <w:tcW w:w="1841" w:type="dxa"/>
            <w:tcBorders>
              <w:top w:val="nil"/>
              <w:left w:val="single" w:sz="4" w:space="0" w:color="auto"/>
              <w:bottom w:val="single" w:sz="4" w:space="0" w:color="auto"/>
              <w:right w:val="single" w:sz="4" w:space="0" w:color="auto"/>
            </w:tcBorders>
            <w:shd w:val="clear" w:color="auto" w:fill="auto"/>
            <w:vAlign w:val="bottom"/>
          </w:tcPr>
          <w:p w14:paraId="6CE8A454" w14:textId="77777777" w:rsidR="009D32C7" w:rsidRPr="009D32C7" w:rsidRDefault="00E9083D" w:rsidP="00F81219">
            <w:pPr>
              <w:jc w:val="right"/>
              <w:rPr>
                <w:rFonts w:eastAsia="Arial" w:cs="Arial"/>
                <w:color w:val="000000"/>
                <w:szCs w:val="24"/>
              </w:rPr>
            </w:pPr>
            <w:r w:rsidRPr="5972327E">
              <w:rPr>
                <w:rFonts w:eastAsia="Arial" w:cs="Arial"/>
                <w:color w:val="000000" w:themeColor="text1"/>
                <w:szCs w:val="24"/>
              </w:rPr>
              <w:t xml:space="preserve">        57.550 </w:t>
            </w:r>
          </w:p>
        </w:tc>
      </w:tr>
      <w:tr w:rsidR="00FC5064" w14:paraId="126622B8" w14:textId="77777777" w:rsidTr="5972327E">
        <w:trPr>
          <w:trHeight w:val="371"/>
        </w:trPr>
        <w:tc>
          <w:tcPr>
            <w:tcW w:w="4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558A8B" w14:textId="77777777" w:rsidR="009D32C7" w:rsidRPr="009D32C7" w:rsidRDefault="00E9083D" w:rsidP="009D32C7">
            <w:pPr>
              <w:rPr>
                <w:rFonts w:eastAsia="Arial" w:cs="Arial"/>
                <w:b/>
                <w:szCs w:val="24"/>
              </w:rPr>
            </w:pPr>
            <w:r w:rsidRPr="5972327E">
              <w:rPr>
                <w:rFonts w:eastAsia="Arial" w:cs="Arial"/>
                <w:b/>
                <w:szCs w:val="24"/>
              </w:rPr>
              <w:t>Total Raised from the Council Tax</w:t>
            </w:r>
          </w:p>
        </w:tc>
        <w:tc>
          <w:tcPr>
            <w:tcW w:w="1841"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58B0D19C" w14:textId="77777777" w:rsidR="009D32C7" w:rsidRPr="009D32C7" w:rsidRDefault="00E9083D" w:rsidP="00F81219">
            <w:pPr>
              <w:jc w:val="right"/>
              <w:rPr>
                <w:rFonts w:eastAsia="Arial" w:cs="Arial"/>
                <w:b/>
                <w:color w:val="000000"/>
                <w:szCs w:val="24"/>
              </w:rPr>
            </w:pPr>
            <w:r w:rsidRPr="5972327E">
              <w:rPr>
                <w:rFonts w:eastAsia="Arial" w:cs="Arial"/>
                <w:b/>
                <w:color w:val="000000" w:themeColor="text1"/>
                <w:szCs w:val="24"/>
              </w:rPr>
              <w:t xml:space="preserve">      571.190 </w:t>
            </w:r>
          </w:p>
        </w:tc>
      </w:tr>
    </w:tbl>
    <w:p w14:paraId="734EA689" w14:textId="77777777" w:rsidR="007D5937" w:rsidRDefault="007D5937" w:rsidP="007D5937">
      <w:pPr>
        <w:rPr>
          <w:b/>
        </w:rPr>
      </w:pPr>
    </w:p>
    <w:p w14:paraId="2B57D0BA" w14:textId="77777777" w:rsidR="007D5937" w:rsidRDefault="007D5937" w:rsidP="007D5937">
      <w:pPr>
        <w:rPr>
          <w:b/>
        </w:rPr>
      </w:pPr>
    </w:p>
    <w:p w14:paraId="114D4DE8" w14:textId="77777777" w:rsidR="007D5937" w:rsidRPr="0043296F" w:rsidRDefault="00E9083D" w:rsidP="007D5937">
      <w:pPr>
        <w:rPr>
          <w:b/>
        </w:rPr>
      </w:pPr>
      <w:r w:rsidRPr="0043296F">
        <w:rPr>
          <w:b/>
        </w:rPr>
        <w:t>Consultations</w:t>
      </w:r>
    </w:p>
    <w:p w14:paraId="5DB26D29" w14:textId="77777777" w:rsidR="007D5937" w:rsidRPr="00021732" w:rsidRDefault="007D5937" w:rsidP="007D5937">
      <w:pPr>
        <w:rPr>
          <w:b/>
          <w:highlight w:val="yellow"/>
        </w:rPr>
      </w:pPr>
    </w:p>
    <w:p w14:paraId="21129A5C" w14:textId="06AE9337" w:rsidR="007D5937" w:rsidRPr="008F62F7" w:rsidRDefault="00E9083D" w:rsidP="007D5937">
      <w:pPr>
        <w:jc w:val="both"/>
      </w:pPr>
      <w:r w:rsidRPr="006644A2">
        <w:t xml:space="preserve">As part of the budget process the contents of the report to </w:t>
      </w:r>
      <w:r>
        <w:t>C</w:t>
      </w:r>
      <w:r w:rsidRPr="006644A2">
        <w:t>abinet ha</w:t>
      </w:r>
      <w:r>
        <w:t>s</w:t>
      </w:r>
      <w:r w:rsidRPr="006644A2">
        <w:t xml:space="preserve"> been subject to a consultation with a variety of stakeholders and partners</w:t>
      </w:r>
      <w:r w:rsidRPr="008F62F7">
        <w:t xml:space="preserve">, including with the trade unions. </w:t>
      </w:r>
    </w:p>
    <w:p w14:paraId="61B87471" w14:textId="77777777" w:rsidR="007D5937" w:rsidRPr="008F62F7" w:rsidRDefault="007D5937" w:rsidP="007D5937">
      <w:pPr>
        <w:jc w:val="both"/>
      </w:pPr>
    </w:p>
    <w:p w14:paraId="7C57F5A7" w14:textId="3F8750D1" w:rsidR="007D5937" w:rsidRPr="000243B2" w:rsidRDefault="00E9083D" w:rsidP="3F3B0D43">
      <w:pPr>
        <w:jc w:val="both"/>
      </w:pPr>
      <w:r w:rsidRPr="000243B2">
        <w:t xml:space="preserve">For the budget consultation, an email was sent out on behalf of the county council on </w:t>
      </w:r>
      <w:r w:rsidR="00613C3A" w:rsidRPr="000243B2">
        <w:t>24</w:t>
      </w:r>
      <w:r w:rsidRPr="000243B2">
        <w:t xml:space="preserve"> January 202</w:t>
      </w:r>
      <w:r w:rsidR="00613C3A" w:rsidRPr="000243B2">
        <w:t>2</w:t>
      </w:r>
      <w:r w:rsidRPr="000243B2">
        <w:t xml:space="preserve"> outlining the proposal for Council Tax and </w:t>
      </w:r>
      <w:r>
        <w:t>including the</w:t>
      </w:r>
      <w:r w:rsidRPr="000243B2">
        <w:t xml:space="preserve"> Adult Social Care Precept and containing a link to the relevant reports with respondents then able to e-mail or send in their written feedback. The closing date for the consultation </w:t>
      </w:r>
      <w:r w:rsidR="0069542E" w:rsidRPr="000243B2">
        <w:t>is</w:t>
      </w:r>
      <w:r w:rsidRPr="000243B2">
        <w:t xml:space="preserve"> 1</w:t>
      </w:r>
      <w:r w:rsidR="0069542E" w:rsidRPr="000243B2">
        <w:t>1</w:t>
      </w:r>
      <w:r w:rsidRPr="000243B2">
        <w:t xml:space="preserve"> </w:t>
      </w:r>
      <w:r w:rsidR="0069542E" w:rsidRPr="000243B2">
        <w:t>February</w:t>
      </w:r>
      <w:r w:rsidRPr="000243B2">
        <w:t xml:space="preserve"> 202</w:t>
      </w:r>
      <w:r w:rsidR="0069542E" w:rsidRPr="000243B2">
        <w:t>2</w:t>
      </w:r>
      <w:r w:rsidRPr="000243B2">
        <w:t xml:space="preserve">, and all responses received will be shared </w:t>
      </w:r>
      <w:r w:rsidR="000243B2" w:rsidRPr="000243B2">
        <w:t xml:space="preserve">at the </w:t>
      </w:r>
      <w:r w:rsidRPr="000243B2">
        <w:t>meeting</w:t>
      </w:r>
      <w:r w:rsidR="006A2B55">
        <w:t xml:space="preserve">. </w:t>
      </w:r>
      <w:r>
        <w:t xml:space="preserve">It is </w:t>
      </w:r>
      <w:r w:rsidRPr="000243B2">
        <w:t>recognise</w:t>
      </w:r>
      <w:r>
        <w:t>d</w:t>
      </w:r>
      <w:r w:rsidRPr="000243B2">
        <w:t xml:space="preserve"> that this is a short timeframe to consult, however any responses received after the deadline will still be shared with Members.</w:t>
      </w:r>
    </w:p>
    <w:p w14:paraId="5578095E" w14:textId="77777777" w:rsidR="007D5937" w:rsidRPr="000243B2" w:rsidRDefault="007D5937" w:rsidP="007D5937"/>
    <w:p w14:paraId="790C452B" w14:textId="77777777" w:rsidR="007D5937" w:rsidRPr="008F62F7" w:rsidRDefault="00E9083D" w:rsidP="007D5937">
      <w:pPr>
        <w:pStyle w:val="Heading5"/>
        <w:rPr>
          <w:rFonts w:ascii="Arial" w:hAnsi="Arial"/>
          <w:u w:val="none"/>
        </w:rPr>
      </w:pPr>
      <w:r w:rsidRPr="008F62F7">
        <w:rPr>
          <w:rFonts w:ascii="Arial" w:hAnsi="Arial"/>
          <w:u w:val="none"/>
        </w:rPr>
        <w:t>Local Government (Access to Information) Act 1985</w:t>
      </w:r>
    </w:p>
    <w:p w14:paraId="66C683A5" w14:textId="77777777" w:rsidR="007D5937" w:rsidRPr="008F62F7" w:rsidRDefault="00E9083D" w:rsidP="007D5937">
      <w:pPr>
        <w:pStyle w:val="Heading5"/>
        <w:rPr>
          <w:rFonts w:ascii="Arial" w:hAnsi="Arial"/>
          <w:u w:val="none"/>
        </w:rPr>
      </w:pPr>
      <w:r w:rsidRPr="008F62F7">
        <w:rPr>
          <w:rFonts w:ascii="Arial" w:hAnsi="Arial"/>
          <w:u w:val="none"/>
        </w:rPr>
        <w:t>List of Background Papers</w:t>
      </w:r>
    </w:p>
    <w:p w14:paraId="68B5490D" w14:textId="77777777" w:rsidR="007D5937" w:rsidRPr="00021732" w:rsidRDefault="007D5937" w:rsidP="007D5937">
      <w:pPr>
        <w:rPr>
          <w:highlight w:val="yellow"/>
        </w:rPr>
      </w:pPr>
    </w:p>
    <w:tbl>
      <w:tblPr>
        <w:tblW w:w="9180" w:type="dxa"/>
        <w:tblInd w:w="-108" w:type="dxa"/>
        <w:tblLayout w:type="fixed"/>
        <w:tblLook w:val="0000" w:firstRow="0" w:lastRow="0" w:firstColumn="0" w:lastColumn="0" w:noHBand="0" w:noVBand="0"/>
      </w:tblPr>
      <w:tblGrid>
        <w:gridCol w:w="3227"/>
        <w:gridCol w:w="2775"/>
        <w:gridCol w:w="3178"/>
      </w:tblGrid>
      <w:tr w:rsidR="00FC5064" w14:paraId="7346950D" w14:textId="77777777" w:rsidTr="00E9083D">
        <w:trPr>
          <w:trHeight w:val="113"/>
        </w:trPr>
        <w:tc>
          <w:tcPr>
            <w:tcW w:w="3227" w:type="dxa"/>
          </w:tcPr>
          <w:p w14:paraId="0DC05815" w14:textId="77777777" w:rsidR="007D5937" w:rsidRPr="00080385" w:rsidRDefault="00E9083D" w:rsidP="007D5937">
            <w:pPr>
              <w:pStyle w:val="Heading7"/>
              <w:rPr>
                <w:rFonts w:ascii="Arial" w:hAnsi="Arial"/>
                <w:u w:val="none"/>
              </w:rPr>
            </w:pPr>
            <w:r w:rsidRPr="00080385">
              <w:rPr>
                <w:rFonts w:ascii="Arial" w:hAnsi="Arial"/>
                <w:u w:val="none"/>
              </w:rPr>
              <w:t>Paper</w:t>
            </w:r>
          </w:p>
        </w:tc>
        <w:tc>
          <w:tcPr>
            <w:tcW w:w="2775" w:type="dxa"/>
          </w:tcPr>
          <w:p w14:paraId="26FFE7BC" w14:textId="77777777" w:rsidR="007D5937" w:rsidRPr="00080385" w:rsidRDefault="00E9083D" w:rsidP="007D5937">
            <w:pPr>
              <w:pStyle w:val="Heading7"/>
              <w:rPr>
                <w:rFonts w:ascii="Arial" w:hAnsi="Arial"/>
                <w:u w:val="none"/>
              </w:rPr>
            </w:pPr>
            <w:r w:rsidRPr="00080385">
              <w:rPr>
                <w:rFonts w:ascii="Arial" w:hAnsi="Arial"/>
                <w:u w:val="none"/>
              </w:rPr>
              <w:t>Date</w:t>
            </w:r>
          </w:p>
        </w:tc>
        <w:tc>
          <w:tcPr>
            <w:tcW w:w="3178" w:type="dxa"/>
          </w:tcPr>
          <w:p w14:paraId="4269E36D" w14:textId="1D1E2E4B" w:rsidR="00E9083D" w:rsidRPr="00E9083D" w:rsidRDefault="00E9083D" w:rsidP="00E9083D">
            <w:pPr>
              <w:pStyle w:val="Heading7"/>
              <w:rPr>
                <w:rFonts w:ascii="Arial" w:hAnsi="Arial"/>
                <w:u w:val="none"/>
              </w:rPr>
            </w:pPr>
            <w:r w:rsidRPr="00080385">
              <w:rPr>
                <w:rFonts w:ascii="Arial" w:hAnsi="Arial"/>
                <w:u w:val="none"/>
              </w:rPr>
              <w:t>Contact/</w:t>
            </w:r>
            <w:r>
              <w:rPr>
                <w:rFonts w:ascii="Arial" w:hAnsi="Arial"/>
                <w:u w:val="none"/>
              </w:rPr>
              <w:t>Tel</w:t>
            </w:r>
          </w:p>
        </w:tc>
      </w:tr>
    </w:tbl>
    <w:p w14:paraId="75D1065C" w14:textId="77777777" w:rsidR="007D5937" w:rsidRDefault="007D5937" w:rsidP="00E9083D">
      <w:pPr>
        <w:sectPr w:rsidR="007D5937">
          <w:footerReference w:type="default" r:id="rId11"/>
          <w:footerReference w:type="first" r:id="rId12"/>
          <w:type w:val="continuous"/>
          <w:pgSz w:w="11907" w:h="16840" w:code="9"/>
          <w:pgMar w:top="1440" w:right="1440" w:bottom="1440" w:left="1440" w:header="720" w:footer="306" w:gutter="0"/>
          <w:paperSrc w:first="7" w:other="7"/>
          <w:cols w:space="720"/>
          <w:titlePg/>
        </w:sectPr>
      </w:pPr>
    </w:p>
    <w:tbl>
      <w:tblPr>
        <w:tblW w:w="0" w:type="auto"/>
        <w:tblInd w:w="-108" w:type="dxa"/>
        <w:tblLayout w:type="fixed"/>
        <w:tblLook w:val="0000" w:firstRow="0" w:lastRow="0" w:firstColumn="0" w:lastColumn="0" w:noHBand="0" w:noVBand="0"/>
      </w:tblPr>
      <w:tblGrid>
        <w:gridCol w:w="3009"/>
        <w:gridCol w:w="2588"/>
        <w:gridCol w:w="2964"/>
      </w:tblGrid>
      <w:tr w:rsidR="00FC5064" w14:paraId="27D84A5A" w14:textId="77777777" w:rsidTr="00E9083D">
        <w:trPr>
          <w:trHeight w:val="503"/>
        </w:trPr>
        <w:tc>
          <w:tcPr>
            <w:tcW w:w="3009" w:type="dxa"/>
            <w:shd w:val="clear" w:color="auto" w:fill="auto"/>
          </w:tcPr>
          <w:p w14:paraId="39C30C90" w14:textId="160D98CB" w:rsidR="007D5937" w:rsidRPr="003B25BF" w:rsidRDefault="00E9083D" w:rsidP="007D5937">
            <w:r>
              <w:t>None</w:t>
            </w:r>
          </w:p>
        </w:tc>
        <w:tc>
          <w:tcPr>
            <w:tcW w:w="2588" w:type="dxa"/>
            <w:shd w:val="clear" w:color="auto" w:fill="auto"/>
          </w:tcPr>
          <w:p w14:paraId="0AC5C642" w14:textId="77777777" w:rsidR="007D5937" w:rsidRPr="00080385" w:rsidRDefault="007D5937" w:rsidP="007D5937"/>
          <w:p w14:paraId="60539290" w14:textId="77777777" w:rsidR="007D5937" w:rsidRPr="00080385" w:rsidRDefault="007D5937" w:rsidP="007D5937"/>
        </w:tc>
        <w:tc>
          <w:tcPr>
            <w:tcW w:w="2964" w:type="dxa"/>
            <w:shd w:val="clear" w:color="auto" w:fill="auto"/>
          </w:tcPr>
          <w:p w14:paraId="012A8E2F" w14:textId="77777777" w:rsidR="007D5937" w:rsidRPr="00080385" w:rsidRDefault="007D5937" w:rsidP="007D5937"/>
          <w:p w14:paraId="589D5BD1" w14:textId="77777777" w:rsidR="007D5937" w:rsidRPr="00080385" w:rsidRDefault="007D5937" w:rsidP="007D5937"/>
        </w:tc>
      </w:tr>
    </w:tbl>
    <w:p w14:paraId="0A216075" w14:textId="77777777" w:rsidR="007D5937" w:rsidRDefault="00E9083D" w:rsidP="007D5937">
      <w:r>
        <w:t>Reason for inclusion in Part II, if appropriate</w:t>
      </w:r>
    </w:p>
    <w:p w14:paraId="3D7E2233" w14:textId="77777777" w:rsidR="007D5937" w:rsidRDefault="007D5937" w:rsidP="007D5937"/>
    <w:p w14:paraId="2AF2D31F" w14:textId="77777777" w:rsidR="007D5937" w:rsidRPr="004A56F5" w:rsidRDefault="00E9083D" w:rsidP="007D5937">
      <w:r>
        <w:t>N/A</w:t>
      </w:r>
    </w:p>
    <w:sectPr w:rsidR="007D5937" w:rsidRPr="004A56F5">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C052" w14:textId="77777777" w:rsidR="00CE2176" w:rsidRDefault="00E9083D">
      <w:r>
        <w:separator/>
      </w:r>
    </w:p>
  </w:endnote>
  <w:endnote w:type="continuationSeparator" w:id="0">
    <w:p w14:paraId="0DF046E9" w14:textId="77777777" w:rsidR="00CE2176" w:rsidRDefault="00E9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5064" w14:paraId="658E6D45" w14:textId="77777777">
      <w:tc>
        <w:tcPr>
          <w:tcW w:w="9243" w:type="dxa"/>
          <w:tcBorders>
            <w:top w:val="nil"/>
            <w:left w:val="nil"/>
            <w:bottom w:val="nil"/>
            <w:right w:val="nil"/>
          </w:tcBorders>
        </w:tcPr>
        <w:p w14:paraId="1A66671C" w14:textId="77777777" w:rsidR="007D5937" w:rsidRDefault="007D5937">
          <w:pPr>
            <w:pStyle w:val="Footer"/>
            <w:tabs>
              <w:tab w:val="clear" w:pos="4153"/>
            </w:tabs>
            <w:ind w:right="-45"/>
            <w:jc w:val="right"/>
          </w:pPr>
        </w:p>
      </w:tc>
    </w:tr>
  </w:tbl>
  <w:p w14:paraId="2402D093" w14:textId="77777777" w:rsidR="007D5937" w:rsidRDefault="007D5937">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5064" w14:paraId="27B84F2E" w14:textId="77777777">
      <w:tc>
        <w:tcPr>
          <w:tcW w:w="9243" w:type="dxa"/>
          <w:tcBorders>
            <w:top w:val="nil"/>
            <w:left w:val="nil"/>
            <w:bottom w:val="nil"/>
            <w:right w:val="nil"/>
          </w:tcBorders>
        </w:tcPr>
        <w:p w14:paraId="2DA82C4D" w14:textId="77777777" w:rsidR="007D5937" w:rsidRDefault="00E9083D">
          <w:pPr>
            <w:pStyle w:val="Footer"/>
            <w:tabs>
              <w:tab w:val="clear" w:pos="4153"/>
            </w:tabs>
            <w:ind w:right="-45"/>
            <w:jc w:val="right"/>
          </w:pPr>
          <w:r>
            <w:rPr>
              <w:noProof/>
            </w:rPr>
            <w:drawing>
              <wp:inline distT="0" distB="0" distL="0" distR="0" wp14:anchorId="5EEC7397" wp14:editId="301B635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85583"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rsidR="00BD3D58">
            <w:t>.</w:t>
          </w:r>
        </w:p>
      </w:tc>
    </w:tr>
  </w:tbl>
  <w:p w14:paraId="64C25CF1" w14:textId="77777777" w:rsidR="007D5937" w:rsidRDefault="007D5937">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28E0" w14:textId="77777777" w:rsidR="00CE2176" w:rsidRDefault="00E9083D">
      <w:r>
        <w:separator/>
      </w:r>
    </w:p>
  </w:footnote>
  <w:footnote w:type="continuationSeparator" w:id="0">
    <w:p w14:paraId="3C90F73E" w14:textId="77777777" w:rsidR="00CE2176" w:rsidRDefault="00E90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F70"/>
    <w:multiLevelType w:val="hybridMultilevel"/>
    <w:tmpl w:val="248086B8"/>
    <w:lvl w:ilvl="0" w:tplc="FD0EA85E">
      <w:start w:val="1"/>
      <w:numFmt w:val="decimal"/>
      <w:lvlText w:val="%1."/>
      <w:lvlJc w:val="left"/>
      <w:pPr>
        <w:ind w:left="720" w:hanging="360"/>
      </w:pPr>
    </w:lvl>
    <w:lvl w:ilvl="1" w:tplc="D00846A2" w:tentative="1">
      <w:start w:val="1"/>
      <w:numFmt w:val="lowerLetter"/>
      <w:lvlText w:val="%2."/>
      <w:lvlJc w:val="left"/>
      <w:pPr>
        <w:ind w:left="1440" w:hanging="360"/>
      </w:pPr>
    </w:lvl>
    <w:lvl w:ilvl="2" w:tplc="0D3CFE52" w:tentative="1">
      <w:start w:val="1"/>
      <w:numFmt w:val="lowerRoman"/>
      <w:lvlText w:val="%3."/>
      <w:lvlJc w:val="right"/>
      <w:pPr>
        <w:ind w:left="2160" w:hanging="180"/>
      </w:pPr>
    </w:lvl>
    <w:lvl w:ilvl="3" w:tplc="3D10F1FA" w:tentative="1">
      <w:start w:val="1"/>
      <w:numFmt w:val="decimal"/>
      <w:lvlText w:val="%4."/>
      <w:lvlJc w:val="left"/>
      <w:pPr>
        <w:ind w:left="2880" w:hanging="360"/>
      </w:pPr>
    </w:lvl>
    <w:lvl w:ilvl="4" w:tplc="87EE1710" w:tentative="1">
      <w:start w:val="1"/>
      <w:numFmt w:val="lowerLetter"/>
      <w:lvlText w:val="%5."/>
      <w:lvlJc w:val="left"/>
      <w:pPr>
        <w:ind w:left="3600" w:hanging="360"/>
      </w:pPr>
    </w:lvl>
    <w:lvl w:ilvl="5" w:tplc="192289E4" w:tentative="1">
      <w:start w:val="1"/>
      <w:numFmt w:val="lowerRoman"/>
      <w:lvlText w:val="%6."/>
      <w:lvlJc w:val="right"/>
      <w:pPr>
        <w:ind w:left="4320" w:hanging="180"/>
      </w:pPr>
    </w:lvl>
    <w:lvl w:ilvl="6" w:tplc="9A0C35F4" w:tentative="1">
      <w:start w:val="1"/>
      <w:numFmt w:val="decimal"/>
      <w:lvlText w:val="%7."/>
      <w:lvlJc w:val="left"/>
      <w:pPr>
        <w:ind w:left="5040" w:hanging="360"/>
      </w:pPr>
    </w:lvl>
    <w:lvl w:ilvl="7" w:tplc="57FE443E" w:tentative="1">
      <w:start w:val="1"/>
      <w:numFmt w:val="lowerLetter"/>
      <w:lvlText w:val="%8."/>
      <w:lvlJc w:val="left"/>
      <w:pPr>
        <w:ind w:left="5760" w:hanging="360"/>
      </w:pPr>
    </w:lvl>
    <w:lvl w:ilvl="8" w:tplc="883AC31E" w:tentative="1">
      <w:start w:val="1"/>
      <w:numFmt w:val="lowerRoman"/>
      <w:lvlText w:val="%9."/>
      <w:lvlJc w:val="right"/>
      <w:pPr>
        <w:ind w:left="6480" w:hanging="180"/>
      </w:pPr>
    </w:lvl>
  </w:abstractNum>
  <w:abstractNum w:abstractNumId="1" w15:restartNumberingAfterBreak="0">
    <w:nsid w:val="13420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D51256"/>
    <w:multiLevelType w:val="hybridMultilevel"/>
    <w:tmpl w:val="742E944A"/>
    <w:lvl w:ilvl="0" w:tplc="0C882258">
      <w:start w:val="1"/>
      <w:numFmt w:val="lowerLetter"/>
      <w:lvlText w:val="%1)"/>
      <w:lvlJc w:val="left"/>
      <w:pPr>
        <w:ind w:left="720" w:hanging="360"/>
      </w:pPr>
      <w:rPr>
        <w:rFonts w:hint="default"/>
      </w:rPr>
    </w:lvl>
    <w:lvl w:ilvl="1" w:tplc="0590B4EE" w:tentative="1">
      <w:start w:val="1"/>
      <w:numFmt w:val="lowerLetter"/>
      <w:lvlText w:val="%2."/>
      <w:lvlJc w:val="left"/>
      <w:pPr>
        <w:ind w:left="1440" w:hanging="360"/>
      </w:pPr>
    </w:lvl>
    <w:lvl w:ilvl="2" w:tplc="95EAB932" w:tentative="1">
      <w:start w:val="1"/>
      <w:numFmt w:val="lowerRoman"/>
      <w:lvlText w:val="%3."/>
      <w:lvlJc w:val="right"/>
      <w:pPr>
        <w:ind w:left="2160" w:hanging="180"/>
      </w:pPr>
    </w:lvl>
    <w:lvl w:ilvl="3" w:tplc="6332D2BC" w:tentative="1">
      <w:start w:val="1"/>
      <w:numFmt w:val="decimal"/>
      <w:lvlText w:val="%4."/>
      <w:lvlJc w:val="left"/>
      <w:pPr>
        <w:ind w:left="2880" w:hanging="360"/>
      </w:pPr>
    </w:lvl>
    <w:lvl w:ilvl="4" w:tplc="1EC85300" w:tentative="1">
      <w:start w:val="1"/>
      <w:numFmt w:val="lowerLetter"/>
      <w:lvlText w:val="%5."/>
      <w:lvlJc w:val="left"/>
      <w:pPr>
        <w:ind w:left="3600" w:hanging="360"/>
      </w:pPr>
    </w:lvl>
    <w:lvl w:ilvl="5" w:tplc="ACE67B34" w:tentative="1">
      <w:start w:val="1"/>
      <w:numFmt w:val="lowerRoman"/>
      <w:lvlText w:val="%6."/>
      <w:lvlJc w:val="right"/>
      <w:pPr>
        <w:ind w:left="4320" w:hanging="180"/>
      </w:pPr>
    </w:lvl>
    <w:lvl w:ilvl="6" w:tplc="16947DF2" w:tentative="1">
      <w:start w:val="1"/>
      <w:numFmt w:val="decimal"/>
      <w:lvlText w:val="%7."/>
      <w:lvlJc w:val="left"/>
      <w:pPr>
        <w:ind w:left="5040" w:hanging="360"/>
      </w:pPr>
    </w:lvl>
    <w:lvl w:ilvl="7" w:tplc="0E1C8B06" w:tentative="1">
      <w:start w:val="1"/>
      <w:numFmt w:val="lowerLetter"/>
      <w:lvlText w:val="%8."/>
      <w:lvlJc w:val="left"/>
      <w:pPr>
        <w:ind w:left="5760" w:hanging="360"/>
      </w:pPr>
    </w:lvl>
    <w:lvl w:ilvl="8" w:tplc="F07EB118" w:tentative="1">
      <w:start w:val="1"/>
      <w:numFmt w:val="lowerRoman"/>
      <w:lvlText w:val="%9."/>
      <w:lvlJc w:val="right"/>
      <w:pPr>
        <w:ind w:left="6480" w:hanging="180"/>
      </w:pPr>
    </w:lvl>
  </w:abstractNum>
  <w:abstractNum w:abstractNumId="3"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2E524041"/>
    <w:multiLevelType w:val="hybridMultilevel"/>
    <w:tmpl w:val="9BFA6F6C"/>
    <w:lvl w:ilvl="0" w:tplc="DD4ADF32">
      <w:start w:val="1"/>
      <w:numFmt w:val="bullet"/>
      <w:lvlText w:val=""/>
      <w:lvlJc w:val="left"/>
      <w:pPr>
        <w:ind w:left="720" w:hanging="360"/>
      </w:pPr>
      <w:rPr>
        <w:rFonts w:ascii="Symbol" w:hAnsi="Symbol" w:hint="default"/>
      </w:rPr>
    </w:lvl>
    <w:lvl w:ilvl="1" w:tplc="434073E0" w:tentative="1">
      <w:start w:val="1"/>
      <w:numFmt w:val="bullet"/>
      <w:lvlText w:val="o"/>
      <w:lvlJc w:val="left"/>
      <w:pPr>
        <w:ind w:left="1440" w:hanging="360"/>
      </w:pPr>
      <w:rPr>
        <w:rFonts w:ascii="Courier New" w:hAnsi="Courier New" w:cs="Courier New" w:hint="default"/>
      </w:rPr>
    </w:lvl>
    <w:lvl w:ilvl="2" w:tplc="FCF28A12" w:tentative="1">
      <w:start w:val="1"/>
      <w:numFmt w:val="bullet"/>
      <w:lvlText w:val=""/>
      <w:lvlJc w:val="left"/>
      <w:pPr>
        <w:ind w:left="2160" w:hanging="360"/>
      </w:pPr>
      <w:rPr>
        <w:rFonts w:ascii="Wingdings" w:hAnsi="Wingdings" w:hint="default"/>
      </w:rPr>
    </w:lvl>
    <w:lvl w:ilvl="3" w:tplc="6630D9A4" w:tentative="1">
      <w:start w:val="1"/>
      <w:numFmt w:val="bullet"/>
      <w:lvlText w:val=""/>
      <w:lvlJc w:val="left"/>
      <w:pPr>
        <w:ind w:left="2880" w:hanging="360"/>
      </w:pPr>
      <w:rPr>
        <w:rFonts w:ascii="Symbol" w:hAnsi="Symbol" w:hint="default"/>
      </w:rPr>
    </w:lvl>
    <w:lvl w:ilvl="4" w:tplc="E38E5562" w:tentative="1">
      <w:start w:val="1"/>
      <w:numFmt w:val="bullet"/>
      <w:lvlText w:val="o"/>
      <w:lvlJc w:val="left"/>
      <w:pPr>
        <w:ind w:left="3600" w:hanging="360"/>
      </w:pPr>
      <w:rPr>
        <w:rFonts w:ascii="Courier New" w:hAnsi="Courier New" w:cs="Courier New" w:hint="default"/>
      </w:rPr>
    </w:lvl>
    <w:lvl w:ilvl="5" w:tplc="F1E8D3E0" w:tentative="1">
      <w:start w:val="1"/>
      <w:numFmt w:val="bullet"/>
      <w:lvlText w:val=""/>
      <w:lvlJc w:val="left"/>
      <w:pPr>
        <w:ind w:left="4320" w:hanging="360"/>
      </w:pPr>
      <w:rPr>
        <w:rFonts w:ascii="Wingdings" w:hAnsi="Wingdings" w:hint="default"/>
      </w:rPr>
    </w:lvl>
    <w:lvl w:ilvl="6" w:tplc="EC203F82" w:tentative="1">
      <w:start w:val="1"/>
      <w:numFmt w:val="bullet"/>
      <w:lvlText w:val=""/>
      <w:lvlJc w:val="left"/>
      <w:pPr>
        <w:ind w:left="5040" w:hanging="360"/>
      </w:pPr>
      <w:rPr>
        <w:rFonts w:ascii="Symbol" w:hAnsi="Symbol" w:hint="default"/>
      </w:rPr>
    </w:lvl>
    <w:lvl w:ilvl="7" w:tplc="BB80A9C0" w:tentative="1">
      <w:start w:val="1"/>
      <w:numFmt w:val="bullet"/>
      <w:lvlText w:val="o"/>
      <w:lvlJc w:val="left"/>
      <w:pPr>
        <w:ind w:left="5760" w:hanging="360"/>
      </w:pPr>
      <w:rPr>
        <w:rFonts w:ascii="Courier New" w:hAnsi="Courier New" w:cs="Courier New" w:hint="default"/>
      </w:rPr>
    </w:lvl>
    <w:lvl w:ilvl="8" w:tplc="B0320FDE" w:tentative="1">
      <w:start w:val="1"/>
      <w:numFmt w:val="bullet"/>
      <w:lvlText w:val=""/>
      <w:lvlJc w:val="left"/>
      <w:pPr>
        <w:ind w:left="6480" w:hanging="360"/>
      </w:pPr>
      <w:rPr>
        <w:rFonts w:ascii="Wingdings" w:hAnsi="Wingdings" w:hint="default"/>
      </w:rPr>
    </w:lvl>
  </w:abstractNum>
  <w:abstractNum w:abstractNumId="5" w15:restartNumberingAfterBreak="0">
    <w:nsid w:val="3DC6052B"/>
    <w:multiLevelType w:val="hybridMultilevel"/>
    <w:tmpl w:val="FD4CF25E"/>
    <w:lvl w:ilvl="0" w:tplc="DD4A06D0">
      <w:start w:val="1"/>
      <w:numFmt w:val="bullet"/>
      <w:lvlText w:val=""/>
      <w:lvlJc w:val="left"/>
      <w:pPr>
        <w:ind w:left="720" w:hanging="360"/>
      </w:pPr>
      <w:rPr>
        <w:rFonts w:ascii="Symbol" w:hAnsi="Symbol" w:hint="default"/>
      </w:rPr>
    </w:lvl>
    <w:lvl w:ilvl="1" w:tplc="B4629D2A" w:tentative="1">
      <w:start w:val="1"/>
      <w:numFmt w:val="bullet"/>
      <w:lvlText w:val="o"/>
      <w:lvlJc w:val="left"/>
      <w:pPr>
        <w:ind w:left="1440" w:hanging="360"/>
      </w:pPr>
      <w:rPr>
        <w:rFonts w:ascii="Courier New" w:hAnsi="Courier New" w:cs="Courier New" w:hint="default"/>
      </w:rPr>
    </w:lvl>
    <w:lvl w:ilvl="2" w:tplc="01D49110" w:tentative="1">
      <w:start w:val="1"/>
      <w:numFmt w:val="bullet"/>
      <w:lvlText w:val=""/>
      <w:lvlJc w:val="left"/>
      <w:pPr>
        <w:ind w:left="2160" w:hanging="360"/>
      </w:pPr>
      <w:rPr>
        <w:rFonts w:ascii="Wingdings" w:hAnsi="Wingdings" w:hint="default"/>
      </w:rPr>
    </w:lvl>
    <w:lvl w:ilvl="3" w:tplc="A202B92C" w:tentative="1">
      <w:start w:val="1"/>
      <w:numFmt w:val="bullet"/>
      <w:lvlText w:val=""/>
      <w:lvlJc w:val="left"/>
      <w:pPr>
        <w:ind w:left="2880" w:hanging="360"/>
      </w:pPr>
      <w:rPr>
        <w:rFonts w:ascii="Symbol" w:hAnsi="Symbol" w:hint="default"/>
      </w:rPr>
    </w:lvl>
    <w:lvl w:ilvl="4" w:tplc="42BCA2B2" w:tentative="1">
      <w:start w:val="1"/>
      <w:numFmt w:val="bullet"/>
      <w:lvlText w:val="o"/>
      <w:lvlJc w:val="left"/>
      <w:pPr>
        <w:ind w:left="3600" w:hanging="360"/>
      </w:pPr>
      <w:rPr>
        <w:rFonts w:ascii="Courier New" w:hAnsi="Courier New" w:cs="Courier New" w:hint="default"/>
      </w:rPr>
    </w:lvl>
    <w:lvl w:ilvl="5" w:tplc="07627E64" w:tentative="1">
      <w:start w:val="1"/>
      <w:numFmt w:val="bullet"/>
      <w:lvlText w:val=""/>
      <w:lvlJc w:val="left"/>
      <w:pPr>
        <w:ind w:left="4320" w:hanging="360"/>
      </w:pPr>
      <w:rPr>
        <w:rFonts w:ascii="Wingdings" w:hAnsi="Wingdings" w:hint="default"/>
      </w:rPr>
    </w:lvl>
    <w:lvl w:ilvl="6" w:tplc="2E061C30" w:tentative="1">
      <w:start w:val="1"/>
      <w:numFmt w:val="bullet"/>
      <w:lvlText w:val=""/>
      <w:lvlJc w:val="left"/>
      <w:pPr>
        <w:ind w:left="5040" w:hanging="360"/>
      </w:pPr>
      <w:rPr>
        <w:rFonts w:ascii="Symbol" w:hAnsi="Symbol" w:hint="default"/>
      </w:rPr>
    </w:lvl>
    <w:lvl w:ilvl="7" w:tplc="CCDE15E8" w:tentative="1">
      <w:start w:val="1"/>
      <w:numFmt w:val="bullet"/>
      <w:lvlText w:val="o"/>
      <w:lvlJc w:val="left"/>
      <w:pPr>
        <w:ind w:left="5760" w:hanging="360"/>
      </w:pPr>
      <w:rPr>
        <w:rFonts w:ascii="Courier New" w:hAnsi="Courier New" w:cs="Courier New" w:hint="default"/>
      </w:rPr>
    </w:lvl>
    <w:lvl w:ilvl="8" w:tplc="B0621632" w:tentative="1">
      <w:start w:val="1"/>
      <w:numFmt w:val="bullet"/>
      <w:lvlText w:val=""/>
      <w:lvlJc w:val="left"/>
      <w:pPr>
        <w:ind w:left="6480" w:hanging="360"/>
      </w:pPr>
      <w:rPr>
        <w:rFonts w:ascii="Wingdings" w:hAnsi="Wingdings" w:hint="default"/>
      </w:rPr>
    </w:lvl>
  </w:abstractNum>
  <w:abstractNum w:abstractNumId="6" w15:restartNumberingAfterBreak="0">
    <w:nsid w:val="59A83ADE"/>
    <w:multiLevelType w:val="hybridMultilevel"/>
    <w:tmpl w:val="74149B3A"/>
    <w:lvl w:ilvl="0" w:tplc="6E787568">
      <w:start w:val="1"/>
      <w:numFmt w:val="decimal"/>
      <w:lvlText w:val="%1."/>
      <w:lvlJc w:val="left"/>
      <w:pPr>
        <w:ind w:left="720" w:hanging="360"/>
      </w:pPr>
    </w:lvl>
    <w:lvl w:ilvl="1" w:tplc="A89C0458" w:tentative="1">
      <w:start w:val="1"/>
      <w:numFmt w:val="lowerLetter"/>
      <w:lvlText w:val="%2."/>
      <w:lvlJc w:val="left"/>
      <w:pPr>
        <w:ind w:left="1440" w:hanging="360"/>
      </w:pPr>
    </w:lvl>
    <w:lvl w:ilvl="2" w:tplc="F07683BE" w:tentative="1">
      <w:start w:val="1"/>
      <w:numFmt w:val="lowerRoman"/>
      <w:lvlText w:val="%3."/>
      <w:lvlJc w:val="right"/>
      <w:pPr>
        <w:ind w:left="2160" w:hanging="180"/>
      </w:pPr>
    </w:lvl>
    <w:lvl w:ilvl="3" w:tplc="962A3A04" w:tentative="1">
      <w:start w:val="1"/>
      <w:numFmt w:val="decimal"/>
      <w:lvlText w:val="%4."/>
      <w:lvlJc w:val="left"/>
      <w:pPr>
        <w:ind w:left="2880" w:hanging="360"/>
      </w:pPr>
    </w:lvl>
    <w:lvl w:ilvl="4" w:tplc="05B67F34" w:tentative="1">
      <w:start w:val="1"/>
      <w:numFmt w:val="lowerLetter"/>
      <w:lvlText w:val="%5."/>
      <w:lvlJc w:val="left"/>
      <w:pPr>
        <w:ind w:left="3600" w:hanging="360"/>
      </w:pPr>
    </w:lvl>
    <w:lvl w:ilvl="5" w:tplc="8A2E77F6" w:tentative="1">
      <w:start w:val="1"/>
      <w:numFmt w:val="lowerRoman"/>
      <w:lvlText w:val="%6."/>
      <w:lvlJc w:val="right"/>
      <w:pPr>
        <w:ind w:left="4320" w:hanging="180"/>
      </w:pPr>
    </w:lvl>
    <w:lvl w:ilvl="6" w:tplc="8FEE3D68" w:tentative="1">
      <w:start w:val="1"/>
      <w:numFmt w:val="decimal"/>
      <w:lvlText w:val="%7."/>
      <w:lvlJc w:val="left"/>
      <w:pPr>
        <w:ind w:left="5040" w:hanging="360"/>
      </w:pPr>
    </w:lvl>
    <w:lvl w:ilvl="7" w:tplc="1AA213B4" w:tentative="1">
      <w:start w:val="1"/>
      <w:numFmt w:val="lowerLetter"/>
      <w:lvlText w:val="%8."/>
      <w:lvlJc w:val="left"/>
      <w:pPr>
        <w:ind w:left="5760" w:hanging="360"/>
      </w:pPr>
    </w:lvl>
    <w:lvl w:ilvl="8" w:tplc="5BAA1CD2" w:tentative="1">
      <w:start w:val="1"/>
      <w:numFmt w:val="lowerRoman"/>
      <w:lvlText w:val="%9."/>
      <w:lvlJc w:val="right"/>
      <w:pPr>
        <w:ind w:left="6480" w:hanging="180"/>
      </w:pPr>
    </w:lvl>
  </w:abstractNum>
  <w:abstractNum w:abstractNumId="7" w15:restartNumberingAfterBreak="0">
    <w:nsid w:val="684F694C"/>
    <w:multiLevelType w:val="hybridMultilevel"/>
    <w:tmpl w:val="939AF01E"/>
    <w:lvl w:ilvl="0" w:tplc="5290F1E4">
      <w:start w:val="3"/>
      <w:numFmt w:val="lowerLetter"/>
      <w:lvlText w:val="%1)"/>
      <w:lvlJc w:val="left"/>
      <w:pPr>
        <w:ind w:left="720" w:hanging="360"/>
      </w:pPr>
      <w:rPr>
        <w:rFonts w:cs="Times New Roman" w:hint="default"/>
      </w:rPr>
    </w:lvl>
    <w:lvl w:ilvl="1" w:tplc="55E46788" w:tentative="1">
      <w:start w:val="1"/>
      <w:numFmt w:val="lowerLetter"/>
      <w:lvlText w:val="%2."/>
      <w:lvlJc w:val="left"/>
      <w:pPr>
        <w:ind w:left="1440" w:hanging="360"/>
      </w:pPr>
      <w:rPr>
        <w:rFonts w:cs="Times New Roman"/>
      </w:rPr>
    </w:lvl>
    <w:lvl w:ilvl="2" w:tplc="67F2143C" w:tentative="1">
      <w:start w:val="1"/>
      <w:numFmt w:val="lowerRoman"/>
      <w:lvlText w:val="%3."/>
      <w:lvlJc w:val="right"/>
      <w:pPr>
        <w:ind w:left="2160" w:hanging="180"/>
      </w:pPr>
      <w:rPr>
        <w:rFonts w:cs="Times New Roman"/>
      </w:rPr>
    </w:lvl>
    <w:lvl w:ilvl="3" w:tplc="92EE5148" w:tentative="1">
      <w:start w:val="1"/>
      <w:numFmt w:val="decimal"/>
      <w:lvlText w:val="%4."/>
      <w:lvlJc w:val="left"/>
      <w:pPr>
        <w:ind w:left="2880" w:hanging="360"/>
      </w:pPr>
      <w:rPr>
        <w:rFonts w:cs="Times New Roman"/>
      </w:rPr>
    </w:lvl>
    <w:lvl w:ilvl="4" w:tplc="CBDE8DFC" w:tentative="1">
      <w:start w:val="1"/>
      <w:numFmt w:val="lowerLetter"/>
      <w:lvlText w:val="%5."/>
      <w:lvlJc w:val="left"/>
      <w:pPr>
        <w:ind w:left="3600" w:hanging="360"/>
      </w:pPr>
      <w:rPr>
        <w:rFonts w:cs="Times New Roman"/>
      </w:rPr>
    </w:lvl>
    <w:lvl w:ilvl="5" w:tplc="A8C29F2A" w:tentative="1">
      <w:start w:val="1"/>
      <w:numFmt w:val="lowerRoman"/>
      <w:lvlText w:val="%6."/>
      <w:lvlJc w:val="right"/>
      <w:pPr>
        <w:ind w:left="4320" w:hanging="180"/>
      </w:pPr>
      <w:rPr>
        <w:rFonts w:cs="Times New Roman"/>
      </w:rPr>
    </w:lvl>
    <w:lvl w:ilvl="6" w:tplc="7422D270" w:tentative="1">
      <w:start w:val="1"/>
      <w:numFmt w:val="decimal"/>
      <w:lvlText w:val="%7."/>
      <w:lvlJc w:val="left"/>
      <w:pPr>
        <w:ind w:left="5040" w:hanging="360"/>
      </w:pPr>
      <w:rPr>
        <w:rFonts w:cs="Times New Roman"/>
      </w:rPr>
    </w:lvl>
    <w:lvl w:ilvl="7" w:tplc="9E7EE5EE" w:tentative="1">
      <w:start w:val="1"/>
      <w:numFmt w:val="lowerLetter"/>
      <w:lvlText w:val="%8."/>
      <w:lvlJc w:val="left"/>
      <w:pPr>
        <w:ind w:left="5760" w:hanging="360"/>
      </w:pPr>
      <w:rPr>
        <w:rFonts w:cs="Times New Roman"/>
      </w:rPr>
    </w:lvl>
    <w:lvl w:ilvl="8" w:tplc="5CA0BA58"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5"/>
    <w:rsid w:val="00012671"/>
    <w:rsid w:val="00020E4D"/>
    <w:rsid w:val="00021732"/>
    <w:rsid w:val="000243B2"/>
    <w:rsid w:val="00041FC2"/>
    <w:rsid w:val="00053A6B"/>
    <w:rsid w:val="00080385"/>
    <w:rsid w:val="00097AC8"/>
    <w:rsid w:val="000A7AEC"/>
    <w:rsid w:val="000B2644"/>
    <w:rsid w:val="000C2439"/>
    <w:rsid w:val="000D2288"/>
    <w:rsid w:val="000D795A"/>
    <w:rsid w:val="000E02D3"/>
    <w:rsid w:val="000E5C88"/>
    <w:rsid w:val="000E6E40"/>
    <w:rsid w:val="000E7EA0"/>
    <w:rsid w:val="0011539D"/>
    <w:rsid w:val="00134344"/>
    <w:rsid w:val="00170E84"/>
    <w:rsid w:val="001A4F65"/>
    <w:rsid w:val="001A62D8"/>
    <w:rsid w:val="001B79D8"/>
    <w:rsid w:val="001C73C8"/>
    <w:rsid w:val="001D7095"/>
    <w:rsid w:val="001F56AA"/>
    <w:rsid w:val="00202975"/>
    <w:rsid w:val="00237727"/>
    <w:rsid w:val="002525C2"/>
    <w:rsid w:val="00276341"/>
    <w:rsid w:val="00277ECE"/>
    <w:rsid w:val="002A6EE1"/>
    <w:rsid w:val="002C5CF7"/>
    <w:rsid w:val="002D3323"/>
    <w:rsid w:val="002E4F72"/>
    <w:rsid w:val="0030675D"/>
    <w:rsid w:val="00353689"/>
    <w:rsid w:val="003772A4"/>
    <w:rsid w:val="00393745"/>
    <w:rsid w:val="0039418B"/>
    <w:rsid w:val="003B25BF"/>
    <w:rsid w:val="003D2EDF"/>
    <w:rsid w:val="003E06CE"/>
    <w:rsid w:val="003F0BBE"/>
    <w:rsid w:val="0040369A"/>
    <w:rsid w:val="0043296F"/>
    <w:rsid w:val="00445FAF"/>
    <w:rsid w:val="004834EB"/>
    <w:rsid w:val="00492636"/>
    <w:rsid w:val="004A56F5"/>
    <w:rsid w:val="004B269F"/>
    <w:rsid w:val="004D63CD"/>
    <w:rsid w:val="005049C5"/>
    <w:rsid w:val="005060AF"/>
    <w:rsid w:val="005159C3"/>
    <w:rsid w:val="00567240"/>
    <w:rsid w:val="00577D28"/>
    <w:rsid w:val="0058529E"/>
    <w:rsid w:val="0059533D"/>
    <w:rsid w:val="005B6894"/>
    <w:rsid w:val="005E3643"/>
    <w:rsid w:val="005F1345"/>
    <w:rsid w:val="0060074D"/>
    <w:rsid w:val="00601BF8"/>
    <w:rsid w:val="00613C3A"/>
    <w:rsid w:val="006234D3"/>
    <w:rsid w:val="006618CD"/>
    <w:rsid w:val="006644A2"/>
    <w:rsid w:val="006665BA"/>
    <w:rsid w:val="00673546"/>
    <w:rsid w:val="00682E35"/>
    <w:rsid w:val="0069542E"/>
    <w:rsid w:val="006A14F3"/>
    <w:rsid w:val="006A2B55"/>
    <w:rsid w:val="006BDA1D"/>
    <w:rsid w:val="00706025"/>
    <w:rsid w:val="00727320"/>
    <w:rsid w:val="00734D28"/>
    <w:rsid w:val="007632AE"/>
    <w:rsid w:val="007B19EF"/>
    <w:rsid w:val="007C20BE"/>
    <w:rsid w:val="007D5937"/>
    <w:rsid w:val="007E2544"/>
    <w:rsid w:val="007E3AFA"/>
    <w:rsid w:val="008155A8"/>
    <w:rsid w:val="00851134"/>
    <w:rsid w:val="00852A13"/>
    <w:rsid w:val="00885CCF"/>
    <w:rsid w:val="008C232B"/>
    <w:rsid w:val="008D2C68"/>
    <w:rsid w:val="008E2373"/>
    <w:rsid w:val="008E2659"/>
    <w:rsid w:val="008E2AB5"/>
    <w:rsid w:val="008F62F7"/>
    <w:rsid w:val="00917D7A"/>
    <w:rsid w:val="00944C0C"/>
    <w:rsid w:val="00981E89"/>
    <w:rsid w:val="009909EC"/>
    <w:rsid w:val="00993901"/>
    <w:rsid w:val="009947CE"/>
    <w:rsid w:val="009B18C6"/>
    <w:rsid w:val="009C787D"/>
    <w:rsid w:val="009D32C7"/>
    <w:rsid w:val="009E3A37"/>
    <w:rsid w:val="00A0700F"/>
    <w:rsid w:val="00A35B41"/>
    <w:rsid w:val="00A509BF"/>
    <w:rsid w:val="00A66DA3"/>
    <w:rsid w:val="00A76F29"/>
    <w:rsid w:val="00A86B49"/>
    <w:rsid w:val="00A93208"/>
    <w:rsid w:val="00AD6FB7"/>
    <w:rsid w:val="00AE151C"/>
    <w:rsid w:val="00AE3F9B"/>
    <w:rsid w:val="00B0357B"/>
    <w:rsid w:val="00B12023"/>
    <w:rsid w:val="00B13CF3"/>
    <w:rsid w:val="00B16A67"/>
    <w:rsid w:val="00B3099E"/>
    <w:rsid w:val="00B37787"/>
    <w:rsid w:val="00B52EF3"/>
    <w:rsid w:val="00B56080"/>
    <w:rsid w:val="00B75E7B"/>
    <w:rsid w:val="00B877BE"/>
    <w:rsid w:val="00BB2C04"/>
    <w:rsid w:val="00BC62A2"/>
    <w:rsid w:val="00BD3D58"/>
    <w:rsid w:val="00BE7599"/>
    <w:rsid w:val="00BF30FB"/>
    <w:rsid w:val="00C01C79"/>
    <w:rsid w:val="00C24917"/>
    <w:rsid w:val="00C254E8"/>
    <w:rsid w:val="00C35B1E"/>
    <w:rsid w:val="00C41313"/>
    <w:rsid w:val="00C70E84"/>
    <w:rsid w:val="00C81A1D"/>
    <w:rsid w:val="00CA5218"/>
    <w:rsid w:val="00CA5957"/>
    <w:rsid w:val="00CD311D"/>
    <w:rsid w:val="00CE2176"/>
    <w:rsid w:val="00D4C8EE"/>
    <w:rsid w:val="00D51302"/>
    <w:rsid w:val="00D60AE7"/>
    <w:rsid w:val="00D6453D"/>
    <w:rsid w:val="00D853B1"/>
    <w:rsid w:val="00D9341E"/>
    <w:rsid w:val="00D940AB"/>
    <w:rsid w:val="00DA319B"/>
    <w:rsid w:val="00DD6E28"/>
    <w:rsid w:val="00DF235E"/>
    <w:rsid w:val="00E13986"/>
    <w:rsid w:val="00E1686E"/>
    <w:rsid w:val="00E2638D"/>
    <w:rsid w:val="00E722BC"/>
    <w:rsid w:val="00E9083D"/>
    <w:rsid w:val="00E9577D"/>
    <w:rsid w:val="00EB6397"/>
    <w:rsid w:val="00ED7F63"/>
    <w:rsid w:val="00EF36BC"/>
    <w:rsid w:val="00EF67DA"/>
    <w:rsid w:val="00F0452C"/>
    <w:rsid w:val="00F112F0"/>
    <w:rsid w:val="00F44E03"/>
    <w:rsid w:val="00F47494"/>
    <w:rsid w:val="00F73658"/>
    <w:rsid w:val="00F75734"/>
    <w:rsid w:val="00F81219"/>
    <w:rsid w:val="00F838F7"/>
    <w:rsid w:val="00FA00C4"/>
    <w:rsid w:val="00FA1CFD"/>
    <w:rsid w:val="00FB5837"/>
    <w:rsid w:val="00FC0646"/>
    <w:rsid w:val="00FC5064"/>
    <w:rsid w:val="00FF006C"/>
    <w:rsid w:val="02BC052D"/>
    <w:rsid w:val="03E5C9A7"/>
    <w:rsid w:val="0415D52D"/>
    <w:rsid w:val="043C11EA"/>
    <w:rsid w:val="05C610F5"/>
    <w:rsid w:val="05D7E24B"/>
    <w:rsid w:val="05FBC54B"/>
    <w:rsid w:val="065689F9"/>
    <w:rsid w:val="06DD3E32"/>
    <w:rsid w:val="06ECB467"/>
    <w:rsid w:val="06FDB717"/>
    <w:rsid w:val="07D22B3E"/>
    <w:rsid w:val="080A2195"/>
    <w:rsid w:val="0823ADA0"/>
    <w:rsid w:val="085CD468"/>
    <w:rsid w:val="09A26147"/>
    <w:rsid w:val="0A277FAD"/>
    <w:rsid w:val="0AFC33F0"/>
    <w:rsid w:val="0B58726B"/>
    <w:rsid w:val="0BEB2FFB"/>
    <w:rsid w:val="0C31AB91"/>
    <w:rsid w:val="0C32C637"/>
    <w:rsid w:val="0CECFC88"/>
    <w:rsid w:val="0D53AE52"/>
    <w:rsid w:val="0D9ADA49"/>
    <w:rsid w:val="0DB34974"/>
    <w:rsid w:val="0FED172B"/>
    <w:rsid w:val="102704D0"/>
    <w:rsid w:val="10D2922B"/>
    <w:rsid w:val="111A94F2"/>
    <w:rsid w:val="119E7047"/>
    <w:rsid w:val="12A55E46"/>
    <w:rsid w:val="12D7FB3D"/>
    <w:rsid w:val="130E6912"/>
    <w:rsid w:val="1379FEF3"/>
    <w:rsid w:val="16EF145C"/>
    <w:rsid w:val="1898C595"/>
    <w:rsid w:val="19247A76"/>
    <w:rsid w:val="1AED9E04"/>
    <w:rsid w:val="1B8AD7F0"/>
    <w:rsid w:val="1BA7F18E"/>
    <w:rsid w:val="1CD710B7"/>
    <w:rsid w:val="1E4F4341"/>
    <w:rsid w:val="20033F5C"/>
    <w:rsid w:val="20DD23FE"/>
    <w:rsid w:val="2104043E"/>
    <w:rsid w:val="21A7D925"/>
    <w:rsid w:val="21F59886"/>
    <w:rsid w:val="22921AFB"/>
    <w:rsid w:val="230903E3"/>
    <w:rsid w:val="232DA75C"/>
    <w:rsid w:val="233CB91A"/>
    <w:rsid w:val="24D622BF"/>
    <w:rsid w:val="2523D95E"/>
    <w:rsid w:val="2595EFA3"/>
    <w:rsid w:val="2683AD67"/>
    <w:rsid w:val="26F7CBD3"/>
    <w:rsid w:val="273FA089"/>
    <w:rsid w:val="275A0A40"/>
    <w:rsid w:val="27937FF9"/>
    <w:rsid w:val="27CCBEA4"/>
    <w:rsid w:val="27F0A8EC"/>
    <w:rsid w:val="287A94D6"/>
    <w:rsid w:val="29DF5114"/>
    <w:rsid w:val="2AF9CDD1"/>
    <w:rsid w:val="2B27B236"/>
    <w:rsid w:val="2BFBC023"/>
    <w:rsid w:val="2C683083"/>
    <w:rsid w:val="2DA0483C"/>
    <w:rsid w:val="2DAF8AD5"/>
    <w:rsid w:val="2E7E6FA2"/>
    <w:rsid w:val="2FC4EC07"/>
    <w:rsid w:val="2FF156D2"/>
    <w:rsid w:val="3130EB18"/>
    <w:rsid w:val="31BDDBA6"/>
    <w:rsid w:val="333FDACF"/>
    <w:rsid w:val="33854650"/>
    <w:rsid w:val="33C20ECE"/>
    <w:rsid w:val="33C7EED7"/>
    <w:rsid w:val="33F1D915"/>
    <w:rsid w:val="33F9CBDD"/>
    <w:rsid w:val="3416BB03"/>
    <w:rsid w:val="35166F92"/>
    <w:rsid w:val="357F0A2D"/>
    <w:rsid w:val="35E535FD"/>
    <w:rsid w:val="362B826B"/>
    <w:rsid w:val="36AD63A7"/>
    <w:rsid w:val="37999DA2"/>
    <w:rsid w:val="380DCEE5"/>
    <w:rsid w:val="386957E8"/>
    <w:rsid w:val="387F4CEC"/>
    <w:rsid w:val="3B3C1574"/>
    <w:rsid w:val="3BB71E8B"/>
    <w:rsid w:val="3BD046E8"/>
    <w:rsid w:val="3BFB4D25"/>
    <w:rsid w:val="3C0D7130"/>
    <w:rsid w:val="3C793946"/>
    <w:rsid w:val="3E236DE1"/>
    <w:rsid w:val="3E3F5DC5"/>
    <w:rsid w:val="3E88FA6E"/>
    <w:rsid w:val="3F3B0D43"/>
    <w:rsid w:val="3F419908"/>
    <w:rsid w:val="3FE846D5"/>
    <w:rsid w:val="406ED047"/>
    <w:rsid w:val="408A8FAE"/>
    <w:rsid w:val="409E6331"/>
    <w:rsid w:val="40E51F66"/>
    <w:rsid w:val="41401BF6"/>
    <w:rsid w:val="41587BDB"/>
    <w:rsid w:val="42BA8181"/>
    <w:rsid w:val="430916BF"/>
    <w:rsid w:val="43698997"/>
    <w:rsid w:val="43701CBB"/>
    <w:rsid w:val="4465212C"/>
    <w:rsid w:val="447ACC84"/>
    <w:rsid w:val="4527C9F3"/>
    <w:rsid w:val="458D64DB"/>
    <w:rsid w:val="45FC0263"/>
    <w:rsid w:val="46572192"/>
    <w:rsid w:val="475CE18E"/>
    <w:rsid w:val="47EC0187"/>
    <w:rsid w:val="4887BC80"/>
    <w:rsid w:val="48CA28ED"/>
    <w:rsid w:val="48CC64DE"/>
    <w:rsid w:val="4973A37A"/>
    <w:rsid w:val="49FDF9EC"/>
    <w:rsid w:val="4B82AB91"/>
    <w:rsid w:val="4B87B5E2"/>
    <w:rsid w:val="4BB4C77A"/>
    <w:rsid w:val="4D0C1A3D"/>
    <w:rsid w:val="4DB13CC1"/>
    <w:rsid w:val="4E895C8E"/>
    <w:rsid w:val="4F27C9F8"/>
    <w:rsid w:val="4FD6FAA3"/>
    <w:rsid w:val="5031131F"/>
    <w:rsid w:val="50932475"/>
    <w:rsid w:val="50A728F3"/>
    <w:rsid w:val="511070F9"/>
    <w:rsid w:val="51E930DF"/>
    <w:rsid w:val="51F3A8C9"/>
    <w:rsid w:val="53B676FD"/>
    <w:rsid w:val="53D39DEE"/>
    <w:rsid w:val="54E7DAD1"/>
    <w:rsid w:val="54F6D3D4"/>
    <w:rsid w:val="56175540"/>
    <w:rsid w:val="566C6F42"/>
    <w:rsid w:val="5677BAB0"/>
    <w:rsid w:val="56BC603E"/>
    <w:rsid w:val="5789A406"/>
    <w:rsid w:val="59498A54"/>
    <w:rsid w:val="5972327E"/>
    <w:rsid w:val="59D37832"/>
    <w:rsid w:val="5A61C5CB"/>
    <w:rsid w:val="5A8E15E9"/>
    <w:rsid w:val="5AE444C8"/>
    <w:rsid w:val="5C3B9CAF"/>
    <w:rsid w:val="5CBE00B5"/>
    <w:rsid w:val="5D4D7FD8"/>
    <w:rsid w:val="5DE894A4"/>
    <w:rsid w:val="5E8EEFE8"/>
    <w:rsid w:val="600F6E9E"/>
    <w:rsid w:val="60320879"/>
    <w:rsid w:val="60EC965F"/>
    <w:rsid w:val="614C7CDD"/>
    <w:rsid w:val="61F63A84"/>
    <w:rsid w:val="632B7207"/>
    <w:rsid w:val="6331504E"/>
    <w:rsid w:val="633B2505"/>
    <w:rsid w:val="65CAB859"/>
    <w:rsid w:val="6618661C"/>
    <w:rsid w:val="665D5D0B"/>
    <w:rsid w:val="670B5EC6"/>
    <w:rsid w:val="67238E69"/>
    <w:rsid w:val="67A48F3D"/>
    <w:rsid w:val="6AA5997A"/>
    <w:rsid w:val="6B830E7D"/>
    <w:rsid w:val="6C5152D4"/>
    <w:rsid w:val="6D93DE14"/>
    <w:rsid w:val="6D97CC33"/>
    <w:rsid w:val="6E023048"/>
    <w:rsid w:val="6E0DE7D2"/>
    <w:rsid w:val="6E6C75D8"/>
    <w:rsid w:val="6EF3EB8C"/>
    <w:rsid w:val="6F9F6F73"/>
    <w:rsid w:val="6FBC530A"/>
    <w:rsid w:val="7013B2C7"/>
    <w:rsid w:val="70C1046B"/>
    <w:rsid w:val="715400E4"/>
    <w:rsid w:val="7161A488"/>
    <w:rsid w:val="71B2B5E7"/>
    <w:rsid w:val="71C0CE4A"/>
    <w:rsid w:val="71D300D6"/>
    <w:rsid w:val="7268052D"/>
    <w:rsid w:val="7279DFFF"/>
    <w:rsid w:val="730CB74E"/>
    <w:rsid w:val="734B5389"/>
    <w:rsid w:val="73859924"/>
    <w:rsid w:val="74167AA9"/>
    <w:rsid w:val="74652E88"/>
    <w:rsid w:val="7465B6B6"/>
    <w:rsid w:val="748BA1A6"/>
    <w:rsid w:val="74CD3338"/>
    <w:rsid w:val="75945D50"/>
    <w:rsid w:val="75F32E46"/>
    <w:rsid w:val="76240CAA"/>
    <w:rsid w:val="77869D39"/>
    <w:rsid w:val="77876FB4"/>
    <w:rsid w:val="77F16EDA"/>
    <w:rsid w:val="78792288"/>
    <w:rsid w:val="78809CC6"/>
    <w:rsid w:val="79A0D72C"/>
    <w:rsid w:val="7A5A443F"/>
    <w:rsid w:val="7A5CEBC2"/>
    <w:rsid w:val="7A8D4411"/>
    <w:rsid w:val="7B1EB9D3"/>
    <w:rsid w:val="7C671AF5"/>
    <w:rsid w:val="7C9BA05B"/>
    <w:rsid w:val="7DAE4D27"/>
    <w:rsid w:val="7E10CC2E"/>
    <w:rsid w:val="7EB144D5"/>
    <w:rsid w:val="7EE007B7"/>
    <w:rsid w:val="7F1C3666"/>
    <w:rsid w:val="7F717C6A"/>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9448B"/>
  <w15:chartTrackingRefBased/>
  <w15:docId w15:val="{E57F17F6-55AB-4DD6-80A1-B31AB64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uiPriority w:val="99"/>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uiPriority w:val="99"/>
    <w:semiHidden/>
    <w:unhideWhenUsed/>
    <w:rsid w:val="004A56F5"/>
    <w:pPr>
      <w:spacing w:after="120"/>
      <w:ind w:left="283"/>
    </w:pPr>
  </w:style>
  <w:style w:type="character" w:customStyle="1" w:styleId="BodyTextIndentChar">
    <w:name w:val="Body Text Indent Char"/>
    <w:link w:val="BodyTextIndent"/>
    <w:uiPriority w:val="99"/>
    <w:semiHidden/>
    <w:rsid w:val="004A56F5"/>
    <w:rPr>
      <w:rFonts w:ascii="Arial" w:hAnsi="Arial"/>
      <w:sz w:val="24"/>
    </w:rPr>
  </w:style>
  <w:style w:type="character" w:customStyle="1" w:styleId="Heading1Char">
    <w:name w:val="Heading 1 Char"/>
    <w:link w:val="Heading1"/>
    <w:uiPriority w:val="9"/>
    <w:rsid w:val="004A56F5"/>
    <w:rPr>
      <w:rFonts w:ascii="Arial" w:hAnsi="Arial"/>
      <w:b/>
      <w:sz w:val="24"/>
    </w:rPr>
  </w:style>
  <w:style w:type="character" w:customStyle="1" w:styleId="BodyTextChar">
    <w:name w:val="Body Text Char"/>
    <w:link w:val="BodyText"/>
    <w:uiPriority w:val="99"/>
    <w:rsid w:val="004A56F5"/>
    <w:rPr>
      <w:rFonts w:ascii="Arial" w:hAnsi="Arial"/>
      <w:sz w:val="24"/>
    </w:rPr>
  </w:style>
  <w:style w:type="character" w:customStyle="1" w:styleId="HeaderChar">
    <w:name w:val="Header Char"/>
    <w:link w:val="Header"/>
    <w:uiPriority w:val="99"/>
    <w:rsid w:val="004A56F5"/>
    <w:rPr>
      <w:rFonts w:ascii="Universal" w:hAnsi="Universal"/>
      <w:sz w:val="24"/>
    </w:rPr>
  </w:style>
  <w:style w:type="character" w:styleId="Hyperlink">
    <w:name w:val="Hyperlink"/>
    <w:uiPriority w:val="99"/>
    <w:rsid w:val="004A56F5"/>
    <w:rPr>
      <w:rFonts w:cs="Times New Roman"/>
      <w:color w:val="0000FF"/>
      <w:u w:val="single"/>
    </w:rPr>
  </w:style>
  <w:style w:type="paragraph" w:styleId="ListParagraph">
    <w:name w:val="List Paragraph"/>
    <w:basedOn w:val="Normal"/>
    <w:uiPriority w:val="34"/>
    <w:qFormat/>
    <w:rsid w:val="004A56F5"/>
    <w:pPr>
      <w:ind w:left="720"/>
    </w:pPr>
  </w:style>
  <w:style w:type="table" w:customStyle="1" w:styleId="TableGrid513">
    <w:name w:val="Table Grid513"/>
    <w:basedOn w:val="TableNormal"/>
    <w:next w:val="TableGrid"/>
    <w:uiPriority w:val="59"/>
    <w:rsid w:val="004A56F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A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494"/>
    <w:rPr>
      <w:rFonts w:ascii="Segoe UI" w:hAnsi="Segoe UI" w:cs="Segoe UI"/>
      <w:sz w:val="18"/>
      <w:szCs w:val="18"/>
    </w:rPr>
  </w:style>
  <w:style w:type="character" w:customStyle="1" w:styleId="BalloonTextChar">
    <w:name w:val="Balloon Text Char"/>
    <w:link w:val="BalloonText"/>
    <w:uiPriority w:val="99"/>
    <w:semiHidden/>
    <w:rsid w:val="00F47494"/>
    <w:rPr>
      <w:rFonts w:ascii="Segoe UI" w:hAnsi="Segoe UI" w:cs="Segoe UI"/>
      <w:sz w:val="18"/>
      <w:szCs w:val="18"/>
    </w:rPr>
  </w:style>
  <w:style w:type="character" w:styleId="CommentReference">
    <w:name w:val="annotation reference"/>
    <w:uiPriority w:val="99"/>
    <w:semiHidden/>
    <w:unhideWhenUsed/>
    <w:rsid w:val="00F47494"/>
    <w:rPr>
      <w:sz w:val="16"/>
      <w:szCs w:val="16"/>
    </w:rPr>
  </w:style>
  <w:style w:type="paragraph" w:styleId="CommentText">
    <w:name w:val="annotation text"/>
    <w:basedOn w:val="Normal"/>
    <w:link w:val="CommentTextChar"/>
    <w:uiPriority w:val="99"/>
    <w:semiHidden/>
    <w:unhideWhenUsed/>
    <w:rsid w:val="00F47494"/>
    <w:rPr>
      <w:sz w:val="20"/>
    </w:rPr>
  </w:style>
  <w:style w:type="character" w:customStyle="1" w:styleId="CommentTextChar">
    <w:name w:val="Comment Text Char"/>
    <w:link w:val="CommentText"/>
    <w:uiPriority w:val="99"/>
    <w:semiHidden/>
    <w:rsid w:val="00F47494"/>
    <w:rPr>
      <w:rFonts w:ascii="Arial" w:hAnsi="Arial"/>
    </w:rPr>
  </w:style>
  <w:style w:type="paragraph" w:styleId="CommentSubject">
    <w:name w:val="annotation subject"/>
    <w:basedOn w:val="CommentText"/>
    <w:next w:val="CommentText"/>
    <w:link w:val="CommentSubjectChar"/>
    <w:uiPriority w:val="99"/>
    <w:semiHidden/>
    <w:unhideWhenUsed/>
    <w:rsid w:val="00F47494"/>
    <w:rPr>
      <w:b/>
      <w:bCs/>
    </w:rPr>
  </w:style>
  <w:style w:type="character" w:customStyle="1" w:styleId="CommentSubjectChar">
    <w:name w:val="Comment Subject Char"/>
    <w:link w:val="CommentSubject"/>
    <w:uiPriority w:val="99"/>
    <w:semiHidden/>
    <w:rsid w:val="00F47494"/>
    <w:rPr>
      <w:rFonts w:ascii="Arial" w:hAnsi="Arial"/>
      <w:b/>
      <w:bCs/>
    </w:rPr>
  </w:style>
  <w:style w:type="paragraph" w:styleId="Revision">
    <w:name w:val="Revision"/>
    <w:hidden/>
    <w:uiPriority w:val="99"/>
    <w:semiHidden/>
    <w:rsid w:val="002C542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gie.ridgwell@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AEBF4-7640-416D-B5C3-D2C41AF87F50}">
  <ds:schemaRefs>
    <ds:schemaRef ds:uri="http://schemas.microsoft.com/sharepoint/v3/contenttype/forms"/>
  </ds:schemaRefs>
</ds:datastoreItem>
</file>

<file path=customXml/itemProps2.xml><?xml version="1.0" encoding="utf-8"?>
<ds:datastoreItem xmlns:ds="http://schemas.openxmlformats.org/officeDocument/2006/customXml" ds:itemID="{C6DF1A59-EEBD-42D3-8F17-B41474ADEA45}">
  <ds:schemaRefs>
    <ds:schemaRef ds:uri="http://purl.org/dc/elements/1.1/"/>
    <ds:schemaRef ds:uri="http://schemas.openxmlformats.org/package/2006/metadata/core-properties"/>
    <ds:schemaRef ds:uri="http://schemas.microsoft.com/office/2006/documentManagement/types"/>
    <ds:schemaRef ds:uri="7407a200-7ce4-42fa-8e67-2f4335de98c5"/>
    <ds:schemaRef ds:uri="http://schemas.microsoft.com/office/2006/metadata/properties"/>
    <ds:schemaRef ds:uri="http://purl.org/dc/dcmitype/"/>
    <ds:schemaRef ds:uri="http://purl.org/dc/terms/"/>
    <ds:schemaRef ds:uri="http://schemas.microsoft.com/office/infopath/2007/PartnerControls"/>
    <ds:schemaRef ds:uri="eb1163ee-0472-4b21-9845-77639109b86b"/>
    <ds:schemaRef ds:uri="http://www.w3.org/XML/1998/namespace"/>
  </ds:schemaRefs>
</ds:datastoreItem>
</file>

<file path=customXml/itemProps3.xml><?xml version="1.0" encoding="utf-8"?>
<ds:datastoreItem xmlns:ds="http://schemas.openxmlformats.org/officeDocument/2006/customXml" ds:itemID="{743902B1-EF01-49D4-9814-352DFD46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77</TotalTime>
  <Pages>6</Pages>
  <Words>1107</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Alker, Craig</cp:lastModifiedBy>
  <cp:revision>25</cp:revision>
  <cp:lastPrinted>2002-09-11T14:51:00Z</cp:lastPrinted>
  <dcterms:created xsi:type="dcterms:W3CDTF">2022-02-07T21:11:00Z</dcterms:created>
  <dcterms:modified xsi:type="dcterms:W3CDTF">2022-03-07T09:58:00Z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ContentTypeId">
    <vt:lpwstr>0x0101006E2FF561CF5F3F41B71DBF3D07593756</vt:lpwstr>
  </property>
  <property fmtid="{D5CDD505-2E9C-101B-9397-08002B2CF9AE}" pid="4" name="IssueTitle">
    <vt:lpwstr>Revenue Budget 2020/21 and Financial Strategy 2020/21</vt:lpwstr>
  </property>
  <property fmtid="{D5CDD505-2E9C-101B-9397-08002B2CF9AE}" pid="5" name="LeadOfficer">
    <vt:lpwstr>Chris Warren</vt:lpwstr>
  </property>
  <property fmtid="{D5CDD505-2E9C-101B-9397-08002B2CF9AE}" pid="6" name="LeadOfficerEmail">
    <vt:lpwstr>chris.warren@lancashire.gov.uk</vt:lpwstr>
  </property>
  <property fmtid="{D5CDD505-2E9C-101B-9397-08002B2CF9AE}" pid="7" name="LeadOfficerTel">
    <vt:lpwstr/>
  </property>
  <property fmtid="{D5CDD505-2E9C-101B-9397-08002B2CF9AE}" pid="8" name="MeetingDate">
    <vt:lpwstr>Thursday, 13 February 2020</vt:lpwstr>
  </property>
  <property fmtid="{D5CDD505-2E9C-101B-9397-08002B2CF9AE}" pid="9" name="Wards">
    <vt:lpwstr>(All Divisions);</vt:lpwstr>
  </property>
</Properties>
</file>