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527B" w14:textId="77777777" w:rsidR="005049C5" w:rsidRDefault="00E612BF" w:rsidP="00A30B21">
      <w:pPr>
        <w:jc w:val="both"/>
        <w:rPr>
          <w:b/>
        </w:rPr>
      </w:pPr>
      <w:r>
        <w:rPr>
          <w:b/>
        </w:rPr>
        <w:t xml:space="preserve">Lancashire </w:t>
      </w:r>
      <w:r w:rsidR="009D6EEF">
        <w:rPr>
          <w:b/>
        </w:rPr>
        <w:t>Health and Wellbeing Board</w:t>
      </w:r>
    </w:p>
    <w:p w14:paraId="33751572" w14:textId="635D3E82" w:rsidR="009C7212" w:rsidRPr="006929C6" w:rsidRDefault="005049C5" w:rsidP="00A30B21">
      <w:pPr>
        <w:jc w:val="both"/>
        <w:rPr>
          <w:i/>
          <w:iCs/>
        </w:rPr>
      </w:pPr>
      <w:r w:rsidRPr="00D3276D">
        <w:t xml:space="preserve">Meeting </w:t>
      </w:r>
      <w:r w:rsidRPr="00A30B21">
        <w:t>to be held on</w:t>
      </w:r>
      <w:r w:rsidR="00D8063D" w:rsidRPr="00A30B21">
        <w:t xml:space="preserve"> </w:t>
      </w:r>
      <w:r w:rsidR="00A30B21" w:rsidRPr="00A30B21">
        <w:t>10 May 2022</w:t>
      </w:r>
    </w:p>
    <w:p w14:paraId="2DC48B4F" w14:textId="77777777" w:rsidR="005049C5" w:rsidRDefault="005049C5" w:rsidP="00A30B21">
      <w:pPr>
        <w:jc w:val="both"/>
        <w:rPr>
          <w:b/>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78310F" w14:paraId="5BA56466" w14:textId="77777777" w:rsidTr="00701E69">
        <w:tc>
          <w:tcPr>
            <w:tcW w:w="3465" w:type="dxa"/>
            <w:tcBorders>
              <w:top w:val="single" w:sz="4" w:space="0" w:color="auto"/>
              <w:left w:val="single" w:sz="4" w:space="0" w:color="auto"/>
              <w:bottom w:val="single" w:sz="4" w:space="0" w:color="auto"/>
              <w:right w:val="single" w:sz="4" w:space="0" w:color="auto"/>
            </w:tcBorders>
            <w:hideMark/>
          </w:tcPr>
          <w:p w14:paraId="682127D2" w14:textId="77777777" w:rsidR="00701E69" w:rsidRDefault="00701E69" w:rsidP="00A30B21">
            <w:pPr>
              <w:jc w:val="both"/>
              <w:rPr>
                <w:b/>
                <w:bCs/>
              </w:rPr>
            </w:pPr>
            <w:r>
              <w:rPr>
                <w:b/>
                <w:bCs/>
              </w:rPr>
              <w:t>Corporate Priorities:</w:t>
            </w:r>
          </w:p>
          <w:p w14:paraId="5B018020" w14:textId="77777777" w:rsidR="00701E69" w:rsidRDefault="00701E69" w:rsidP="00A30B21">
            <w:pPr>
              <w:jc w:val="both"/>
            </w:pPr>
            <w:fldSimple w:instr=" DOCPROPERTY  priority  \* MERGEFORMAT ">
              <w:r>
                <w:t>Delivering better services;</w:t>
              </w:r>
            </w:fldSimple>
          </w:p>
          <w:p w14:paraId="7915FD5A" w14:textId="77777777" w:rsidR="000C06CC" w:rsidRDefault="000C06CC" w:rsidP="00A30B21">
            <w:pPr>
              <w:jc w:val="both"/>
            </w:pPr>
            <w:r>
              <w:t>Caring for the vulnerable;</w:t>
            </w:r>
          </w:p>
        </w:tc>
      </w:tr>
    </w:tbl>
    <w:p w14:paraId="73097CE3" w14:textId="77777777" w:rsidR="00701E69" w:rsidRDefault="00701E69" w:rsidP="00A30B21">
      <w:pPr>
        <w:jc w:val="both"/>
        <w:rPr>
          <w:b/>
        </w:rPr>
      </w:pPr>
    </w:p>
    <w:p w14:paraId="4E08F684" w14:textId="77777777" w:rsidR="00701E69" w:rsidRDefault="00701E69" w:rsidP="00A30B21">
      <w:pPr>
        <w:jc w:val="both"/>
        <w:rPr>
          <w:b/>
        </w:rPr>
      </w:pPr>
    </w:p>
    <w:p w14:paraId="48E60F14" w14:textId="77777777" w:rsidR="00701E69" w:rsidRDefault="00701E69" w:rsidP="00A30B21">
      <w:pPr>
        <w:jc w:val="both"/>
        <w:rPr>
          <w:b/>
        </w:rPr>
      </w:pPr>
    </w:p>
    <w:p w14:paraId="35E6AD03" w14:textId="77777777" w:rsidR="00A30B21" w:rsidRDefault="00A30B21" w:rsidP="00A30B21">
      <w:pPr>
        <w:jc w:val="both"/>
        <w:rPr>
          <w:szCs w:val="24"/>
        </w:rPr>
      </w:pPr>
    </w:p>
    <w:p w14:paraId="6D881F08" w14:textId="12E0D5EF" w:rsidR="00A30B21" w:rsidRDefault="00A30B21" w:rsidP="00A30B21">
      <w:pPr>
        <w:jc w:val="both"/>
        <w:rPr>
          <w:b/>
          <w:bCs/>
          <w:szCs w:val="24"/>
        </w:rPr>
      </w:pPr>
      <w:r w:rsidRPr="00A30B21">
        <w:rPr>
          <w:b/>
          <w:bCs/>
          <w:szCs w:val="24"/>
        </w:rPr>
        <w:t>Lancashire Better Care Fund End of Year Report 2021/22</w:t>
      </w:r>
    </w:p>
    <w:p w14:paraId="567BED2B" w14:textId="3779ABC3" w:rsidR="00A30B21" w:rsidRPr="00A30B21" w:rsidRDefault="00A30B21" w:rsidP="00A30B21">
      <w:pPr>
        <w:jc w:val="both"/>
        <w:rPr>
          <w:szCs w:val="24"/>
        </w:rPr>
      </w:pPr>
      <w:r w:rsidRPr="00A30B21">
        <w:rPr>
          <w:szCs w:val="24"/>
        </w:rPr>
        <w:t>(Appendices 'A', 'B', 'C' and 'D' refers)</w:t>
      </w:r>
    </w:p>
    <w:p w14:paraId="0FD4A3F6" w14:textId="77777777" w:rsidR="00F45DA9" w:rsidRPr="00A30B21" w:rsidRDefault="00F45DA9" w:rsidP="00A30B21">
      <w:pPr>
        <w:ind w:right="-873"/>
        <w:jc w:val="both"/>
        <w:rPr>
          <w:b/>
          <w:bCs/>
          <w:i/>
          <w:highlight w:val="yellow"/>
        </w:rPr>
      </w:pPr>
    </w:p>
    <w:p w14:paraId="05FA1CE5" w14:textId="77777777" w:rsidR="00A30B21" w:rsidRPr="00390221" w:rsidRDefault="00A30B21" w:rsidP="00A30B21">
      <w:pPr>
        <w:ind w:right="-873"/>
        <w:jc w:val="both"/>
      </w:pPr>
      <w:r w:rsidRPr="00390221">
        <w:t xml:space="preserve">Contact for further information: </w:t>
      </w:r>
    </w:p>
    <w:p w14:paraId="673339E2" w14:textId="77777777" w:rsidR="00A30B21" w:rsidRDefault="00A30B21" w:rsidP="00A30B21">
      <w:pPr>
        <w:ind w:right="-873"/>
        <w:jc w:val="both"/>
      </w:pPr>
      <w:r>
        <w:t>Louise Taylor, Executive Director of Adult Services and Health &amp; Wellbeing,</w:t>
      </w:r>
    </w:p>
    <w:p w14:paraId="334071E3" w14:textId="6D4A38A8" w:rsidR="00A30B21" w:rsidRDefault="00A30B21" w:rsidP="00A30B21">
      <w:pPr>
        <w:ind w:right="-873"/>
        <w:jc w:val="both"/>
      </w:pPr>
      <w:r>
        <w:t xml:space="preserve">Lancashire County Council. </w:t>
      </w:r>
      <w:r w:rsidRPr="00787A8A">
        <w:rPr>
          <w:rFonts w:cs="Arial"/>
          <w:szCs w:val="24"/>
        </w:rPr>
        <w:t xml:space="preserve">Email:  </w:t>
      </w:r>
      <w:hyperlink r:id="rId7" w:history="1">
        <w:r w:rsidRPr="00D9072C">
          <w:rPr>
            <w:rStyle w:val="Hyperlink"/>
            <w:rFonts w:cs="Arial"/>
            <w:szCs w:val="24"/>
          </w:rPr>
          <w:t>louise.taylor@lancashire.gov.uk</w:t>
        </w:r>
      </w:hyperlink>
      <w:r>
        <w:rPr>
          <w:rFonts w:cs="Arial"/>
          <w:szCs w:val="24"/>
        </w:rPr>
        <w:t xml:space="preserve"> </w:t>
      </w:r>
    </w:p>
    <w:p w14:paraId="5A9A28ED" w14:textId="77777777" w:rsidR="00D3276D" w:rsidRDefault="00D3276D" w:rsidP="00A30B21">
      <w:pPr>
        <w:ind w:right="-873"/>
        <w:jc w:val="both"/>
      </w:pPr>
    </w:p>
    <w:p w14:paraId="76020442" w14:textId="77777777" w:rsidR="005049C5" w:rsidRDefault="005049C5" w:rsidP="00A30B21">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8310F" w14:paraId="0399F8B9" w14:textId="77777777" w:rsidTr="00A76300">
        <w:tc>
          <w:tcPr>
            <w:tcW w:w="9889" w:type="dxa"/>
          </w:tcPr>
          <w:p w14:paraId="6B3008B1" w14:textId="77777777" w:rsidR="00A30B21" w:rsidRDefault="00A30B21" w:rsidP="00A30B21">
            <w:pPr>
              <w:pStyle w:val="Heading6"/>
              <w:jc w:val="both"/>
              <w:rPr>
                <w:rFonts w:ascii="Arial" w:hAnsi="Arial"/>
              </w:rPr>
            </w:pPr>
          </w:p>
          <w:p w14:paraId="1E87AB65" w14:textId="6D42F6C2" w:rsidR="00A30B21" w:rsidRDefault="00A30B21" w:rsidP="00A30B21">
            <w:pPr>
              <w:pStyle w:val="Heading6"/>
              <w:jc w:val="both"/>
              <w:rPr>
                <w:rFonts w:ascii="Arial" w:hAnsi="Arial"/>
              </w:rPr>
            </w:pPr>
            <w:r>
              <w:rPr>
                <w:rFonts w:ascii="Arial" w:hAnsi="Arial"/>
              </w:rPr>
              <w:t>Executive Summary</w:t>
            </w:r>
          </w:p>
          <w:p w14:paraId="3D015C13" w14:textId="77777777" w:rsidR="00A30B21" w:rsidRPr="00A30B21" w:rsidRDefault="00A30B21" w:rsidP="00A30B21"/>
          <w:p w14:paraId="4F5EA5C5" w14:textId="031D38AA" w:rsidR="00A30B21" w:rsidRDefault="00A30B21" w:rsidP="00A30B21">
            <w:pPr>
              <w:jc w:val="both"/>
            </w:pPr>
            <w:r>
              <w:t xml:space="preserve">The Lancashire Better Care Fund </w:t>
            </w:r>
            <w:r w:rsidR="002F2B39">
              <w:t xml:space="preserve">(BCF) </w:t>
            </w:r>
            <w:r>
              <w:t>end of year report 2021/22 reflects a period of significant volatility within the Health and Social care system.</w:t>
            </w:r>
            <w:r w:rsidR="002F2B39">
              <w:t xml:space="preserve">  </w:t>
            </w:r>
            <w:r>
              <w:t>It shows that the BCF plan has continued relatively unchanged from the previous year and has supported the Covid pandemic response.</w:t>
            </w:r>
          </w:p>
          <w:p w14:paraId="131381F1" w14:textId="77777777" w:rsidR="002F2B39" w:rsidRDefault="002F2B39" w:rsidP="00A30B21">
            <w:pPr>
              <w:jc w:val="both"/>
            </w:pPr>
          </w:p>
          <w:p w14:paraId="7D0A68D4" w14:textId="6E6CA629" w:rsidR="00A30B21" w:rsidRDefault="00A30B21" w:rsidP="00A30B21">
            <w:pPr>
              <w:jc w:val="both"/>
            </w:pPr>
            <w:r>
              <w:t>While the BCF conditions have been met, financial performance was as planned and there have been significant successes achieved in its delivery the report highlights significant challenges and potential tensions across health and social care as each respond to high demand, increasing costs and factors such as challenging workforce planning and market development.</w:t>
            </w:r>
          </w:p>
          <w:p w14:paraId="592F58CC" w14:textId="77777777" w:rsidR="002F2B39" w:rsidRDefault="002F2B39" w:rsidP="00A30B21">
            <w:pPr>
              <w:jc w:val="both"/>
            </w:pPr>
          </w:p>
          <w:p w14:paraId="13648D4C" w14:textId="77777777" w:rsidR="00A30B21" w:rsidRDefault="00A30B21" w:rsidP="00A30B21">
            <w:pPr>
              <w:jc w:val="both"/>
            </w:pPr>
            <w:r>
              <w:t>Performance as measured through the BCF metrics is mixed and skewed due to the pandemic response. A longer-term view of the performance. is required to see true impact.</w:t>
            </w:r>
          </w:p>
          <w:p w14:paraId="0E2B30E2" w14:textId="77777777" w:rsidR="002F2B39" w:rsidRDefault="002F2B39" w:rsidP="00A30B21">
            <w:pPr>
              <w:jc w:val="both"/>
            </w:pPr>
          </w:p>
          <w:p w14:paraId="138D4EE4" w14:textId="086E6527" w:rsidR="00A30B21" w:rsidRPr="00702963" w:rsidRDefault="00A30B21" w:rsidP="00A30B21">
            <w:pPr>
              <w:jc w:val="both"/>
            </w:pPr>
            <w:r>
              <w:t xml:space="preserve">The BCF partner respondents to the end of year questionnaire approach have highlighted </w:t>
            </w:r>
          </w:p>
          <w:p w14:paraId="2F182FBC" w14:textId="29FF0BEB" w:rsidR="00A30B21" w:rsidRDefault="00A30B21" w:rsidP="00A30B21">
            <w:pPr>
              <w:jc w:val="both"/>
            </w:pPr>
            <w:r>
              <w:t>Successes and Challenges in delivering the BCF that can be used in the ongoing discussion on the aspiration of better integration of health and social care.</w:t>
            </w:r>
          </w:p>
          <w:p w14:paraId="38790A97" w14:textId="77777777" w:rsidR="002F2B39" w:rsidRDefault="002F2B39" w:rsidP="00A30B21">
            <w:pPr>
              <w:jc w:val="both"/>
            </w:pPr>
          </w:p>
          <w:p w14:paraId="4DEC0DE5" w14:textId="2785B893" w:rsidR="00A30B21" w:rsidRDefault="00A30B21" w:rsidP="00A30B21">
            <w:pPr>
              <w:jc w:val="both"/>
              <w:rPr>
                <w:b/>
              </w:rPr>
            </w:pPr>
            <w:r w:rsidRPr="00B64B6E">
              <w:rPr>
                <w:b/>
              </w:rPr>
              <w:t>Recommendation</w:t>
            </w:r>
            <w:r w:rsidR="002F2B39">
              <w:rPr>
                <w:b/>
              </w:rPr>
              <w:t>s</w:t>
            </w:r>
          </w:p>
          <w:p w14:paraId="5006B019" w14:textId="77777777" w:rsidR="002F2B39" w:rsidRPr="00B64B6E" w:rsidRDefault="002F2B39" w:rsidP="00A30B21">
            <w:pPr>
              <w:jc w:val="both"/>
              <w:rPr>
                <w:b/>
              </w:rPr>
            </w:pPr>
          </w:p>
          <w:p w14:paraId="73DDF8C8" w14:textId="4BC7B947" w:rsidR="00A30B21" w:rsidRDefault="00A30B21" w:rsidP="00A30B21">
            <w:pPr>
              <w:jc w:val="both"/>
            </w:pPr>
            <w:r>
              <w:t xml:space="preserve">The Health and Wellbeing Board is </w:t>
            </w:r>
            <w:r w:rsidR="002F2B39">
              <w:t>asked</w:t>
            </w:r>
            <w:r>
              <w:t xml:space="preserve"> to:</w:t>
            </w:r>
          </w:p>
          <w:p w14:paraId="481BBFD2" w14:textId="77777777" w:rsidR="002F2B39" w:rsidRDefault="002F2B39" w:rsidP="00A30B21">
            <w:pPr>
              <w:jc w:val="both"/>
            </w:pPr>
          </w:p>
          <w:p w14:paraId="259E14C2" w14:textId="6B9F48B9" w:rsidR="00A30B21" w:rsidRDefault="00A30B21" w:rsidP="002F2B39">
            <w:pPr>
              <w:numPr>
                <w:ilvl w:val="0"/>
                <w:numId w:val="13"/>
              </w:numPr>
              <w:ind w:left="360"/>
              <w:jc w:val="both"/>
            </w:pPr>
            <w:r>
              <w:t>Approve the submission of the Lancashire Better Care Fund End of Year Report for 2021/22.</w:t>
            </w:r>
          </w:p>
          <w:p w14:paraId="3C8F12F2" w14:textId="32ED428D" w:rsidR="00A30B21" w:rsidRDefault="00A30B21" w:rsidP="002F2B39">
            <w:pPr>
              <w:numPr>
                <w:ilvl w:val="0"/>
                <w:numId w:val="13"/>
              </w:numPr>
              <w:ind w:left="360"/>
              <w:jc w:val="both"/>
            </w:pPr>
            <w:r w:rsidRPr="000607C9">
              <w:t xml:space="preserve">Request a report on future </w:t>
            </w:r>
            <w:r>
              <w:t>B</w:t>
            </w:r>
            <w:r w:rsidR="002F2B39">
              <w:t xml:space="preserve">etter Care Fund </w:t>
            </w:r>
            <w:r w:rsidRPr="000607C9">
              <w:t>planning requirements once th</w:t>
            </w:r>
            <w:r>
              <w:t xml:space="preserve">ese are </w:t>
            </w:r>
            <w:r w:rsidRPr="000607C9">
              <w:t>known</w:t>
            </w:r>
            <w:r>
              <w:t>.</w:t>
            </w:r>
          </w:p>
          <w:p w14:paraId="54B8EB39" w14:textId="77777777" w:rsidR="009D6EEF" w:rsidRDefault="00A30B21" w:rsidP="00A30B21">
            <w:pPr>
              <w:numPr>
                <w:ilvl w:val="0"/>
                <w:numId w:val="13"/>
              </w:numPr>
              <w:ind w:left="360"/>
              <w:jc w:val="both"/>
            </w:pPr>
            <w:r>
              <w:t xml:space="preserve">Note the national intention for the Better Care Fund to continue into 2023 to support </w:t>
            </w:r>
            <w:r w:rsidRPr="000607C9">
              <w:t>implementation of the new approach to integration at place level.</w:t>
            </w:r>
          </w:p>
          <w:p w14:paraId="5E9E8D27" w14:textId="38D16914" w:rsidR="002F2B39" w:rsidRPr="00A30B21" w:rsidRDefault="002F2B39" w:rsidP="002F2B39">
            <w:pPr>
              <w:ind w:left="360"/>
              <w:jc w:val="both"/>
            </w:pPr>
          </w:p>
        </w:tc>
      </w:tr>
    </w:tbl>
    <w:p w14:paraId="44E785BB" w14:textId="77777777" w:rsidR="005049C5" w:rsidRDefault="005049C5" w:rsidP="00A30B21">
      <w:pPr>
        <w:jc w:val="both"/>
        <w:rPr>
          <w:b/>
          <w:u w:val="single"/>
        </w:rPr>
      </w:pPr>
    </w:p>
    <w:p w14:paraId="5B6B41A5" w14:textId="77777777" w:rsidR="00A30B21" w:rsidRDefault="00A30B21" w:rsidP="00A30B21">
      <w:pPr>
        <w:pStyle w:val="Header"/>
        <w:jc w:val="both"/>
        <w:rPr>
          <w:rFonts w:ascii="Arial" w:hAnsi="Arial" w:cs="Arial"/>
          <w:b/>
        </w:rPr>
      </w:pPr>
    </w:p>
    <w:p w14:paraId="3CC230EE" w14:textId="1C23EC17" w:rsidR="00A30B21" w:rsidRPr="00A62A93" w:rsidRDefault="002F2B39" w:rsidP="00A30B21">
      <w:pPr>
        <w:pStyle w:val="Header"/>
        <w:jc w:val="both"/>
        <w:rPr>
          <w:rFonts w:ascii="Arial" w:hAnsi="Arial" w:cs="Arial"/>
          <w:b/>
        </w:rPr>
      </w:pPr>
      <w:r>
        <w:rPr>
          <w:rFonts w:ascii="Arial" w:hAnsi="Arial" w:cs="Arial"/>
          <w:b/>
        </w:rPr>
        <w:br w:type="page"/>
      </w:r>
      <w:r w:rsidR="00A30B21" w:rsidRPr="00A62A93">
        <w:rPr>
          <w:rFonts w:ascii="Arial" w:hAnsi="Arial" w:cs="Arial"/>
          <w:b/>
        </w:rPr>
        <w:lastRenderedPageBreak/>
        <w:t>Background</w:t>
      </w:r>
    </w:p>
    <w:p w14:paraId="00DBFA13" w14:textId="77777777" w:rsidR="00A30B21" w:rsidRDefault="00A30B21" w:rsidP="00A30B21">
      <w:pPr>
        <w:pStyle w:val="Header"/>
        <w:jc w:val="both"/>
        <w:rPr>
          <w:rFonts w:ascii="Arial" w:hAnsi="Arial" w:cs="Arial"/>
        </w:rPr>
      </w:pPr>
    </w:p>
    <w:p w14:paraId="57850FE9" w14:textId="4D22F471" w:rsidR="00A30B21" w:rsidRDefault="00A30B21" w:rsidP="00A30B21">
      <w:pPr>
        <w:pStyle w:val="Header"/>
        <w:jc w:val="both"/>
        <w:rPr>
          <w:rFonts w:ascii="Arial" w:hAnsi="Arial" w:cs="Arial"/>
        </w:rPr>
      </w:pPr>
      <w:r>
        <w:rPr>
          <w:rFonts w:ascii="Arial" w:hAnsi="Arial" w:cs="Arial"/>
        </w:rPr>
        <w:t>This report provides the detail of nationally required end of year report for the Lancashire Better Care Fund 2021/22.</w:t>
      </w:r>
      <w:r w:rsidR="002F2B39">
        <w:rPr>
          <w:rFonts w:ascii="Arial" w:hAnsi="Arial" w:cs="Arial"/>
        </w:rPr>
        <w:t xml:space="preserve">  </w:t>
      </w:r>
      <w:r>
        <w:rPr>
          <w:rFonts w:ascii="Arial" w:hAnsi="Arial" w:cs="Arial"/>
        </w:rPr>
        <w:t xml:space="preserve">The approval of the Lancashire Better Care Fund plan 2021/22 was ratified by the Health and Wellbeing Board at its meeting of </w:t>
      </w:r>
      <w:r w:rsidR="002F2B39">
        <w:rPr>
          <w:rFonts w:ascii="Arial" w:hAnsi="Arial" w:cs="Arial"/>
        </w:rPr>
        <w:t>8 March 2022</w:t>
      </w:r>
      <w:r>
        <w:rPr>
          <w:rFonts w:ascii="Arial" w:hAnsi="Arial" w:cs="Arial"/>
        </w:rPr>
        <w:t>.</w:t>
      </w:r>
    </w:p>
    <w:p w14:paraId="49FE873E" w14:textId="77777777" w:rsidR="002F2B39" w:rsidRDefault="002F2B39" w:rsidP="00A30B21">
      <w:pPr>
        <w:pStyle w:val="Header"/>
        <w:jc w:val="both"/>
        <w:rPr>
          <w:rFonts w:ascii="Arial" w:hAnsi="Arial" w:cs="Arial"/>
        </w:rPr>
      </w:pPr>
    </w:p>
    <w:p w14:paraId="26C05438" w14:textId="4497385B" w:rsidR="00A30B21" w:rsidRDefault="00A30B21" w:rsidP="00A30B21">
      <w:pPr>
        <w:pStyle w:val="Header"/>
        <w:jc w:val="both"/>
        <w:rPr>
          <w:rFonts w:ascii="Arial" w:hAnsi="Arial" w:cs="Arial"/>
        </w:rPr>
      </w:pPr>
      <w:r>
        <w:rPr>
          <w:rFonts w:ascii="Arial" w:hAnsi="Arial" w:cs="Arial"/>
        </w:rPr>
        <w:t xml:space="preserve">The impact of the ongoing pandemic resulted in changed planning and reporting arrangements for the BCF. </w:t>
      </w:r>
      <w:r w:rsidR="002F2B39">
        <w:rPr>
          <w:rFonts w:ascii="Arial" w:hAnsi="Arial" w:cs="Arial"/>
        </w:rPr>
        <w:t xml:space="preserve"> </w:t>
      </w:r>
      <w:r>
        <w:rPr>
          <w:rFonts w:ascii="Arial" w:hAnsi="Arial" w:cs="Arial"/>
        </w:rPr>
        <w:t xml:space="preserve">Formal planning was delayed and reporting, ordinarily required on a quarterly basis, was reduced to a single end of year report. </w:t>
      </w:r>
    </w:p>
    <w:p w14:paraId="26E508C6" w14:textId="77777777" w:rsidR="002F2B39" w:rsidRDefault="002F2B39" w:rsidP="00A30B21">
      <w:pPr>
        <w:pStyle w:val="Header"/>
        <w:jc w:val="both"/>
        <w:rPr>
          <w:rFonts w:ascii="Arial" w:hAnsi="Arial" w:cs="Arial"/>
        </w:rPr>
      </w:pPr>
    </w:p>
    <w:p w14:paraId="3B6BC029" w14:textId="7859C4EF" w:rsidR="00A30B21" w:rsidRDefault="00A30B21" w:rsidP="00A30B21">
      <w:pPr>
        <w:pStyle w:val="Header"/>
        <w:jc w:val="both"/>
        <w:rPr>
          <w:rFonts w:ascii="Arial" w:hAnsi="Arial" w:cs="Arial"/>
        </w:rPr>
      </w:pPr>
      <w:r>
        <w:rPr>
          <w:rFonts w:ascii="Arial" w:hAnsi="Arial" w:cs="Arial"/>
        </w:rPr>
        <w:t>The report to be submitted is in the format of a spreadsheet the significant elements of which are set out below.</w:t>
      </w:r>
    </w:p>
    <w:p w14:paraId="2FB7BA3D" w14:textId="77777777" w:rsidR="00A30B21" w:rsidRDefault="00A30B21" w:rsidP="00A30B21">
      <w:pPr>
        <w:pStyle w:val="Header"/>
        <w:jc w:val="both"/>
        <w:rPr>
          <w:rFonts w:ascii="Arial" w:hAnsi="Arial" w:cs="Arial"/>
        </w:rPr>
      </w:pPr>
    </w:p>
    <w:p w14:paraId="36708BBB" w14:textId="3B8E68D3" w:rsidR="00A30B21" w:rsidRDefault="00A30B21" w:rsidP="00A30B21">
      <w:pPr>
        <w:pStyle w:val="Header"/>
        <w:jc w:val="both"/>
        <w:rPr>
          <w:rFonts w:ascii="Arial" w:hAnsi="Arial" w:cs="Arial"/>
          <w:b/>
          <w:bCs/>
        </w:rPr>
      </w:pPr>
      <w:r w:rsidRPr="00926875">
        <w:rPr>
          <w:rFonts w:ascii="Arial" w:hAnsi="Arial" w:cs="Arial"/>
          <w:b/>
          <w:bCs/>
        </w:rPr>
        <w:t>National Conditions</w:t>
      </w:r>
    </w:p>
    <w:p w14:paraId="615838C6" w14:textId="77777777" w:rsidR="002F2B39" w:rsidRPr="00926875" w:rsidRDefault="002F2B39" w:rsidP="00A30B21">
      <w:pPr>
        <w:pStyle w:val="Header"/>
        <w:jc w:val="both"/>
        <w:rPr>
          <w:rFonts w:ascii="Arial" w:hAnsi="Arial" w:cs="Arial"/>
          <w:b/>
          <w:bCs/>
        </w:rPr>
      </w:pPr>
    </w:p>
    <w:p w14:paraId="10D8091C" w14:textId="0F5D0090" w:rsidR="00A30B21" w:rsidRDefault="00A30B21" w:rsidP="00A30B21">
      <w:pPr>
        <w:pStyle w:val="Header"/>
        <w:jc w:val="both"/>
        <w:rPr>
          <w:rFonts w:ascii="Arial" w:hAnsi="Arial" w:cs="Arial"/>
        </w:rPr>
      </w:pPr>
      <w:r>
        <w:rPr>
          <w:rFonts w:ascii="Arial" w:hAnsi="Arial" w:cs="Arial"/>
        </w:rPr>
        <w:t>Confirmation is required that the conditions have been met.</w:t>
      </w:r>
      <w:r w:rsidR="002F2B39">
        <w:rPr>
          <w:rFonts w:ascii="Arial" w:hAnsi="Arial" w:cs="Arial"/>
        </w:rPr>
        <w:t xml:space="preserve">  </w:t>
      </w:r>
      <w:r>
        <w:rPr>
          <w:rFonts w:ascii="Arial" w:hAnsi="Arial" w:cs="Arial"/>
        </w:rPr>
        <w:t>These are:</w:t>
      </w:r>
    </w:p>
    <w:p w14:paraId="7DEB4649" w14:textId="77777777" w:rsidR="002F2B39" w:rsidRDefault="002F2B39" w:rsidP="00A30B21">
      <w:pPr>
        <w:pStyle w:val="Header"/>
        <w:jc w:val="both"/>
        <w:rPr>
          <w:rFonts w:ascii="Arial" w:hAnsi="Arial" w:cs="Arial"/>
        </w:rPr>
      </w:pPr>
    </w:p>
    <w:p w14:paraId="4AE2300B" w14:textId="7096063B" w:rsidR="00A30B21" w:rsidRPr="00AA1338" w:rsidRDefault="00A30B21" w:rsidP="002F2B39">
      <w:pPr>
        <w:pStyle w:val="Header"/>
        <w:numPr>
          <w:ilvl w:val="0"/>
          <w:numId w:val="14"/>
        </w:numPr>
        <w:ind w:left="360"/>
        <w:jc w:val="both"/>
        <w:rPr>
          <w:rFonts w:ascii="Arial" w:hAnsi="Arial" w:cs="Arial"/>
        </w:rPr>
      </w:pPr>
      <w:r w:rsidRPr="00AA1338">
        <w:rPr>
          <w:rFonts w:ascii="Arial" w:hAnsi="Arial" w:cs="Arial"/>
        </w:rPr>
        <w:t xml:space="preserve">A </w:t>
      </w:r>
      <w:r>
        <w:rPr>
          <w:rFonts w:ascii="Arial" w:hAnsi="Arial" w:cs="Arial"/>
        </w:rPr>
        <w:t>p</w:t>
      </w:r>
      <w:r w:rsidRPr="00AA1338">
        <w:rPr>
          <w:rFonts w:ascii="Arial" w:hAnsi="Arial" w:cs="Arial"/>
        </w:rPr>
        <w:t>lan has been agreed for the Health and Wellbeing Board area that includes all mandatory funding and this is included in a pooled fund governed under section 75 of the NHS Act 2006? (This should include engagement with district councils on use of Disabled Facilities Grant in two tier areas)</w:t>
      </w:r>
      <w:r w:rsidR="002F2B39">
        <w:rPr>
          <w:rFonts w:ascii="Arial" w:hAnsi="Arial" w:cs="Arial"/>
        </w:rPr>
        <w:t>.</w:t>
      </w:r>
    </w:p>
    <w:p w14:paraId="6259EAAA" w14:textId="42271679" w:rsidR="00A30B21" w:rsidRPr="00AA1338" w:rsidRDefault="00A30B21" w:rsidP="002F2B39">
      <w:pPr>
        <w:pStyle w:val="Header"/>
        <w:numPr>
          <w:ilvl w:val="0"/>
          <w:numId w:val="14"/>
        </w:numPr>
        <w:ind w:left="360"/>
        <w:jc w:val="both"/>
        <w:rPr>
          <w:rFonts w:ascii="Arial" w:hAnsi="Arial" w:cs="Arial"/>
        </w:rPr>
      </w:pPr>
      <w:r>
        <w:rPr>
          <w:rFonts w:ascii="Arial" w:hAnsi="Arial" w:cs="Arial"/>
        </w:rPr>
        <w:t>P</w:t>
      </w:r>
      <w:r w:rsidRPr="00AA1338">
        <w:rPr>
          <w:rFonts w:ascii="Arial" w:hAnsi="Arial" w:cs="Arial"/>
        </w:rPr>
        <w:t>lanned contribution to social care from the</w:t>
      </w:r>
      <w:r w:rsidR="002F2B39">
        <w:rPr>
          <w:rFonts w:ascii="Arial" w:hAnsi="Arial" w:cs="Arial"/>
        </w:rPr>
        <w:t xml:space="preserve"> Clinical Commissioning Group (</w:t>
      </w:r>
      <w:r w:rsidRPr="00AA1338">
        <w:rPr>
          <w:rFonts w:ascii="Arial" w:hAnsi="Arial" w:cs="Arial"/>
        </w:rPr>
        <w:t>CCG</w:t>
      </w:r>
      <w:r w:rsidR="002F2B39">
        <w:rPr>
          <w:rFonts w:ascii="Arial" w:hAnsi="Arial" w:cs="Arial"/>
        </w:rPr>
        <w:t xml:space="preserve">) </w:t>
      </w:r>
      <w:r w:rsidRPr="00AA1338">
        <w:rPr>
          <w:rFonts w:ascii="Arial" w:hAnsi="Arial" w:cs="Arial"/>
        </w:rPr>
        <w:t>minimum contribution is agreed in line with the BCF policy?</w:t>
      </w:r>
    </w:p>
    <w:p w14:paraId="2E8C5F57" w14:textId="77777777" w:rsidR="00A30B21" w:rsidRPr="00AA1338" w:rsidRDefault="00A30B21" w:rsidP="002F2B39">
      <w:pPr>
        <w:pStyle w:val="Header"/>
        <w:numPr>
          <w:ilvl w:val="0"/>
          <w:numId w:val="14"/>
        </w:numPr>
        <w:ind w:left="360"/>
        <w:jc w:val="both"/>
        <w:rPr>
          <w:rFonts w:ascii="Arial" w:hAnsi="Arial" w:cs="Arial"/>
        </w:rPr>
      </w:pPr>
      <w:r w:rsidRPr="00AA1338">
        <w:rPr>
          <w:rFonts w:ascii="Arial" w:hAnsi="Arial" w:cs="Arial"/>
        </w:rPr>
        <w:t>Agreement to invest in NHS commissioned out of hospital services.</w:t>
      </w:r>
    </w:p>
    <w:p w14:paraId="5A324F71" w14:textId="1967CD76" w:rsidR="00A30B21" w:rsidRDefault="00A30B21" w:rsidP="002F2B39">
      <w:pPr>
        <w:pStyle w:val="Header"/>
        <w:numPr>
          <w:ilvl w:val="0"/>
          <w:numId w:val="14"/>
        </w:numPr>
        <w:ind w:left="360"/>
        <w:jc w:val="both"/>
        <w:rPr>
          <w:rFonts w:ascii="Arial" w:hAnsi="Arial" w:cs="Arial"/>
        </w:rPr>
      </w:pPr>
      <w:r w:rsidRPr="00AA1338">
        <w:rPr>
          <w:rFonts w:ascii="Arial" w:hAnsi="Arial" w:cs="Arial"/>
        </w:rPr>
        <w:t>Plan for improving outcomes for people being discharged from hospital</w:t>
      </w:r>
      <w:r>
        <w:rPr>
          <w:rFonts w:ascii="Arial" w:hAnsi="Arial" w:cs="Arial"/>
        </w:rPr>
        <w:t>.</w:t>
      </w:r>
    </w:p>
    <w:p w14:paraId="3E41D7D2" w14:textId="77777777" w:rsidR="002F2B39" w:rsidRDefault="002F2B39" w:rsidP="002F2B39">
      <w:pPr>
        <w:pStyle w:val="Header"/>
        <w:ind w:left="360"/>
        <w:jc w:val="both"/>
        <w:rPr>
          <w:rFonts w:ascii="Arial" w:hAnsi="Arial" w:cs="Arial"/>
        </w:rPr>
      </w:pPr>
    </w:p>
    <w:p w14:paraId="571E7CCA" w14:textId="77777777" w:rsidR="00A30B21" w:rsidRDefault="00A30B21" w:rsidP="00A30B21">
      <w:pPr>
        <w:pStyle w:val="Header"/>
        <w:jc w:val="both"/>
        <w:rPr>
          <w:rFonts w:ascii="Arial" w:hAnsi="Arial" w:cs="Arial"/>
        </w:rPr>
      </w:pPr>
      <w:r>
        <w:rPr>
          <w:rFonts w:ascii="Arial" w:hAnsi="Arial" w:cs="Arial"/>
        </w:rPr>
        <w:t xml:space="preserve">For Lancashire this is a yes response to all with some aspects of meeting the conditions being achieved at a local level rather than through single overarching agreements. </w:t>
      </w:r>
    </w:p>
    <w:p w14:paraId="47A629F3" w14:textId="77777777" w:rsidR="00A30B21" w:rsidRDefault="00A30B21" w:rsidP="00A30B21">
      <w:pPr>
        <w:pStyle w:val="Header"/>
        <w:jc w:val="both"/>
        <w:rPr>
          <w:rFonts w:ascii="Arial" w:hAnsi="Arial" w:cs="Arial"/>
        </w:rPr>
      </w:pPr>
    </w:p>
    <w:p w14:paraId="4CA41D94" w14:textId="304BF329" w:rsidR="00A30B21" w:rsidRDefault="00A30B21" w:rsidP="00A30B21">
      <w:pPr>
        <w:pStyle w:val="Header"/>
        <w:jc w:val="both"/>
        <w:rPr>
          <w:rFonts w:ascii="Arial" w:hAnsi="Arial" w:cs="Arial"/>
          <w:b/>
          <w:bCs/>
        </w:rPr>
      </w:pPr>
      <w:r w:rsidRPr="00926875">
        <w:rPr>
          <w:rFonts w:ascii="Arial" w:hAnsi="Arial" w:cs="Arial"/>
          <w:b/>
          <w:bCs/>
        </w:rPr>
        <w:t>Metrics</w:t>
      </w:r>
    </w:p>
    <w:p w14:paraId="6CBC3EB0" w14:textId="77777777" w:rsidR="002F2B39" w:rsidRPr="00926875" w:rsidRDefault="002F2B39" w:rsidP="00A30B21">
      <w:pPr>
        <w:pStyle w:val="Header"/>
        <w:jc w:val="both"/>
        <w:rPr>
          <w:rFonts w:ascii="Arial" w:hAnsi="Arial" w:cs="Arial"/>
          <w:b/>
          <w:bCs/>
        </w:rPr>
      </w:pPr>
    </w:p>
    <w:p w14:paraId="4F0F897C" w14:textId="4712FEF2" w:rsidR="00A30B21" w:rsidRDefault="00A30B21" w:rsidP="00A30B21">
      <w:pPr>
        <w:pStyle w:val="Header"/>
        <w:jc w:val="both"/>
        <w:rPr>
          <w:rFonts w:ascii="Arial" w:hAnsi="Arial" w:cs="Arial"/>
        </w:rPr>
      </w:pPr>
      <w:r>
        <w:rPr>
          <w:rFonts w:ascii="Arial" w:hAnsi="Arial" w:cs="Arial"/>
        </w:rPr>
        <w:t xml:space="preserve">As described in the previous </w:t>
      </w:r>
      <w:r w:rsidR="002F2B39">
        <w:rPr>
          <w:rFonts w:ascii="Arial" w:hAnsi="Arial" w:cs="Arial"/>
        </w:rPr>
        <w:t>B</w:t>
      </w:r>
      <w:r>
        <w:rPr>
          <w:rFonts w:ascii="Arial" w:hAnsi="Arial" w:cs="Arial"/>
        </w:rPr>
        <w:t xml:space="preserve">oard report </w:t>
      </w:r>
      <w:r w:rsidRPr="00926875">
        <w:rPr>
          <w:rFonts w:ascii="Arial" w:hAnsi="Arial" w:cs="Arial"/>
        </w:rPr>
        <w:t xml:space="preserve">a new set of </w:t>
      </w:r>
      <w:r w:rsidR="002F2B39">
        <w:rPr>
          <w:rFonts w:ascii="Arial" w:hAnsi="Arial" w:cs="Arial"/>
        </w:rPr>
        <w:t>Better Care Fund (BCF)</w:t>
      </w:r>
      <w:r w:rsidRPr="00926875">
        <w:rPr>
          <w:rFonts w:ascii="Arial" w:hAnsi="Arial" w:cs="Arial"/>
        </w:rPr>
        <w:t xml:space="preserve"> metrics </w:t>
      </w:r>
      <w:r>
        <w:rPr>
          <w:rFonts w:ascii="Arial" w:hAnsi="Arial" w:cs="Arial"/>
        </w:rPr>
        <w:t xml:space="preserve">was introduced in 2021/22. Detail of these is provided on </w:t>
      </w:r>
      <w:r w:rsidR="002F2B39">
        <w:rPr>
          <w:rFonts w:ascii="Arial" w:hAnsi="Arial" w:cs="Arial"/>
        </w:rPr>
        <w:t>A</w:t>
      </w:r>
      <w:r>
        <w:rPr>
          <w:rFonts w:ascii="Arial" w:hAnsi="Arial" w:cs="Arial"/>
        </w:rPr>
        <w:t xml:space="preserve">ppendix </w:t>
      </w:r>
      <w:r w:rsidR="002F2B39">
        <w:rPr>
          <w:rFonts w:ascii="Arial" w:hAnsi="Arial" w:cs="Arial"/>
        </w:rPr>
        <w:t>'A'</w:t>
      </w:r>
      <w:r>
        <w:rPr>
          <w:rFonts w:ascii="Arial" w:hAnsi="Arial" w:cs="Arial"/>
        </w:rPr>
        <w:t>.</w:t>
      </w:r>
    </w:p>
    <w:p w14:paraId="221A4845" w14:textId="77777777" w:rsidR="00A30B21" w:rsidRDefault="00A30B21" w:rsidP="00A30B21">
      <w:pPr>
        <w:pStyle w:val="Header"/>
        <w:jc w:val="both"/>
        <w:rPr>
          <w:rFonts w:ascii="Arial" w:hAnsi="Arial" w:cs="Arial"/>
        </w:rPr>
      </w:pPr>
    </w:p>
    <w:p w14:paraId="655339F5" w14:textId="77777777" w:rsidR="00A30B21" w:rsidRDefault="00A30B21" w:rsidP="00A30B21">
      <w:pPr>
        <w:pStyle w:val="Header"/>
        <w:jc w:val="both"/>
        <w:rPr>
          <w:rFonts w:ascii="Arial" w:hAnsi="Arial" w:cs="Arial"/>
        </w:rPr>
      </w:pPr>
      <w:r>
        <w:rPr>
          <w:rFonts w:ascii="Arial" w:hAnsi="Arial" w:cs="Arial"/>
        </w:rPr>
        <w:t>In summary the following are the Lancashire responses as required:</w:t>
      </w:r>
    </w:p>
    <w:p w14:paraId="44E3635D" w14:textId="77777777" w:rsidR="00A30B21" w:rsidRDefault="00A30B21" w:rsidP="00A30B21">
      <w:pPr>
        <w:pStyle w:val="Heade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480"/>
      </w:tblGrid>
      <w:tr w:rsidR="00A30B21" w:rsidRPr="004D54B2" w14:paraId="01A9C8B7" w14:textId="77777777" w:rsidTr="003362C2">
        <w:tc>
          <w:tcPr>
            <w:tcW w:w="4984" w:type="dxa"/>
            <w:shd w:val="clear" w:color="auto" w:fill="auto"/>
          </w:tcPr>
          <w:p w14:paraId="6267CE2F" w14:textId="77777777" w:rsidR="00A30B21" w:rsidRPr="00184D04" w:rsidRDefault="00A30B21" w:rsidP="00A30B21">
            <w:pPr>
              <w:pStyle w:val="Header"/>
              <w:jc w:val="both"/>
              <w:rPr>
                <w:rFonts w:ascii="Arial" w:hAnsi="Arial" w:cs="Arial"/>
                <w:b/>
                <w:bCs/>
              </w:rPr>
            </w:pPr>
            <w:r w:rsidRPr="00184D04">
              <w:rPr>
                <w:rFonts w:ascii="Arial" w:hAnsi="Arial" w:cs="Arial"/>
                <w:b/>
                <w:bCs/>
              </w:rPr>
              <w:t>Metric</w:t>
            </w:r>
          </w:p>
        </w:tc>
        <w:tc>
          <w:tcPr>
            <w:tcW w:w="4480" w:type="dxa"/>
            <w:shd w:val="clear" w:color="auto" w:fill="auto"/>
          </w:tcPr>
          <w:p w14:paraId="435DD464" w14:textId="77777777" w:rsidR="00A30B21" w:rsidRPr="00184D04" w:rsidRDefault="00A30B21" w:rsidP="00A30B21">
            <w:pPr>
              <w:pStyle w:val="Header"/>
              <w:jc w:val="both"/>
              <w:rPr>
                <w:rFonts w:ascii="Arial" w:hAnsi="Arial" w:cs="Arial"/>
                <w:b/>
                <w:bCs/>
              </w:rPr>
            </w:pPr>
            <w:r w:rsidRPr="00184D04">
              <w:rPr>
                <w:rFonts w:ascii="Arial" w:hAnsi="Arial" w:cs="Arial"/>
                <w:b/>
                <w:bCs/>
              </w:rPr>
              <w:t>Response</w:t>
            </w:r>
          </w:p>
        </w:tc>
      </w:tr>
      <w:tr w:rsidR="00A30B21" w14:paraId="65EC22A8" w14:textId="77777777" w:rsidTr="003362C2">
        <w:tc>
          <w:tcPr>
            <w:tcW w:w="4984" w:type="dxa"/>
            <w:shd w:val="clear" w:color="auto" w:fill="auto"/>
          </w:tcPr>
          <w:p w14:paraId="6985B36C" w14:textId="77777777" w:rsidR="00A30B21" w:rsidRPr="00184D04" w:rsidRDefault="00A30B21" w:rsidP="00A30B21">
            <w:pPr>
              <w:pStyle w:val="Header"/>
              <w:jc w:val="both"/>
              <w:rPr>
                <w:rFonts w:ascii="Arial" w:hAnsi="Arial" w:cs="Arial"/>
              </w:rPr>
            </w:pPr>
            <w:r w:rsidRPr="00184D04">
              <w:rPr>
                <w:rFonts w:ascii="Arial" w:hAnsi="Arial" w:cs="Arial"/>
              </w:rPr>
              <w:t>Avoidable admissions</w:t>
            </w:r>
          </w:p>
        </w:tc>
        <w:tc>
          <w:tcPr>
            <w:tcW w:w="4480" w:type="dxa"/>
            <w:shd w:val="clear" w:color="auto" w:fill="auto"/>
          </w:tcPr>
          <w:p w14:paraId="4941371D" w14:textId="77777777" w:rsidR="00A30B21" w:rsidRPr="00184D04" w:rsidRDefault="00A30B21" w:rsidP="00A30B21">
            <w:pPr>
              <w:pStyle w:val="Header"/>
              <w:jc w:val="both"/>
              <w:rPr>
                <w:rFonts w:ascii="Arial" w:hAnsi="Arial" w:cs="Arial"/>
              </w:rPr>
            </w:pPr>
            <w:r w:rsidRPr="00184D04">
              <w:rPr>
                <w:rFonts w:ascii="Arial" w:hAnsi="Arial" w:cs="Arial"/>
              </w:rPr>
              <w:t>Data not available to assess progress*</w:t>
            </w:r>
          </w:p>
        </w:tc>
      </w:tr>
      <w:tr w:rsidR="00A30B21" w14:paraId="65BC517A" w14:textId="77777777" w:rsidTr="003362C2">
        <w:tc>
          <w:tcPr>
            <w:tcW w:w="4984" w:type="dxa"/>
            <w:shd w:val="clear" w:color="auto" w:fill="auto"/>
          </w:tcPr>
          <w:p w14:paraId="2EFA800B" w14:textId="77777777" w:rsidR="00A30B21" w:rsidRPr="00184D04" w:rsidRDefault="00A30B21" w:rsidP="00A30B21">
            <w:pPr>
              <w:pStyle w:val="Header"/>
              <w:jc w:val="both"/>
              <w:rPr>
                <w:rFonts w:ascii="Arial" w:hAnsi="Arial" w:cs="Arial"/>
              </w:rPr>
            </w:pPr>
            <w:r w:rsidRPr="00184D04">
              <w:rPr>
                <w:rFonts w:ascii="Arial" w:hAnsi="Arial" w:cs="Arial"/>
              </w:rPr>
              <w:t>Length of Stay</w:t>
            </w:r>
          </w:p>
        </w:tc>
        <w:tc>
          <w:tcPr>
            <w:tcW w:w="4480" w:type="dxa"/>
            <w:shd w:val="clear" w:color="auto" w:fill="auto"/>
          </w:tcPr>
          <w:p w14:paraId="5B0EE6E2" w14:textId="77777777" w:rsidR="00A30B21" w:rsidRPr="00184D04" w:rsidRDefault="00A30B21" w:rsidP="00A30B21">
            <w:pPr>
              <w:pStyle w:val="Header"/>
              <w:jc w:val="both"/>
              <w:rPr>
                <w:rFonts w:ascii="Arial" w:hAnsi="Arial" w:cs="Arial"/>
              </w:rPr>
            </w:pPr>
            <w:r w:rsidRPr="00184D04">
              <w:rPr>
                <w:rFonts w:ascii="Arial" w:hAnsi="Arial" w:cs="Arial"/>
              </w:rPr>
              <w:t>Not on track to meet target</w:t>
            </w:r>
          </w:p>
        </w:tc>
      </w:tr>
      <w:tr w:rsidR="00A30B21" w14:paraId="570A2088" w14:textId="77777777" w:rsidTr="003362C2">
        <w:tc>
          <w:tcPr>
            <w:tcW w:w="4984" w:type="dxa"/>
            <w:shd w:val="clear" w:color="auto" w:fill="auto"/>
          </w:tcPr>
          <w:p w14:paraId="048EAC4F" w14:textId="77777777" w:rsidR="00A30B21" w:rsidRPr="00184D04" w:rsidRDefault="00A30B21" w:rsidP="00A30B21">
            <w:pPr>
              <w:pStyle w:val="Header"/>
              <w:jc w:val="both"/>
              <w:rPr>
                <w:rFonts w:ascii="Arial" w:hAnsi="Arial" w:cs="Arial"/>
              </w:rPr>
            </w:pPr>
            <w:r w:rsidRPr="00184D04">
              <w:rPr>
                <w:rFonts w:ascii="Arial" w:hAnsi="Arial" w:cs="Arial"/>
              </w:rPr>
              <w:t>Discharge to normal place of residence</w:t>
            </w:r>
          </w:p>
        </w:tc>
        <w:tc>
          <w:tcPr>
            <w:tcW w:w="4480" w:type="dxa"/>
            <w:shd w:val="clear" w:color="auto" w:fill="auto"/>
          </w:tcPr>
          <w:p w14:paraId="70751742" w14:textId="77777777" w:rsidR="00A30B21" w:rsidRPr="00184D04" w:rsidRDefault="00A30B21" w:rsidP="00A30B21">
            <w:pPr>
              <w:pStyle w:val="Header"/>
              <w:jc w:val="both"/>
              <w:rPr>
                <w:rFonts w:ascii="Arial" w:hAnsi="Arial" w:cs="Arial"/>
              </w:rPr>
            </w:pPr>
            <w:r w:rsidRPr="00184D04">
              <w:rPr>
                <w:rFonts w:ascii="Arial" w:hAnsi="Arial" w:cs="Arial"/>
              </w:rPr>
              <w:t>On track to meet target</w:t>
            </w:r>
          </w:p>
        </w:tc>
      </w:tr>
      <w:tr w:rsidR="00A30B21" w14:paraId="5D471859" w14:textId="77777777" w:rsidTr="003362C2">
        <w:tc>
          <w:tcPr>
            <w:tcW w:w="4984" w:type="dxa"/>
            <w:shd w:val="clear" w:color="auto" w:fill="auto"/>
          </w:tcPr>
          <w:p w14:paraId="3A8EEE6D" w14:textId="77777777" w:rsidR="00A30B21" w:rsidRPr="00184D04" w:rsidRDefault="00A30B21" w:rsidP="00A30B21">
            <w:pPr>
              <w:pStyle w:val="Header"/>
              <w:jc w:val="both"/>
              <w:rPr>
                <w:rFonts w:ascii="Arial" w:hAnsi="Arial" w:cs="Arial"/>
              </w:rPr>
            </w:pPr>
            <w:r w:rsidRPr="00184D04">
              <w:rPr>
                <w:rFonts w:ascii="Arial" w:hAnsi="Arial" w:cs="Arial"/>
              </w:rPr>
              <w:t>Residential Care Admissions</w:t>
            </w:r>
          </w:p>
        </w:tc>
        <w:tc>
          <w:tcPr>
            <w:tcW w:w="4480" w:type="dxa"/>
            <w:shd w:val="clear" w:color="auto" w:fill="auto"/>
          </w:tcPr>
          <w:p w14:paraId="185DB074" w14:textId="77777777" w:rsidR="00A30B21" w:rsidRPr="00184D04" w:rsidRDefault="00A30B21" w:rsidP="00A30B21">
            <w:pPr>
              <w:pStyle w:val="Header"/>
              <w:jc w:val="both"/>
              <w:rPr>
                <w:rFonts w:ascii="Arial" w:hAnsi="Arial" w:cs="Arial"/>
              </w:rPr>
            </w:pPr>
            <w:r w:rsidRPr="00184D04">
              <w:rPr>
                <w:rFonts w:ascii="Arial" w:hAnsi="Arial" w:cs="Arial"/>
              </w:rPr>
              <w:t>On track to meet target</w:t>
            </w:r>
          </w:p>
        </w:tc>
      </w:tr>
      <w:tr w:rsidR="00A30B21" w14:paraId="66B41A60" w14:textId="77777777" w:rsidTr="003362C2">
        <w:tc>
          <w:tcPr>
            <w:tcW w:w="4984" w:type="dxa"/>
            <w:shd w:val="clear" w:color="auto" w:fill="auto"/>
          </w:tcPr>
          <w:p w14:paraId="0B7DEFBE" w14:textId="77777777" w:rsidR="00A30B21" w:rsidRPr="00184D04" w:rsidRDefault="00A30B21" w:rsidP="00A30B21">
            <w:pPr>
              <w:pStyle w:val="Header"/>
              <w:jc w:val="both"/>
              <w:rPr>
                <w:rFonts w:ascii="Arial" w:hAnsi="Arial" w:cs="Arial"/>
              </w:rPr>
            </w:pPr>
            <w:r w:rsidRPr="00184D04">
              <w:rPr>
                <w:rFonts w:ascii="Arial" w:hAnsi="Arial" w:cs="Arial"/>
              </w:rPr>
              <w:t>Reablement</w:t>
            </w:r>
          </w:p>
        </w:tc>
        <w:tc>
          <w:tcPr>
            <w:tcW w:w="4480" w:type="dxa"/>
            <w:shd w:val="clear" w:color="auto" w:fill="auto"/>
          </w:tcPr>
          <w:p w14:paraId="79630497" w14:textId="77777777" w:rsidR="00A30B21" w:rsidRPr="00184D04" w:rsidRDefault="00A30B21" w:rsidP="00A30B21">
            <w:pPr>
              <w:pStyle w:val="Header"/>
              <w:jc w:val="both"/>
              <w:rPr>
                <w:rFonts w:ascii="Arial" w:hAnsi="Arial" w:cs="Arial"/>
              </w:rPr>
            </w:pPr>
            <w:r w:rsidRPr="00184D04">
              <w:rPr>
                <w:rFonts w:ascii="Arial" w:hAnsi="Arial" w:cs="Arial"/>
              </w:rPr>
              <w:t>On track to meet target</w:t>
            </w:r>
          </w:p>
        </w:tc>
      </w:tr>
    </w:tbl>
    <w:p w14:paraId="47AA8CA6" w14:textId="77777777" w:rsidR="002F2B39" w:rsidRDefault="002F2B39" w:rsidP="002F2B39">
      <w:pPr>
        <w:pStyle w:val="Header"/>
        <w:jc w:val="both"/>
        <w:rPr>
          <w:rFonts w:ascii="Arial" w:hAnsi="Arial" w:cs="Arial"/>
        </w:rPr>
      </w:pPr>
    </w:p>
    <w:p w14:paraId="2664C917" w14:textId="2C07F0B8" w:rsidR="00A30B21" w:rsidRDefault="00A30B21" w:rsidP="002F2B39">
      <w:pPr>
        <w:pStyle w:val="Header"/>
        <w:jc w:val="both"/>
        <w:rPr>
          <w:rFonts w:ascii="Arial" w:hAnsi="Arial" w:cs="Arial"/>
        </w:rPr>
      </w:pPr>
      <w:r>
        <w:rPr>
          <w:rFonts w:ascii="Arial" w:hAnsi="Arial" w:cs="Arial"/>
        </w:rPr>
        <w:t>* Latest available data is for the period until March 2022</w:t>
      </w:r>
    </w:p>
    <w:p w14:paraId="038346A2" w14:textId="77777777" w:rsidR="00A30B21" w:rsidRDefault="00A30B21" w:rsidP="00A30B21">
      <w:pPr>
        <w:pStyle w:val="Header"/>
        <w:jc w:val="both"/>
        <w:rPr>
          <w:rFonts w:ascii="Arial" w:hAnsi="Arial" w:cs="Arial"/>
        </w:rPr>
      </w:pPr>
    </w:p>
    <w:p w14:paraId="5E396F12" w14:textId="074F5297" w:rsidR="00A30B21" w:rsidRDefault="00A30B21" w:rsidP="00A30B21">
      <w:pPr>
        <w:pStyle w:val="Header"/>
        <w:jc w:val="both"/>
        <w:rPr>
          <w:rFonts w:ascii="Arial" w:hAnsi="Arial" w:cs="Arial"/>
          <w:b/>
          <w:bCs/>
        </w:rPr>
      </w:pPr>
      <w:r>
        <w:rPr>
          <w:rFonts w:ascii="Arial" w:hAnsi="Arial" w:cs="Arial"/>
        </w:rPr>
        <w:t xml:space="preserve">A broader summary including exploration of the challenges faced and achievements made in addressing these is provided at </w:t>
      </w:r>
      <w:r w:rsidR="002F2B39">
        <w:rPr>
          <w:rFonts w:ascii="Arial" w:hAnsi="Arial" w:cs="Arial"/>
        </w:rPr>
        <w:t>A</w:t>
      </w:r>
      <w:r>
        <w:rPr>
          <w:rFonts w:ascii="Arial" w:hAnsi="Arial" w:cs="Arial"/>
        </w:rPr>
        <w:t xml:space="preserve">ppendix </w:t>
      </w:r>
      <w:r w:rsidR="002F2B39">
        <w:rPr>
          <w:rFonts w:ascii="Arial" w:hAnsi="Arial" w:cs="Arial"/>
        </w:rPr>
        <w:t>'A'.</w:t>
      </w:r>
    </w:p>
    <w:p w14:paraId="5C66E48C" w14:textId="77777777" w:rsidR="00A30B21" w:rsidRDefault="00A30B21" w:rsidP="00A30B21">
      <w:pPr>
        <w:pStyle w:val="Header"/>
        <w:jc w:val="both"/>
        <w:rPr>
          <w:rFonts w:ascii="Arial" w:hAnsi="Arial" w:cs="Arial"/>
        </w:rPr>
      </w:pPr>
    </w:p>
    <w:p w14:paraId="725AB4FC" w14:textId="092020A8" w:rsidR="00A30B21" w:rsidRDefault="00A30B21" w:rsidP="00A30B21">
      <w:pPr>
        <w:pStyle w:val="Header"/>
        <w:jc w:val="both"/>
        <w:rPr>
          <w:rFonts w:ascii="Arial" w:hAnsi="Arial" w:cs="Arial"/>
          <w:b/>
          <w:bCs/>
        </w:rPr>
      </w:pPr>
      <w:r w:rsidRPr="008D1008">
        <w:rPr>
          <w:rFonts w:ascii="Arial" w:hAnsi="Arial" w:cs="Arial"/>
          <w:b/>
          <w:bCs/>
        </w:rPr>
        <w:t>Income and Expenditure</w:t>
      </w:r>
    </w:p>
    <w:p w14:paraId="3091908B" w14:textId="77777777" w:rsidR="002F2B39" w:rsidRDefault="002F2B39" w:rsidP="00A30B21">
      <w:pPr>
        <w:pStyle w:val="Header"/>
        <w:jc w:val="both"/>
        <w:rPr>
          <w:rFonts w:ascii="Arial" w:hAnsi="Arial" w:cs="Arial"/>
          <w:b/>
          <w:bCs/>
        </w:rPr>
      </w:pPr>
    </w:p>
    <w:p w14:paraId="1CDE177E" w14:textId="5B62F139" w:rsidR="00A30B21" w:rsidRDefault="00A30B21" w:rsidP="00A30B21">
      <w:pPr>
        <w:pStyle w:val="Header"/>
        <w:jc w:val="both"/>
        <w:rPr>
          <w:rFonts w:ascii="Arial" w:hAnsi="Arial" w:cs="Arial"/>
        </w:rPr>
      </w:pPr>
      <w:r w:rsidRPr="001869B0">
        <w:rPr>
          <w:rFonts w:ascii="Arial" w:hAnsi="Arial" w:cs="Arial"/>
        </w:rPr>
        <w:t xml:space="preserve">The financial performance of the fund was in line with plan. </w:t>
      </w:r>
    </w:p>
    <w:p w14:paraId="7DCCF18B" w14:textId="77777777" w:rsidR="002F2B39" w:rsidRPr="001869B0" w:rsidRDefault="002F2B39" w:rsidP="00A30B21">
      <w:pPr>
        <w:pStyle w:val="Header"/>
        <w:jc w:val="both"/>
        <w:rPr>
          <w:rFonts w:ascii="Arial" w:hAnsi="Arial" w:cs="Arial"/>
        </w:rPr>
      </w:pPr>
    </w:p>
    <w:p w14:paraId="0F37FEA4" w14:textId="77777777" w:rsidR="00A30B21" w:rsidRPr="001869B0" w:rsidRDefault="00A30B21" w:rsidP="00A30B21">
      <w:pPr>
        <w:pStyle w:val="Header"/>
        <w:jc w:val="both"/>
        <w:rPr>
          <w:rFonts w:ascii="Arial" w:hAnsi="Arial" w:cs="Arial"/>
        </w:rPr>
      </w:pPr>
      <w:r w:rsidRPr="001869B0">
        <w:rPr>
          <w:rFonts w:ascii="Arial" w:hAnsi="Arial" w:cs="Arial"/>
        </w:rPr>
        <w:t>Planned and actual income and expenditure was £166,779,719.</w:t>
      </w:r>
    </w:p>
    <w:p w14:paraId="5D868FF2" w14:textId="77777777" w:rsidR="002F2B39" w:rsidRDefault="002F2B39" w:rsidP="00A30B21">
      <w:pPr>
        <w:pStyle w:val="Header"/>
        <w:jc w:val="both"/>
        <w:rPr>
          <w:rFonts w:ascii="Arial" w:hAnsi="Arial" w:cs="Arial"/>
        </w:rPr>
      </w:pPr>
    </w:p>
    <w:p w14:paraId="72308017" w14:textId="0E4D1314" w:rsidR="00A30B21" w:rsidRDefault="00A30B21" w:rsidP="00A30B21">
      <w:pPr>
        <w:pStyle w:val="Header"/>
        <w:jc w:val="both"/>
        <w:rPr>
          <w:rFonts w:ascii="Arial" w:hAnsi="Arial" w:cs="Arial"/>
        </w:rPr>
      </w:pPr>
      <w:r w:rsidRPr="001869B0">
        <w:rPr>
          <w:rFonts w:ascii="Arial" w:hAnsi="Arial" w:cs="Arial"/>
        </w:rPr>
        <w:lastRenderedPageBreak/>
        <w:t>This was made up of:</w:t>
      </w:r>
      <w:r w:rsidRPr="001869B0">
        <w:rPr>
          <w:rFonts w:ascii="Arial" w:hAnsi="Arial" w:cs="Arial"/>
        </w:rPr>
        <w:tab/>
      </w:r>
    </w:p>
    <w:p w14:paraId="3DE1A9C7" w14:textId="77777777" w:rsidR="002F2B39" w:rsidRPr="001869B0" w:rsidRDefault="002F2B39" w:rsidP="00A30B21">
      <w:pPr>
        <w:pStyle w:val="Header"/>
        <w:jc w:val="both"/>
        <w:rPr>
          <w:rFonts w:ascii="Arial" w:hAnsi="Arial" w:cs="Arial"/>
        </w:rPr>
      </w:pPr>
    </w:p>
    <w:tbl>
      <w:tblPr>
        <w:tblW w:w="8075" w:type="dxa"/>
        <w:tblInd w:w="113" w:type="dxa"/>
        <w:tblLook w:val="04A0" w:firstRow="1" w:lastRow="0" w:firstColumn="1" w:lastColumn="0" w:noHBand="0" w:noVBand="1"/>
      </w:tblPr>
      <w:tblGrid>
        <w:gridCol w:w="2720"/>
        <w:gridCol w:w="3087"/>
        <w:gridCol w:w="2268"/>
      </w:tblGrid>
      <w:tr w:rsidR="00A30B21" w:rsidRPr="00331E93" w14:paraId="4F0CF82E" w14:textId="77777777" w:rsidTr="003362C2">
        <w:trPr>
          <w:trHeight w:val="300"/>
        </w:trPr>
        <w:tc>
          <w:tcPr>
            <w:tcW w:w="2720" w:type="dxa"/>
            <w:tcBorders>
              <w:top w:val="single" w:sz="4" w:space="0" w:color="auto"/>
              <w:left w:val="single" w:sz="4" w:space="0" w:color="auto"/>
              <w:bottom w:val="single" w:sz="4" w:space="0" w:color="auto"/>
              <w:right w:val="single" w:sz="4" w:space="0" w:color="auto"/>
            </w:tcBorders>
            <w:shd w:val="clear" w:color="000000" w:fill="0070C0"/>
            <w:hideMark/>
          </w:tcPr>
          <w:p w14:paraId="49AEDA22"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Disabled Facilities Grant</w:t>
            </w:r>
          </w:p>
        </w:tc>
        <w:tc>
          <w:tcPr>
            <w:tcW w:w="3087" w:type="dxa"/>
            <w:tcBorders>
              <w:top w:val="single" w:sz="4" w:space="0" w:color="auto"/>
              <w:left w:val="nil"/>
              <w:bottom w:val="single" w:sz="4" w:space="0" w:color="auto"/>
              <w:right w:val="single" w:sz="4" w:space="0" w:color="auto"/>
            </w:tcBorders>
            <w:shd w:val="clear" w:color="000000" w:fill="D9E1F2"/>
            <w:noWrap/>
            <w:vAlign w:val="bottom"/>
            <w:hideMark/>
          </w:tcPr>
          <w:p w14:paraId="53F313DB"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£16,714,881</w:t>
            </w:r>
          </w:p>
        </w:tc>
        <w:tc>
          <w:tcPr>
            <w:tcW w:w="2268" w:type="dxa"/>
            <w:tcBorders>
              <w:top w:val="nil"/>
              <w:left w:val="nil"/>
              <w:bottom w:val="nil"/>
              <w:right w:val="nil"/>
            </w:tcBorders>
            <w:shd w:val="clear" w:color="000000" w:fill="F2F2F2"/>
            <w:noWrap/>
            <w:vAlign w:val="bottom"/>
            <w:hideMark/>
          </w:tcPr>
          <w:p w14:paraId="2F4D99AB"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r>
      <w:tr w:rsidR="00A30B21" w:rsidRPr="00331E93" w14:paraId="75C2BF5B" w14:textId="77777777" w:rsidTr="003362C2">
        <w:trPr>
          <w:trHeight w:val="300"/>
        </w:trPr>
        <w:tc>
          <w:tcPr>
            <w:tcW w:w="2720" w:type="dxa"/>
            <w:tcBorders>
              <w:top w:val="nil"/>
              <w:left w:val="single" w:sz="4" w:space="0" w:color="auto"/>
              <w:bottom w:val="single" w:sz="4" w:space="0" w:color="auto"/>
              <w:right w:val="single" w:sz="4" w:space="0" w:color="auto"/>
            </w:tcBorders>
            <w:shd w:val="clear" w:color="000000" w:fill="0070C0"/>
            <w:hideMark/>
          </w:tcPr>
          <w:p w14:paraId="3F99EC5B"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Improved Better Care Fund</w:t>
            </w:r>
          </w:p>
        </w:tc>
        <w:tc>
          <w:tcPr>
            <w:tcW w:w="3087" w:type="dxa"/>
            <w:tcBorders>
              <w:top w:val="nil"/>
              <w:left w:val="nil"/>
              <w:bottom w:val="single" w:sz="4" w:space="0" w:color="auto"/>
              <w:right w:val="single" w:sz="4" w:space="0" w:color="auto"/>
            </w:tcBorders>
            <w:shd w:val="clear" w:color="000000" w:fill="D9E1F2"/>
            <w:noWrap/>
            <w:vAlign w:val="bottom"/>
            <w:hideMark/>
          </w:tcPr>
          <w:p w14:paraId="0F0D2B44"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£53,331,389</w:t>
            </w:r>
          </w:p>
        </w:tc>
        <w:tc>
          <w:tcPr>
            <w:tcW w:w="2268" w:type="dxa"/>
            <w:tcBorders>
              <w:top w:val="nil"/>
              <w:left w:val="nil"/>
              <w:bottom w:val="nil"/>
              <w:right w:val="nil"/>
            </w:tcBorders>
            <w:shd w:val="clear" w:color="000000" w:fill="F2F2F2"/>
            <w:noWrap/>
            <w:vAlign w:val="bottom"/>
            <w:hideMark/>
          </w:tcPr>
          <w:p w14:paraId="074178C5"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r>
      <w:tr w:rsidR="00A30B21" w:rsidRPr="00331E93" w14:paraId="15A2AE61" w14:textId="77777777" w:rsidTr="003362C2">
        <w:trPr>
          <w:trHeight w:val="300"/>
        </w:trPr>
        <w:tc>
          <w:tcPr>
            <w:tcW w:w="2720" w:type="dxa"/>
            <w:tcBorders>
              <w:top w:val="nil"/>
              <w:left w:val="single" w:sz="4" w:space="0" w:color="auto"/>
              <w:bottom w:val="single" w:sz="4" w:space="0" w:color="auto"/>
              <w:right w:val="single" w:sz="4" w:space="0" w:color="auto"/>
            </w:tcBorders>
            <w:shd w:val="clear" w:color="000000" w:fill="0070C0"/>
            <w:hideMark/>
          </w:tcPr>
          <w:p w14:paraId="4B340330"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CCG Minimum Fund</w:t>
            </w:r>
          </w:p>
        </w:tc>
        <w:tc>
          <w:tcPr>
            <w:tcW w:w="3087" w:type="dxa"/>
            <w:tcBorders>
              <w:top w:val="nil"/>
              <w:left w:val="nil"/>
              <w:bottom w:val="single" w:sz="4" w:space="0" w:color="auto"/>
              <w:right w:val="single" w:sz="4" w:space="0" w:color="auto"/>
            </w:tcBorders>
            <w:shd w:val="clear" w:color="000000" w:fill="D9E1F2"/>
            <w:noWrap/>
            <w:vAlign w:val="bottom"/>
            <w:hideMark/>
          </w:tcPr>
          <w:p w14:paraId="256B2F77"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£96,447,087</w:t>
            </w:r>
          </w:p>
        </w:tc>
        <w:tc>
          <w:tcPr>
            <w:tcW w:w="2268" w:type="dxa"/>
            <w:tcBorders>
              <w:top w:val="nil"/>
              <w:left w:val="nil"/>
              <w:bottom w:val="nil"/>
              <w:right w:val="nil"/>
            </w:tcBorders>
            <w:shd w:val="clear" w:color="000000" w:fill="F2F2F2"/>
            <w:noWrap/>
            <w:vAlign w:val="bottom"/>
            <w:hideMark/>
          </w:tcPr>
          <w:p w14:paraId="1C08B8B5"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r>
      <w:tr w:rsidR="00A30B21" w:rsidRPr="00331E93" w14:paraId="604A2C5D" w14:textId="77777777" w:rsidTr="003362C2">
        <w:trPr>
          <w:trHeight w:val="600"/>
        </w:trPr>
        <w:tc>
          <w:tcPr>
            <w:tcW w:w="272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1D0882AD"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CCG Additional Funding</w:t>
            </w:r>
            <w:r>
              <w:rPr>
                <w:rFonts w:ascii="Calibri" w:hAnsi="Calibri" w:cs="Calibri"/>
                <w:color w:val="FFFFFF"/>
                <w:sz w:val="22"/>
                <w:szCs w:val="22"/>
              </w:rPr>
              <w:t>*</w:t>
            </w:r>
          </w:p>
        </w:tc>
        <w:tc>
          <w:tcPr>
            <w:tcW w:w="3087" w:type="dxa"/>
            <w:tcBorders>
              <w:top w:val="nil"/>
              <w:left w:val="nil"/>
              <w:bottom w:val="single" w:sz="4" w:space="0" w:color="auto"/>
              <w:right w:val="single" w:sz="4" w:space="0" w:color="auto"/>
            </w:tcBorders>
            <w:shd w:val="clear" w:color="000000" w:fill="D9E1F2"/>
            <w:noWrap/>
            <w:vAlign w:val="bottom"/>
            <w:hideMark/>
          </w:tcPr>
          <w:p w14:paraId="6A89EC9B"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£286,362</w:t>
            </w:r>
          </w:p>
        </w:tc>
        <w:tc>
          <w:tcPr>
            <w:tcW w:w="2268" w:type="dxa"/>
            <w:tcBorders>
              <w:top w:val="nil"/>
              <w:left w:val="nil"/>
              <w:bottom w:val="nil"/>
              <w:right w:val="nil"/>
            </w:tcBorders>
            <w:shd w:val="clear" w:color="000000" w:fill="F2F2F2"/>
            <w:noWrap/>
            <w:vAlign w:val="bottom"/>
            <w:hideMark/>
          </w:tcPr>
          <w:p w14:paraId="4846D445"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r>
      <w:tr w:rsidR="00A30B21" w:rsidRPr="00331E93" w14:paraId="7592F009" w14:textId="77777777" w:rsidTr="003362C2">
        <w:trPr>
          <w:trHeight w:val="300"/>
        </w:trPr>
        <w:tc>
          <w:tcPr>
            <w:tcW w:w="2720" w:type="dxa"/>
            <w:tcBorders>
              <w:top w:val="nil"/>
              <w:left w:val="nil"/>
              <w:bottom w:val="nil"/>
              <w:right w:val="nil"/>
            </w:tcBorders>
            <w:shd w:val="clear" w:color="000000" w:fill="F2F2F2"/>
            <w:noWrap/>
            <w:vAlign w:val="bottom"/>
            <w:hideMark/>
          </w:tcPr>
          <w:p w14:paraId="1894C8B3"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c>
          <w:tcPr>
            <w:tcW w:w="3087" w:type="dxa"/>
            <w:tcBorders>
              <w:top w:val="nil"/>
              <w:left w:val="nil"/>
              <w:bottom w:val="nil"/>
              <w:right w:val="nil"/>
            </w:tcBorders>
            <w:shd w:val="clear" w:color="000000" w:fill="F2F2F2"/>
            <w:noWrap/>
            <w:vAlign w:val="bottom"/>
            <w:hideMark/>
          </w:tcPr>
          <w:p w14:paraId="1EE4377F"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c>
          <w:tcPr>
            <w:tcW w:w="2268" w:type="dxa"/>
            <w:tcBorders>
              <w:top w:val="nil"/>
              <w:left w:val="nil"/>
              <w:bottom w:val="nil"/>
              <w:right w:val="nil"/>
            </w:tcBorders>
            <w:shd w:val="clear" w:color="000000" w:fill="F2F2F2"/>
            <w:noWrap/>
            <w:vAlign w:val="bottom"/>
            <w:hideMark/>
          </w:tcPr>
          <w:p w14:paraId="3431CD04"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r>
      <w:tr w:rsidR="00A30B21" w:rsidRPr="00331E93" w14:paraId="3CA37587" w14:textId="77777777" w:rsidTr="003362C2">
        <w:trPr>
          <w:trHeight w:val="300"/>
        </w:trPr>
        <w:tc>
          <w:tcPr>
            <w:tcW w:w="2720" w:type="dxa"/>
            <w:tcBorders>
              <w:top w:val="nil"/>
              <w:left w:val="nil"/>
              <w:bottom w:val="nil"/>
              <w:right w:val="nil"/>
            </w:tcBorders>
            <w:shd w:val="clear" w:color="000000" w:fill="F2F2F2"/>
            <w:noWrap/>
            <w:vAlign w:val="bottom"/>
            <w:hideMark/>
          </w:tcPr>
          <w:p w14:paraId="210F8474"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 </w:t>
            </w:r>
          </w:p>
        </w:tc>
        <w:tc>
          <w:tcPr>
            <w:tcW w:w="3087" w:type="dxa"/>
            <w:tcBorders>
              <w:top w:val="single" w:sz="4" w:space="0" w:color="auto"/>
              <w:left w:val="single" w:sz="4" w:space="0" w:color="auto"/>
              <w:bottom w:val="single" w:sz="4" w:space="0" w:color="auto"/>
              <w:right w:val="single" w:sz="4" w:space="0" w:color="auto"/>
            </w:tcBorders>
            <w:shd w:val="clear" w:color="000000" w:fill="0070C0"/>
            <w:hideMark/>
          </w:tcPr>
          <w:p w14:paraId="6B59214B"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Planned 21-22</w:t>
            </w:r>
          </w:p>
        </w:tc>
        <w:tc>
          <w:tcPr>
            <w:tcW w:w="2268" w:type="dxa"/>
            <w:tcBorders>
              <w:top w:val="single" w:sz="4" w:space="0" w:color="auto"/>
              <w:left w:val="nil"/>
              <w:bottom w:val="single" w:sz="4" w:space="0" w:color="auto"/>
              <w:right w:val="single" w:sz="4" w:space="0" w:color="auto"/>
            </w:tcBorders>
            <w:shd w:val="clear" w:color="000000" w:fill="0070C0"/>
            <w:hideMark/>
          </w:tcPr>
          <w:p w14:paraId="555F1B34" w14:textId="77777777" w:rsidR="00A30B21" w:rsidRPr="00331E93" w:rsidRDefault="00A30B21" w:rsidP="00A30B21">
            <w:pPr>
              <w:jc w:val="both"/>
              <w:rPr>
                <w:rFonts w:ascii="Calibri" w:hAnsi="Calibri" w:cs="Calibri"/>
                <w:color w:val="FFFFFF"/>
                <w:sz w:val="22"/>
                <w:szCs w:val="22"/>
              </w:rPr>
            </w:pPr>
            <w:r w:rsidRPr="00331E93">
              <w:rPr>
                <w:rFonts w:ascii="Calibri" w:hAnsi="Calibri" w:cs="Calibri"/>
                <w:color w:val="FFFFFF"/>
                <w:sz w:val="22"/>
                <w:szCs w:val="22"/>
              </w:rPr>
              <w:t>Actual 21-22</w:t>
            </w:r>
          </w:p>
        </w:tc>
      </w:tr>
      <w:tr w:rsidR="00A30B21" w:rsidRPr="00331E93" w14:paraId="614A3838" w14:textId="77777777" w:rsidTr="003362C2">
        <w:trPr>
          <w:trHeight w:val="300"/>
        </w:trPr>
        <w:tc>
          <w:tcPr>
            <w:tcW w:w="2720" w:type="dxa"/>
            <w:tcBorders>
              <w:top w:val="single" w:sz="4" w:space="0" w:color="auto"/>
              <w:left w:val="single" w:sz="4" w:space="0" w:color="auto"/>
              <w:bottom w:val="single" w:sz="4" w:space="0" w:color="auto"/>
              <w:right w:val="single" w:sz="4" w:space="0" w:color="auto"/>
            </w:tcBorders>
            <w:shd w:val="clear" w:color="000000" w:fill="0070C0"/>
            <w:hideMark/>
          </w:tcPr>
          <w:p w14:paraId="65E09B80" w14:textId="77777777" w:rsidR="00A30B21" w:rsidRPr="00331E93" w:rsidRDefault="00A30B21" w:rsidP="00A30B21">
            <w:pPr>
              <w:jc w:val="both"/>
              <w:rPr>
                <w:rFonts w:ascii="Calibri" w:hAnsi="Calibri" w:cs="Calibri"/>
                <w:b/>
                <w:bCs/>
                <w:color w:val="FFFFFF"/>
                <w:sz w:val="22"/>
                <w:szCs w:val="22"/>
              </w:rPr>
            </w:pPr>
            <w:r w:rsidRPr="00331E93">
              <w:rPr>
                <w:rFonts w:ascii="Calibri" w:hAnsi="Calibri" w:cs="Calibri"/>
                <w:b/>
                <w:bCs/>
                <w:color w:val="FFFFFF"/>
                <w:sz w:val="22"/>
                <w:szCs w:val="22"/>
              </w:rPr>
              <w:t>Total BCF Pooled Fund</w:t>
            </w:r>
          </w:p>
        </w:tc>
        <w:tc>
          <w:tcPr>
            <w:tcW w:w="3087" w:type="dxa"/>
            <w:tcBorders>
              <w:top w:val="nil"/>
              <w:left w:val="nil"/>
              <w:bottom w:val="single" w:sz="4" w:space="0" w:color="auto"/>
              <w:right w:val="single" w:sz="4" w:space="0" w:color="auto"/>
            </w:tcBorders>
            <w:shd w:val="clear" w:color="000000" w:fill="D9E1F2"/>
            <w:noWrap/>
            <w:vAlign w:val="bottom"/>
            <w:hideMark/>
          </w:tcPr>
          <w:p w14:paraId="74BA6712"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£166,779,719</w:t>
            </w:r>
          </w:p>
        </w:tc>
        <w:tc>
          <w:tcPr>
            <w:tcW w:w="2268" w:type="dxa"/>
            <w:tcBorders>
              <w:top w:val="nil"/>
              <w:left w:val="nil"/>
              <w:bottom w:val="single" w:sz="4" w:space="0" w:color="auto"/>
              <w:right w:val="single" w:sz="4" w:space="0" w:color="auto"/>
            </w:tcBorders>
            <w:shd w:val="clear" w:color="000000" w:fill="D9E1F2"/>
            <w:noWrap/>
            <w:vAlign w:val="bottom"/>
            <w:hideMark/>
          </w:tcPr>
          <w:p w14:paraId="2E111B1F" w14:textId="77777777" w:rsidR="00A30B21" w:rsidRPr="00331E93" w:rsidRDefault="00A30B21" w:rsidP="00A30B21">
            <w:pPr>
              <w:jc w:val="both"/>
              <w:rPr>
                <w:rFonts w:ascii="Calibri" w:hAnsi="Calibri" w:cs="Calibri"/>
                <w:color w:val="000000"/>
                <w:sz w:val="22"/>
                <w:szCs w:val="22"/>
              </w:rPr>
            </w:pPr>
            <w:r w:rsidRPr="00331E93">
              <w:rPr>
                <w:rFonts w:ascii="Calibri" w:hAnsi="Calibri" w:cs="Calibri"/>
                <w:color w:val="000000"/>
                <w:sz w:val="22"/>
                <w:szCs w:val="22"/>
              </w:rPr>
              <w:t>£166,779,719</w:t>
            </w:r>
          </w:p>
        </w:tc>
      </w:tr>
    </w:tbl>
    <w:p w14:paraId="14160DA9" w14:textId="77777777" w:rsidR="002F2B39" w:rsidRDefault="002F2B39" w:rsidP="00A30B21">
      <w:pPr>
        <w:pStyle w:val="Header"/>
        <w:jc w:val="both"/>
        <w:rPr>
          <w:rFonts w:ascii="Arial" w:hAnsi="Arial" w:cs="Arial"/>
        </w:rPr>
      </w:pPr>
    </w:p>
    <w:p w14:paraId="775BB2E1" w14:textId="1BC94D6A" w:rsidR="00A30B21" w:rsidRDefault="00A30B21" w:rsidP="00A30B21">
      <w:pPr>
        <w:pStyle w:val="Header"/>
        <w:jc w:val="both"/>
        <w:rPr>
          <w:rFonts w:ascii="Arial" w:hAnsi="Arial" w:cs="Arial"/>
        </w:rPr>
      </w:pPr>
      <w:r>
        <w:rPr>
          <w:rFonts w:ascii="Arial" w:hAnsi="Arial" w:cs="Arial"/>
        </w:rPr>
        <w:t xml:space="preserve">*Additional funding by East Lancashire </w:t>
      </w:r>
      <w:r w:rsidR="002F2B39">
        <w:rPr>
          <w:rFonts w:ascii="Arial" w:hAnsi="Arial" w:cs="Arial"/>
        </w:rPr>
        <w:t>Clinical Commissioning Group (CCG)</w:t>
      </w:r>
      <w:r>
        <w:rPr>
          <w:rFonts w:ascii="Arial" w:hAnsi="Arial" w:cs="Arial"/>
        </w:rPr>
        <w:t>.</w:t>
      </w:r>
    </w:p>
    <w:p w14:paraId="14ABA3AB" w14:textId="77777777" w:rsidR="002F2B39" w:rsidRDefault="002F2B39" w:rsidP="00A30B21">
      <w:pPr>
        <w:pStyle w:val="Header"/>
        <w:jc w:val="both"/>
        <w:rPr>
          <w:rFonts w:ascii="Arial" w:hAnsi="Arial" w:cs="Arial"/>
        </w:rPr>
      </w:pPr>
    </w:p>
    <w:p w14:paraId="13EA4938" w14:textId="324F84BF" w:rsidR="00A30B21" w:rsidRDefault="00A30B21" w:rsidP="00A30B21">
      <w:pPr>
        <w:pStyle w:val="Header"/>
        <w:jc w:val="both"/>
        <w:rPr>
          <w:rFonts w:ascii="Arial" w:hAnsi="Arial" w:cs="Arial"/>
          <w:b/>
          <w:bCs/>
        </w:rPr>
      </w:pPr>
      <w:r>
        <w:rPr>
          <w:rFonts w:ascii="Arial" w:hAnsi="Arial" w:cs="Arial"/>
        </w:rPr>
        <w:t xml:space="preserve">The spending plan for the Better Care Fund plan 2021/22 is provided on </w:t>
      </w:r>
      <w:r w:rsidR="002F2B39">
        <w:rPr>
          <w:rFonts w:ascii="Arial" w:hAnsi="Arial" w:cs="Arial"/>
        </w:rPr>
        <w:t>A</w:t>
      </w:r>
      <w:r>
        <w:rPr>
          <w:rFonts w:ascii="Arial" w:hAnsi="Arial" w:cs="Arial"/>
        </w:rPr>
        <w:t xml:space="preserve">ppendix </w:t>
      </w:r>
      <w:r w:rsidR="002F2B39">
        <w:rPr>
          <w:rFonts w:ascii="Arial" w:hAnsi="Arial" w:cs="Arial"/>
        </w:rPr>
        <w:t>'B'.</w:t>
      </w:r>
    </w:p>
    <w:p w14:paraId="1E0796FA" w14:textId="77777777" w:rsidR="00A30B21" w:rsidRDefault="00A30B21" w:rsidP="00A30B21">
      <w:pPr>
        <w:pStyle w:val="Header"/>
        <w:jc w:val="both"/>
        <w:rPr>
          <w:rFonts w:ascii="Arial" w:hAnsi="Arial" w:cs="Arial"/>
        </w:rPr>
      </w:pPr>
    </w:p>
    <w:p w14:paraId="2437C00D" w14:textId="2FA46150" w:rsidR="00A30B21" w:rsidRDefault="00A30B21" w:rsidP="00A30B21">
      <w:pPr>
        <w:pStyle w:val="Header"/>
        <w:jc w:val="both"/>
        <w:rPr>
          <w:rFonts w:ascii="Arial" w:hAnsi="Arial" w:cs="Arial"/>
          <w:b/>
          <w:bCs/>
        </w:rPr>
      </w:pPr>
      <w:r w:rsidRPr="002752E7">
        <w:rPr>
          <w:rFonts w:ascii="Arial" w:hAnsi="Arial" w:cs="Arial"/>
          <w:b/>
          <w:bCs/>
        </w:rPr>
        <w:t>End of Year Feedback</w:t>
      </w:r>
    </w:p>
    <w:p w14:paraId="5036104E" w14:textId="77777777" w:rsidR="002F2B39" w:rsidRDefault="002F2B39" w:rsidP="00A30B21">
      <w:pPr>
        <w:pStyle w:val="Header"/>
        <w:jc w:val="both"/>
        <w:rPr>
          <w:rFonts w:ascii="Arial" w:hAnsi="Arial" w:cs="Arial"/>
          <w:b/>
          <w:bCs/>
        </w:rPr>
      </w:pPr>
    </w:p>
    <w:p w14:paraId="09CF744A" w14:textId="1841B7FE" w:rsidR="00A30B21" w:rsidRDefault="00A30B21" w:rsidP="00A30B21">
      <w:pPr>
        <w:pStyle w:val="Header"/>
        <w:jc w:val="both"/>
        <w:rPr>
          <w:rFonts w:ascii="Arial" w:hAnsi="Arial" w:cs="Arial"/>
        </w:rPr>
      </w:pPr>
      <w:r>
        <w:rPr>
          <w:rFonts w:ascii="Arial" w:hAnsi="Arial" w:cs="Arial"/>
        </w:rPr>
        <w:t xml:space="preserve">In the form of a survey the </w:t>
      </w:r>
      <w:r w:rsidRPr="00933B8C">
        <w:rPr>
          <w:rFonts w:ascii="Arial" w:hAnsi="Arial" w:cs="Arial"/>
        </w:rPr>
        <w:t xml:space="preserve">purpose </w:t>
      </w:r>
      <w:r>
        <w:rPr>
          <w:rFonts w:ascii="Arial" w:hAnsi="Arial" w:cs="Arial"/>
        </w:rPr>
        <w:t>is</w:t>
      </w:r>
      <w:r w:rsidRPr="00933B8C">
        <w:rPr>
          <w:rFonts w:ascii="Arial" w:hAnsi="Arial" w:cs="Arial"/>
        </w:rPr>
        <w:t xml:space="preserve"> to provide an opportunity to consider the impact of </w:t>
      </w:r>
      <w:r w:rsidR="001B256D">
        <w:rPr>
          <w:rFonts w:ascii="Arial" w:hAnsi="Arial" w:cs="Arial"/>
        </w:rPr>
        <w:t>Better Care Fund (BCF)</w:t>
      </w:r>
      <w:r w:rsidRPr="00933B8C">
        <w:rPr>
          <w:rFonts w:ascii="Arial" w:hAnsi="Arial" w:cs="Arial"/>
        </w:rPr>
        <w:t xml:space="preserve"> and to provide the BCF national partners a view on the impact across the country.</w:t>
      </w:r>
    </w:p>
    <w:p w14:paraId="2C3C4E09" w14:textId="77777777" w:rsidR="001B256D" w:rsidRDefault="001B256D" w:rsidP="00A30B21">
      <w:pPr>
        <w:pStyle w:val="Header"/>
        <w:jc w:val="both"/>
        <w:rPr>
          <w:rFonts w:ascii="Arial" w:hAnsi="Arial" w:cs="Arial"/>
        </w:rPr>
      </w:pPr>
    </w:p>
    <w:p w14:paraId="62E2355C" w14:textId="07630FCF" w:rsidR="00A30B21" w:rsidRDefault="00A30B21" w:rsidP="00A30B21">
      <w:pPr>
        <w:pStyle w:val="Header"/>
        <w:jc w:val="both"/>
        <w:rPr>
          <w:rFonts w:ascii="Arial" w:hAnsi="Arial" w:cs="Arial"/>
        </w:rPr>
      </w:pPr>
      <w:r w:rsidRPr="00933B8C">
        <w:rPr>
          <w:rFonts w:ascii="Arial" w:hAnsi="Arial" w:cs="Arial"/>
        </w:rPr>
        <w:t>The questions are kept consistent from year to year to provide a time series.</w:t>
      </w:r>
      <w:r w:rsidR="001B256D">
        <w:rPr>
          <w:rFonts w:ascii="Arial" w:hAnsi="Arial" w:cs="Arial"/>
        </w:rPr>
        <w:t xml:space="preserve">  </w:t>
      </w:r>
      <w:r>
        <w:rPr>
          <w:rFonts w:ascii="Arial" w:hAnsi="Arial" w:cs="Arial"/>
        </w:rPr>
        <w:t xml:space="preserve">The questions focus on the Delivery of the Better Care Fund </w:t>
      </w:r>
      <w:r w:rsidR="001B256D">
        <w:rPr>
          <w:rFonts w:ascii="Arial" w:hAnsi="Arial" w:cs="Arial"/>
        </w:rPr>
        <w:t xml:space="preserve">(BCF) </w:t>
      </w:r>
      <w:r>
        <w:rPr>
          <w:rFonts w:ascii="Arial" w:hAnsi="Arial" w:cs="Arial"/>
        </w:rPr>
        <w:t>and the Successes and Challenges in doing so.</w:t>
      </w:r>
    </w:p>
    <w:p w14:paraId="02C21F37" w14:textId="77777777" w:rsidR="001B256D" w:rsidRDefault="001B256D" w:rsidP="00A30B21">
      <w:pPr>
        <w:pStyle w:val="Header"/>
        <w:jc w:val="both"/>
        <w:rPr>
          <w:rFonts w:ascii="Arial" w:hAnsi="Arial" w:cs="Arial"/>
        </w:rPr>
      </w:pPr>
    </w:p>
    <w:p w14:paraId="1B25F8CB" w14:textId="35189B34" w:rsidR="00A30B21" w:rsidRDefault="00A30B21" w:rsidP="00A30B21">
      <w:pPr>
        <w:pStyle w:val="Header"/>
        <w:jc w:val="both"/>
        <w:rPr>
          <w:rFonts w:ascii="Arial" w:hAnsi="Arial" w:cs="Arial"/>
          <w:b/>
          <w:bCs/>
        </w:rPr>
      </w:pPr>
      <w:r>
        <w:rPr>
          <w:rFonts w:ascii="Arial" w:hAnsi="Arial" w:cs="Arial"/>
        </w:rPr>
        <w:t xml:space="preserve">The submission is a collation and analysis of responses from across all Lancashire BCF partners. Further detail is given at </w:t>
      </w:r>
      <w:r w:rsidR="001B256D">
        <w:rPr>
          <w:rFonts w:ascii="Arial" w:hAnsi="Arial" w:cs="Arial"/>
        </w:rPr>
        <w:t>A</w:t>
      </w:r>
      <w:r>
        <w:rPr>
          <w:rFonts w:ascii="Arial" w:hAnsi="Arial" w:cs="Arial"/>
        </w:rPr>
        <w:t xml:space="preserve">ppendix </w:t>
      </w:r>
      <w:r w:rsidR="001B256D">
        <w:rPr>
          <w:rFonts w:ascii="Arial" w:hAnsi="Arial" w:cs="Arial"/>
        </w:rPr>
        <w:t>'C'</w:t>
      </w:r>
      <w:r>
        <w:rPr>
          <w:rFonts w:ascii="Arial" w:hAnsi="Arial" w:cs="Arial"/>
          <w:b/>
          <w:bCs/>
        </w:rPr>
        <w:t>.</w:t>
      </w:r>
    </w:p>
    <w:p w14:paraId="0C06EA84" w14:textId="77777777" w:rsidR="001B256D" w:rsidRDefault="001B256D" w:rsidP="00A30B21">
      <w:pPr>
        <w:pStyle w:val="Header"/>
        <w:jc w:val="both"/>
        <w:rPr>
          <w:rFonts w:ascii="Arial" w:hAnsi="Arial" w:cs="Arial"/>
          <w:b/>
          <w:bCs/>
        </w:rPr>
      </w:pPr>
    </w:p>
    <w:p w14:paraId="1AC64C94" w14:textId="005F8E84" w:rsidR="00A30B21" w:rsidRDefault="00A30B21" w:rsidP="00A30B21">
      <w:pPr>
        <w:pStyle w:val="Header"/>
        <w:jc w:val="both"/>
        <w:rPr>
          <w:rFonts w:ascii="Arial" w:hAnsi="Arial" w:cs="Arial"/>
        </w:rPr>
      </w:pPr>
      <w:r w:rsidRPr="00146F93">
        <w:rPr>
          <w:rFonts w:ascii="Arial" w:hAnsi="Arial" w:cs="Arial"/>
        </w:rPr>
        <w:t xml:space="preserve">In brief </w:t>
      </w:r>
      <w:r>
        <w:rPr>
          <w:rFonts w:ascii="Arial" w:hAnsi="Arial" w:cs="Arial"/>
        </w:rPr>
        <w:t>emerging themes are:</w:t>
      </w:r>
    </w:p>
    <w:p w14:paraId="6CEB1925" w14:textId="77777777" w:rsidR="001B256D" w:rsidRDefault="001B256D" w:rsidP="00A30B21">
      <w:pPr>
        <w:pStyle w:val="Header"/>
        <w:jc w:val="both"/>
        <w:rPr>
          <w:rFonts w:ascii="Arial" w:hAnsi="Arial" w:cs="Arial"/>
        </w:rPr>
      </w:pPr>
    </w:p>
    <w:p w14:paraId="44749285" w14:textId="3839426A" w:rsidR="00A30B21" w:rsidRDefault="00A30B21" w:rsidP="00A30B21">
      <w:pPr>
        <w:pStyle w:val="Header"/>
        <w:jc w:val="both"/>
        <w:rPr>
          <w:rFonts w:ascii="Arial" w:hAnsi="Arial" w:cs="Arial"/>
        </w:rPr>
      </w:pPr>
      <w:r>
        <w:rPr>
          <w:rFonts w:ascii="Arial" w:hAnsi="Arial" w:cs="Arial"/>
        </w:rPr>
        <w:t>All partners agreed or strongly agreed that</w:t>
      </w:r>
      <w:r w:rsidR="001B256D">
        <w:rPr>
          <w:rFonts w:ascii="Arial" w:hAnsi="Arial" w:cs="Arial"/>
        </w:rPr>
        <w:t>:</w:t>
      </w:r>
    </w:p>
    <w:p w14:paraId="07B5A9FD" w14:textId="77777777" w:rsidR="001B256D" w:rsidRDefault="001B256D" w:rsidP="00A30B21">
      <w:pPr>
        <w:pStyle w:val="Header"/>
        <w:jc w:val="both"/>
        <w:rPr>
          <w:rFonts w:ascii="Arial" w:hAnsi="Arial" w:cs="Arial"/>
        </w:rPr>
      </w:pPr>
    </w:p>
    <w:p w14:paraId="4725E077" w14:textId="4A5AA1E2" w:rsidR="00A30B21" w:rsidRPr="00BE65CE" w:rsidRDefault="00A30B21" w:rsidP="00A30B21">
      <w:pPr>
        <w:pStyle w:val="Header"/>
        <w:jc w:val="both"/>
        <w:rPr>
          <w:rFonts w:ascii="Arial" w:hAnsi="Arial" w:cs="Arial"/>
        </w:rPr>
      </w:pPr>
      <w:r w:rsidRPr="00BE65CE">
        <w:rPr>
          <w:rFonts w:ascii="Arial" w:hAnsi="Arial" w:cs="Arial"/>
        </w:rPr>
        <w:t>1.</w:t>
      </w:r>
      <w:r w:rsidR="001B256D">
        <w:rPr>
          <w:rFonts w:ascii="Arial" w:hAnsi="Arial" w:cs="Arial"/>
        </w:rPr>
        <w:tab/>
      </w:r>
      <w:r w:rsidRPr="00BE65CE">
        <w:rPr>
          <w:rFonts w:ascii="Arial" w:hAnsi="Arial" w:cs="Arial"/>
        </w:rPr>
        <w:t xml:space="preserve">The overall delivery of the BCF has improved joint working between health and </w:t>
      </w:r>
      <w:r w:rsidR="001B256D">
        <w:rPr>
          <w:rFonts w:ascii="Arial" w:hAnsi="Arial" w:cs="Arial"/>
        </w:rPr>
        <w:tab/>
      </w:r>
      <w:r w:rsidRPr="00BE65CE">
        <w:rPr>
          <w:rFonts w:ascii="Arial" w:hAnsi="Arial" w:cs="Arial"/>
        </w:rPr>
        <w:t>social care in our locality</w:t>
      </w:r>
    </w:p>
    <w:p w14:paraId="13212181" w14:textId="12012C7A" w:rsidR="00A30B21" w:rsidRPr="00BE65CE" w:rsidRDefault="00A30B21" w:rsidP="00A30B21">
      <w:pPr>
        <w:pStyle w:val="Header"/>
        <w:jc w:val="both"/>
        <w:rPr>
          <w:rFonts w:ascii="Arial" w:hAnsi="Arial" w:cs="Arial"/>
        </w:rPr>
      </w:pPr>
      <w:r w:rsidRPr="00BE65CE">
        <w:rPr>
          <w:rFonts w:ascii="Arial" w:hAnsi="Arial" w:cs="Arial"/>
        </w:rPr>
        <w:t xml:space="preserve">2. </w:t>
      </w:r>
      <w:r w:rsidR="001B256D">
        <w:rPr>
          <w:rFonts w:ascii="Arial" w:hAnsi="Arial" w:cs="Arial"/>
        </w:rPr>
        <w:tab/>
      </w:r>
      <w:r w:rsidRPr="00BE65CE">
        <w:rPr>
          <w:rFonts w:ascii="Arial" w:hAnsi="Arial" w:cs="Arial"/>
        </w:rPr>
        <w:t>Our BCF schemes were implemented as planned in 2021-22</w:t>
      </w:r>
    </w:p>
    <w:p w14:paraId="790F1765" w14:textId="64974D73" w:rsidR="00A30B21" w:rsidRDefault="00A30B21" w:rsidP="00A30B21">
      <w:pPr>
        <w:pStyle w:val="Header"/>
        <w:jc w:val="both"/>
        <w:rPr>
          <w:rFonts w:ascii="Arial" w:hAnsi="Arial" w:cs="Arial"/>
        </w:rPr>
      </w:pPr>
      <w:r w:rsidRPr="00BE65CE">
        <w:rPr>
          <w:rFonts w:ascii="Arial" w:hAnsi="Arial" w:cs="Arial"/>
        </w:rPr>
        <w:t xml:space="preserve">3. </w:t>
      </w:r>
      <w:r w:rsidR="001B256D">
        <w:rPr>
          <w:rFonts w:ascii="Arial" w:hAnsi="Arial" w:cs="Arial"/>
        </w:rPr>
        <w:tab/>
      </w:r>
      <w:r w:rsidRPr="00BE65CE">
        <w:rPr>
          <w:rFonts w:ascii="Arial" w:hAnsi="Arial" w:cs="Arial"/>
        </w:rPr>
        <w:t xml:space="preserve">The delivery of our BCF plan in 2021-22 had a positive impact on the integration of </w:t>
      </w:r>
      <w:r w:rsidR="001B256D">
        <w:rPr>
          <w:rFonts w:ascii="Arial" w:hAnsi="Arial" w:cs="Arial"/>
        </w:rPr>
        <w:tab/>
      </w:r>
      <w:r w:rsidRPr="00BE65CE">
        <w:rPr>
          <w:rFonts w:ascii="Arial" w:hAnsi="Arial" w:cs="Arial"/>
        </w:rPr>
        <w:t>health and social care in our locality</w:t>
      </w:r>
      <w:r>
        <w:rPr>
          <w:rFonts w:ascii="Arial" w:hAnsi="Arial" w:cs="Arial"/>
        </w:rPr>
        <w:t>.</w:t>
      </w:r>
    </w:p>
    <w:p w14:paraId="53016D1C" w14:textId="77777777" w:rsidR="00A30B21" w:rsidRPr="00146F93" w:rsidRDefault="00A30B21" w:rsidP="00A30B21">
      <w:pPr>
        <w:pStyle w:val="Header"/>
        <w:jc w:val="both"/>
        <w:rPr>
          <w:rFonts w:ascii="Arial" w:hAnsi="Arial" w:cs="Arial"/>
        </w:rPr>
      </w:pPr>
    </w:p>
    <w:p w14:paraId="78C3A8E7" w14:textId="77777777" w:rsidR="00A30B21" w:rsidRDefault="00A30B21" w:rsidP="00A30B21">
      <w:pPr>
        <w:pStyle w:val="Header"/>
        <w:jc w:val="both"/>
        <w:rPr>
          <w:rFonts w:ascii="Arial" w:hAnsi="Arial" w:cs="Arial"/>
        </w:rPr>
      </w:pPr>
      <w:r>
        <w:rPr>
          <w:rFonts w:ascii="Arial" w:hAnsi="Arial" w:cs="Arial"/>
        </w:rPr>
        <w:t>Successes identified included:</w:t>
      </w:r>
    </w:p>
    <w:p w14:paraId="0533AF0A" w14:textId="77777777" w:rsidR="00A30B21" w:rsidRDefault="00A30B21" w:rsidP="00A30B21">
      <w:pPr>
        <w:pStyle w:val="Header"/>
        <w:jc w:val="both"/>
        <w:rPr>
          <w:rFonts w:ascii="Arial" w:hAnsi="Arial" w:cs="Arial"/>
        </w:rPr>
      </w:pPr>
    </w:p>
    <w:p w14:paraId="2ACED5B2" w14:textId="77777777" w:rsidR="00A30B21" w:rsidRDefault="00A30B21" w:rsidP="001B256D">
      <w:pPr>
        <w:pStyle w:val="Header"/>
        <w:numPr>
          <w:ilvl w:val="0"/>
          <w:numId w:val="15"/>
        </w:numPr>
        <w:ind w:left="360"/>
        <w:jc w:val="both"/>
        <w:rPr>
          <w:rFonts w:ascii="Arial" w:hAnsi="Arial" w:cs="Arial"/>
        </w:rPr>
      </w:pPr>
      <w:r>
        <w:rPr>
          <w:rFonts w:ascii="Arial" w:hAnsi="Arial" w:cs="Arial"/>
        </w:rPr>
        <w:t>Ongoing success of ICAT (Intermediate Care Allocation Teams) and CATCH (</w:t>
      </w:r>
      <w:r w:rsidRPr="00546602">
        <w:rPr>
          <w:rFonts w:ascii="Arial" w:hAnsi="Arial" w:cs="Arial"/>
        </w:rPr>
        <w:t>Central Allocation Team for Care and Health</w:t>
      </w:r>
      <w:r>
        <w:rPr>
          <w:rFonts w:ascii="Arial" w:hAnsi="Arial" w:cs="Arial"/>
        </w:rPr>
        <w:t xml:space="preserve">) teams in the county. </w:t>
      </w:r>
      <w:r w:rsidRPr="004719B2">
        <w:rPr>
          <w:rFonts w:ascii="Arial" w:hAnsi="Arial" w:cs="Arial"/>
          <w:b/>
          <w:bCs/>
          <w:sz w:val="30"/>
          <w:szCs w:val="26"/>
        </w:rPr>
        <w:t>**</w:t>
      </w:r>
    </w:p>
    <w:p w14:paraId="5BE8D6F1" w14:textId="46E0CDB5" w:rsidR="00A30B21" w:rsidRDefault="00A30B21" w:rsidP="001B256D">
      <w:pPr>
        <w:pStyle w:val="Header"/>
        <w:numPr>
          <w:ilvl w:val="0"/>
          <w:numId w:val="15"/>
        </w:numPr>
        <w:ind w:left="360"/>
        <w:jc w:val="both"/>
        <w:rPr>
          <w:rFonts w:ascii="Arial" w:hAnsi="Arial" w:cs="Arial"/>
        </w:rPr>
      </w:pPr>
      <w:r>
        <w:rPr>
          <w:rFonts w:ascii="Arial" w:hAnsi="Arial" w:cs="Arial"/>
        </w:rPr>
        <w:t>Support to developing local integrated governance structures</w:t>
      </w:r>
      <w:r w:rsidR="001B256D">
        <w:rPr>
          <w:rFonts w:ascii="Arial" w:hAnsi="Arial" w:cs="Arial"/>
        </w:rPr>
        <w:t>.</w:t>
      </w:r>
    </w:p>
    <w:p w14:paraId="0E8ACE1F" w14:textId="39406B7A" w:rsidR="00A30B21" w:rsidRDefault="00A30B21" w:rsidP="001B256D">
      <w:pPr>
        <w:pStyle w:val="Header"/>
        <w:numPr>
          <w:ilvl w:val="0"/>
          <w:numId w:val="15"/>
        </w:numPr>
        <w:ind w:left="360"/>
        <w:jc w:val="both"/>
        <w:rPr>
          <w:rFonts w:ascii="Arial" w:hAnsi="Arial" w:cs="Arial"/>
        </w:rPr>
      </w:pPr>
      <w:r>
        <w:rPr>
          <w:rFonts w:ascii="Arial" w:hAnsi="Arial" w:cs="Arial"/>
        </w:rPr>
        <w:t>Being able to use BCF as an enabler across BCF boundaries</w:t>
      </w:r>
      <w:r w:rsidR="001B256D">
        <w:rPr>
          <w:rFonts w:ascii="Arial" w:hAnsi="Arial" w:cs="Arial"/>
        </w:rPr>
        <w:t>.</w:t>
      </w:r>
    </w:p>
    <w:p w14:paraId="7E122452" w14:textId="7767EF2C" w:rsidR="00A30B21" w:rsidRDefault="00A30B21" w:rsidP="001B256D">
      <w:pPr>
        <w:pStyle w:val="Header"/>
        <w:numPr>
          <w:ilvl w:val="0"/>
          <w:numId w:val="15"/>
        </w:numPr>
        <w:ind w:left="360"/>
        <w:jc w:val="both"/>
        <w:rPr>
          <w:rFonts w:ascii="Arial" w:hAnsi="Arial" w:cs="Arial"/>
        </w:rPr>
      </w:pPr>
      <w:r>
        <w:rPr>
          <w:rFonts w:ascii="Arial" w:hAnsi="Arial" w:cs="Arial"/>
        </w:rPr>
        <w:t>Supporting the move to better shared electronic records</w:t>
      </w:r>
      <w:r w:rsidR="001B256D">
        <w:rPr>
          <w:rFonts w:ascii="Arial" w:hAnsi="Arial" w:cs="Arial"/>
        </w:rPr>
        <w:t>.</w:t>
      </w:r>
    </w:p>
    <w:p w14:paraId="19084C50" w14:textId="77777777" w:rsidR="00A30B21" w:rsidRDefault="00A30B21" w:rsidP="001B256D">
      <w:pPr>
        <w:pStyle w:val="Header"/>
        <w:numPr>
          <w:ilvl w:val="0"/>
          <w:numId w:val="15"/>
        </w:numPr>
        <w:ind w:left="360"/>
        <w:jc w:val="both"/>
        <w:rPr>
          <w:rFonts w:ascii="Arial" w:hAnsi="Arial" w:cs="Arial"/>
        </w:rPr>
      </w:pPr>
      <w:r>
        <w:rPr>
          <w:rFonts w:ascii="Arial" w:hAnsi="Arial" w:cs="Arial"/>
        </w:rPr>
        <w:t>Aligning and supporting key priorities of admission avoidance and return to home.</w:t>
      </w:r>
    </w:p>
    <w:p w14:paraId="6E64498A" w14:textId="2C17AB65" w:rsidR="00A30B21" w:rsidRDefault="00A30B21" w:rsidP="001B256D">
      <w:pPr>
        <w:pStyle w:val="Header"/>
        <w:numPr>
          <w:ilvl w:val="0"/>
          <w:numId w:val="15"/>
        </w:numPr>
        <w:ind w:left="360"/>
        <w:jc w:val="both"/>
        <w:rPr>
          <w:rFonts w:ascii="Arial" w:hAnsi="Arial" w:cs="Arial"/>
        </w:rPr>
      </w:pPr>
      <w:r>
        <w:rPr>
          <w:rFonts w:ascii="Arial" w:hAnsi="Arial" w:cs="Arial"/>
        </w:rPr>
        <w:t>Enabling joint health and social care holistic triage for patients</w:t>
      </w:r>
      <w:r w:rsidR="001B256D">
        <w:rPr>
          <w:rFonts w:ascii="Arial" w:hAnsi="Arial" w:cs="Arial"/>
        </w:rPr>
        <w:t>.</w:t>
      </w:r>
    </w:p>
    <w:p w14:paraId="186620FB" w14:textId="77777777" w:rsidR="00A30B21" w:rsidRDefault="00A30B21" w:rsidP="001B256D">
      <w:pPr>
        <w:pStyle w:val="Header"/>
        <w:numPr>
          <w:ilvl w:val="0"/>
          <w:numId w:val="15"/>
        </w:numPr>
        <w:ind w:left="360"/>
        <w:jc w:val="both"/>
        <w:rPr>
          <w:rFonts w:ascii="Arial" w:hAnsi="Arial" w:cs="Arial"/>
        </w:rPr>
      </w:pPr>
      <w:r>
        <w:rPr>
          <w:rFonts w:ascii="Arial" w:hAnsi="Arial" w:cs="Arial"/>
        </w:rPr>
        <w:t>Development of an ICS level Discharge to assess financial management group.</w:t>
      </w:r>
    </w:p>
    <w:p w14:paraId="210BFBC0" w14:textId="77777777" w:rsidR="00A30B21" w:rsidRDefault="00A30B21" w:rsidP="001B256D">
      <w:pPr>
        <w:pStyle w:val="Header"/>
        <w:numPr>
          <w:ilvl w:val="0"/>
          <w:numId w:val="15"/>
        </w:numPr>
        <w:ind w:left="360"/>
        <w:jc w:val="both"/>
        <w:rPr>
          <w:rFonts w:ascii="Arial" w:hAnsi="Arial" w:cs="Arial"/>
        </w:rPr>
      </w:pPr>
      <w:r>
        <w:rPr>
          <w:rFonts w:ascii="Arial" w:hAnsi="Arial" w:cs="Arial"/>
        </w:rPr>
        <w:t xml:space="preserve">Development of the </w:t>
      </w:r>
      <w:bookmarkStart w:id="0" w:name="_Hlk102057533"/>
      <w:r>
        <w:rPr>
          <w:rFonts w:ascii="Arial" w:hAnsi="Arial" w:cs="Arial"/>
        </w:rPr>
        <w:t>Hospital Discharge Home Recovery Scheme.</w:t>
      </w:r>
      <w:bookmarkEnd w:id="0"/>
    </w:p>
    <w:p w14:paraId="63C5C1ED" w14:textId="77777777" w:rsidR="00A30B21" w:rsidRDefault="00A30B21" w:rsidP="001B256D">
      <w:pPr>
        <w:pStyle w:val="Header"/>
        <w:numPr>
          <w:ilvl w:val="0"/>
          <w:numId w:val="15"/>
        </w:numPr>
        <w:ind w:left="360"/>
        <w:jc w:val="both"/>
        <w:rPr>
          <w:rFonts w:ascii="Arial" w:hAnsi="Arial" w:cs="Arial"/>
        </w:rPr>
      </w:pPr>
      <w:r>
        <w:rPr>
          <w:rFonts w:ascii="Arial" w:hAnsi="Arial" w:cs="Arial"/>
        </w:rPr>
        <w:t>The pandemic saw a strengthening of existing joint working.</w:t>
      </w:r>
    </w:p>
    <w:p w14:paraId="34AD7E62" w14:textId="77777777" w:rsidR="00A30B21" w:rsidRDefault="00A30B21" w:rsidP="00A30B21">
      <w:pPr>
        <w:pStyle w:val="Header"/>
        <w:jc w:val="both"/>
        <w:rPr>
          <w:rFonts w:ascii="Arial" w:hAnsi="Arial" w:cs="Arial"/>
        </w:rPr>
      </w:pPr>
    </w:p>
    <w:p w14:paraId="7ED654E8" w14:textId="136138DE" w:rsidR="00A30B21" w:rsidRDefault="001B256D" w:rsidP="00A30B21">
      <w:pPr>
        <w:pStyle w:val="Header"/>
        <w:jc w:val="both"/>
        <w:rPr>
          <w:rFonts w:ascii="Arial" w:hAnsi="Arial" w:cs="Arial"/>
        </w:rPr>
      </w:pPr>
      <w:r>
        <w:rPr>
          <w:rFonts w:ascii="Arial" w:hAnsi="Arial" w:cs="Arial"/>
        </w:rPr>
        <w:br w:type="page"/>
      </w:r>
      <w:r w:rsidR="00A30B21">
        <w:rPr>
          <w:rFonts w:ascii="Arial" w:hAnsi="Arial" w:cs="Arial"/>
        </w:rPr>
        <w:lastRenderedPageBreak/>
        <w:t>Challenges</w:t>
      </w:r>
      <w:r w:rsidR="00A30B21" w:rsidRPr="00E93666">
        <w:rPr>
          <w:rFonts w:ascii="Arial" w:hAnsi="Arial" w:cs="Arial"/>
        </w:rPr>
        <w:t xml:space="preserve"> identified included:</w:t>
      </w:r>
    </w:p>
    <w:p w14:paraId="7F844A47" w14:textId="77777777" w:rsidR="00A30B21" w:rsidRDefault="00A30B21" w:rsidP="00A30B21">
      <w:pPr>
        <w:pStyle w:val="Header"/>
        <w:jc w:val="both"/>
        <w:rPr>
          <w:rFonts w:ascii="Arial" w:hAnsi="Arial" w:cs="Arial"/>
        </w:rPr>
      </w:pPr>
    </w:p>
    <w:p w14:paraId="11228BB1" w14:textId="1A862864" w:rsidR="00A30B21" w:rsidRDefault="00A30B21" w:rsidP="001B256D">
      <w:pPr>
        <w:pStyle w:val="Header"/>
        <w:numPr>
          <w:ilvl w:val="0"/>
          <w:numId w:val="16"/>
        </w:numPr>
        <w:ind w:left="360"/>
        <w:jc w:val="both"/>
        <w:rPr>
          <w:rFonts w:ascii="Arial" w:hAnsi="Arial" w:cs="Arial"/>
        </w:rPr>
      </w:pPr>
      <w:r>
        <w:rPr>
          <w:rFonts w:ascii="Arial" w:hAnsi="Arial" w:cs="Arial"/>
        </w:rPr>
        <w:t>Short term funding e.g., iBCF</w:t>
      </w:r>
      <w:r w:rsidR="001B256D">
        <w:rPr>
          <w:rFonts w:ascii="Arial" w:hAnsi="Arial" w:cs="Arial"/>
        </w:rPr>
        <w:t xml:space="preserve"> (Improved Better Care Fund)</w:t>
      </w:r>
      <w:r>
        <w:rPr>
          <w:rFonts w:ascii="Arial" w:hAnsi="Arial" w:cs="Arial"/>
        </w:rPr>
        <w:t xml:space="preserve"> impacts on service stability and especially on workforce planning. </w:t>
      </w:r>
      <w:r w:rsidRPr="004719B2">
        <w:rPr>
          <w:rFonts w:ascii="Arial" w:hAnsi="Arial" w:cs="Arial"/>
          <w:b/>
          <w:bCs/>
          <w:sz w:val="30"/>
          <w:szCs w:val="26"/>
        </w:rPr>
        <w:t>**</w:t>
      </w:r>
    </w:p>
    <w:p w14:paraId="7555CF8D" w14:textId="27C83688" w:rsidR="00A30B21" w:rsidRDefault="00A30B21" w:rsidP="001B256D">
      <w:pPr>
        <w:pStyle w:val="Header"/>
        <w:numPr>
          <w:ilvl w:val="0"/>
          <w:numId w:val="16"/>
        </w:numPr>
        <w:ind w:left="360"/>
        <w:jc w:val="both"/>
        <w:rPr>
          <w:rFonts w:ascii="Arial" w:hAnsi="Arial" w:cs="Arial"/>
        </w:rPr>
      </w:pPr>
      <w:r>
        <w:rPr>
          <w:rFonts w:ascii="Arial" w:hAnsi="Arial" w:cs="Arial"/>
        </w:rPr>
        <w:t>Some estates issues delay colocation of services</w:t>
      </w:r>
      <w:r w:rsidR="001B256D">
        <w:rPr>
          <w:rFonts w:ascii="Arial" w:hAnsi="Arial" w:cs="Arial"/>
        </w:rPr>
        <w:t>.</w:t>
      </w:r>
    </w:p>
    <w:p w14:paraId="780854A6" w14:textId="77777777" w:rsidR="00A30B21" w:rsidRDefault="00A30B21" w:rsidP="001B256D">
      <w:pPr>
        <w:pStyle w:val="Header"/>
        <w:numPr>
          <w:ilvl w:val="0"/>
          <w:numId w:val="16"/>
        </w:numPr>
        <w:ind w:left="360"/>
        <w:jc w:val="both"/>
        <w:rPr>
          <w:rFonts w:ascii="Arial" w:hAnsi="Arial" w:cs="Arial"/>
        </w:rPr>
      </w:pPr>
      <w:r>
        <w:rPr>
          <w:rFonts w:ascii="Arial" w:hAnsi="Arial" w:cs="Arial"/>
        </w:rPr>
        <w:t>Workforce planning is impacted by recruitment challenges, small staff pools, perception of social care as a career, retention difficulties.</w:t>
      </w:r>
    </w:p>
    <w:p w14:paraId="72A44B07" w14:textId="77777777" w:rsidR="00A30B21" w:rsidRDefault="00A30B21" w:rsidP="001B256D">
      <w:pPr>
        <w:pStyle w:val="Header"/>
        <w:numPr>
          <w:ilvl w:val="0"/>
          <w:numId w:val="16"/>
        </w:numPr>
        <w:ind w:left="360"/>
        <w:jc w:val="both"/>
        <w:rPr>
          <w:rFonts w:ascii="Arial" w:hAnsi="Arial" w:cs="Arial"/>
        </w:rPr>
      </w:pPr>
      <w:r>
        <w:rPr>
          <w:rFonts w:ascii="Arial" w:hAnsi="Arial" w:cs="Arial"/>
        </w:rPr>
        <w:t xml:space="preserve">Covid impact on the health and </w:t>
      </w:r>
      <w:r w:rsidRPr="00101BF0">
        <w:rPr>
          <w:rFonts w:ascii="Arial" w:hAnsi="Arial" w:cs="Arial"/>
        </w:rPr>
        <w:t xml:space="preserve">social care economy </w:t>
      </w:r>
      <w:r>
        <w:rPr>
          <w:rFonts w:ascii="Arial" w:hAnsi="Arial" w:cs="Arial"/>
        </w:rPr>
        <w:t xml:space="preserve">has been significant and will be long lived. </w:t>
      </w:r>
    </w:p>
    <w:p w14:paraId="23DF4CF2" w14:textId="23170AD3" w:rsidR="00A30B21" w:rsidRDefault="00A30B21" w:rsidP="001B256D">
      <w:pPr>
        <w:pStyle w:val="Header"/>
        <w:numPr>
          <w:ilvl w:val="0"/>
          <w:numId w:val="16"/>
        </w:numPr>
        <w:ind w:left="360"/>
        <w:jc w:val="both"/>
        <w:rPr>
          <w:rFonts w:ascii="Arial" w:hAnsi="Arial" w:cs="Arial"/>
        </w:rPr>
      </w:pPr>
      <w:r>
        <w:rPr>
          <w:rFonts w:ascii="Arial" w:hAnsi="Arial" w:cs="Arial"/>
        </w:rPr>
        <w:t>Separate health and social care electronic record systems cause delays and frustrations</w:t>
      </w:r>
      <w:r w:rsidR="001B256D">
        <w:rPr>
          <w:rFonts w:ascii="Arial" w:hAnsi="Arial" w:cs="Arial"/>
        </w:rPr>
        <w:t>.</w:t>
      </w:r>
    </w:p>
    <w:p w14:paraId="4897AE10" w14:textId="4606FEEB" w:rsidR="00A30B21" w:rsidRDefault="00A30B21" w:rsidP="001B256D">
      <w:pPr>
        <w:pStyle w:val="Header"/>
        <w:numPr>
          <w:ilvl w:val="0"/>
          <w:numId w:val="16"/>
        </w:numPr>
        <w:ind w:left="360"/>
        <w:jc w:val="both"/>
        <w:rPr>
          <w:rFonts w:ascii="Arial" w:hAnsi="Arial" w:cs="Arial"/>
        </w:rPr>
      </w:pPr>
      <w:r>
        <w:rPr>
          <w:rFonts w:ascii="Arial" w:hAnsi="Arial" w:cs="Arial"/>
        </w:rPr>
        <w:t>Demand management is challenging due to restricted capacity and increasing costs</w:t>
      </w:r>
      <w:r w:rsidR="001B256D">
        <w:rPr>
          <w:rFonts w:ascii="Arial" w:hAnsi="Arial" w:cs="Arial"/>
        </w:rPr>
        <w:t>.</w:t>
      </w:r>
    </w:p>
    <w:p w14:paraId="7DFD86F5" w14:textId="77777777" w:rsidR="00A30B21" w:rsidRDefault="00A30B21" w:rsidP="001B256D">
      <w:pPr>
        <w:pStyle w:val="Header"/>
        <w:numPr>
          <w:ilvl w:val="0"/>
          <w:numId w:val="16"/>
        </w:numPr>
        <w:ind w:left="360"/>
        <w:jc w:val="both"/>
        <w:rPr>
          <w:rFonts w:ascii="Arial" w:hAnsi="Arial" w:cs="Arial"/>
        </w:rPr>
      </w:pPr>
      <w:r w:rsidRPr="005849D2">
        <w:rPr>
          <w:rFonts w:ascii="Arial" w:hAnsi="Arial" w:cs="Arial"/>
        </w:rPr>
        <w:t>Implementing the National Hospital Discharge Policy against the constant Hospital Escalation has often led to people having less choice and control.</w:t>
      </w:r>
    </w:p>
    <w:p w14:paraId="022F5B78" w14:textId="77777777" w:rsidR="00A30B21" w:rsidRDefault="00A30B21" w:rsidP="001B256D">
      <w:pPr>
        <w:pStyle w:val="Header"/>
        <w:numPr>
          <w:ilvl w:val="0"/>
          <w:numId w:val="16"/>
        </w:numPr>
        <w:ind w:left="360"/>
        <w:jc w:val="both"/>
        <w:rPr>
          <w:rFonts w:ascii="Arial" w:hAnsi="Arial" w:cs="Arial"/>
        </w:rPr>
      </w:pPr>
      <w:r>
        <w:rPr>
          <w:rFonts w:ascii="Arial" w:hAnsi="Arial" w:cs="Arial"/>
        </w:rPr>
        <w:t>The Health and Social Care system and economy continues to have to respond to a significant period of change and instability.</w:t>
      </w:r>
    </w:p>
    <w:p w14:paraId="6DD4C4D0" w14:textId="77777777" w:rsidR="00A30B21" w:rsidRDefault="00A30B21" w:rsidP="00A30B21">
      <w:pPr>
        <w:pStyle w:val="Header"/>
        <w:jc w:val="both"/>
        <w:rPr>
          <w:rFonts w:ascii="Arial" w:hAnsi="Arial" w:cs="Arial"/>
        </w:rPr>
      </w:pPr>
    </w:p>
    <w:p w14:paraId="168F3E94" w14:textId="156E550A" w:rsidR="00A30B21" w:rsidRDefault="00A30B21" w:rsidP="00A30B21">
      <w:pPr>
        <w:pStyle w:val="Header"/>
        <w:jc w:val="both"/>
        <w:rPr>
          <w:rFonts w:ascii="Arial" w:hAnsi="Arial" w:cs="Arial"/>
        </w:rPr>
      </w:pPr>
      <w:r w:rsidRPr="004719B2">
        <w:rPr>
          <w:rFonts w:ascii="Arial" w:hAnsi="Arial" w:cs="Arial"/>
          <w:b/>
          <w:bCs/>
          <w:sz w:val="30"/>
          <w:szCs w:val="26"/>
        </w:rPr>
        <w:t>**</w:t>
      </w:r>
      <w:r w:rsidRPr="004719B2">
        <w:rPr>
          <w:rFonts w:ascii="Arial" w:hAnsi="Arial" w:cs="Arial"/>
          <w:sz w:val="30"/>
          <w:szCs w:val="26"/>
        </w:rPr>
        <w:t xml:space="preserve"> </w:t>
      </w:r>
      <w:r>
        <w:rPr>
          <w:rFonts w:ascii="Arial" w:hAnsi="Arial" w:cs="Arial"/>
        </w:rPr>
        <w:t xml:space="preserve">Lancashire County Council has “gone at risk”, and invited health partners to do the same, to permanently fund these services giving staff stability with permanent posts and </w:t>
      </w:r>
      <w:r w:rsidRPr="00BC62A8">
        <w:rPr>
          <w:rFonts w:ascii="Arial" w:hAnsi="Arial" w:cs="Arial"/>
        </w:rPr>
        <w:t>avoid</w:t>
      </w:r>
      <w:r>
        <w:rPr>
          <w:rFonts w:ascii="Arial" w:hAnsi="Arial" w:cs="Arial"/>
        </w:rPr>
        <w:t>ing</w:t>
      </w:r>
      <w:r w:rsidRPr="00BC62A8">
        <w:rPr>
          <w:rFonts w:ascii="Arial" w:hAnsi="Arial" w:cs="Arial"/>
        </w:rPr>
        <w:t xml:space="preserve"> disruption to care support for our most vulnerable</w:t>
      </w:r>
      <w:r>
        <w:rPr>
          <w:rFonts w:ascii="Arial" w:hAnsi="Arial" w:cs="Arial"/>
        </w:rPr>
        <w:t>.</w:t>
      </w:r>
      <w:r w:rsidRPr="00BC62A8">
        <w:rPr>
          <w:rFonts w:ascii="Arial" w:hAnsi="Arial" w:cs="Arial"/>
        </w:rPr>
        <w:t xml:space="preserve"> </w:t>
      </w:r>
    </w:p>
    <w:p w14:paraId="5CF28C5E" w14:textId="77777777" w:rsidR="00A30B21" w:rsidRDefault="00A30B21" w:rsidP="00A30B21">
      <w:pPr>
        <w:pStyle w:val="Header"/>
        <w:jc w:val="both"/>
        <w:rPr>
          <w:rFonts w:ascii="Arial" w:hAnsi="Arial" w:cs="Arial"/>
          <w:b/>
          <w:bCs/>
        </w:rPr>
      </w:pPr>
    </w:p>
    <w:p w14:paraId="5FFFD6ED" w14:textId="77777777" w:rsidR="00A30B21" w:rsidRPr="00ED1936" w:rsidRDefault="00A30B21" w:rsidP="00A30B21">
      <w:pPr>
        <w:pStyle w:val="Header"/>
        <w:jc w:val="both"/>
        <w:rPr>
          <w:rFonts w:ascii="Arial" w:hAnsi="Arial" w:cs="Arial"/>
          <w:b/>
          <w:bCs/>
        </w:rPr>
      </w:pPr>
      <w:r w:rsidRPr="00ED1936">
        <w:rPr>
          <w:rFonts w:ascii="Arial" w:hAnsi="Arial" w:cs="Arial"/>
          <w:b/>
          <w:bCs/>
        </w:rPr>
        <w:t xml:space="preserve">Adult Social Care fee rates </w:t>
      </w:r>
    </w:p>
    <w:p w14:paraId="74E527B3" w14:textId="77777777" w:rsidR="00A30B21" w:rsidRDefault="00A30B21" w:rsidP="00A30B21">
      <w:pPr>
        <w:pStyle w:val="Header"/>
        <w:jc w:val="both"/>
        <w:rPr>
          <w:rFonts w:ascii="Arial" w:hAnsi="Arial" w:cs="Arial"/>
        </w:rPr>
      </w:pPr>
    </w:p>
    <w:p w14:paraId="1630E38F" w14:textId="44C1280A" w:rsidR="00A30B21" w:rsidRDefault="00A30B21" w:rsidP="00A30B21">
      <w:pPr>
        <w:pStyle w:val="Header"/>
        <w:jc w:val="both"/>
        <w:rPr>
          <w:rFonts w:ascii="Arial" w:hAnsi="Arial" w:cs="Arial"/>
        </w:rPr>
      </w:pPr>
      <w:r>
        <w:rPr>
          <w:rFonts w:ascii="Arial" w:hAnsi="Arial" w:cs="Arial"/>
        </w:rPr>
        <w:t xml:space="preserve">This element enables collation of financial data so as </w:t>
      </w:r>
      <w:r w:rsidR="001B256D">
        <w:rPr>
          <w:rFonts w:ascii="Arial" w:hAnsi="Arial" w:cs="Arial"/>
        </w:rPr>
        <w:t>t</w:t>
      </w:r>
      <w:r>
        <w:rPr>
          <w:rFonts w:ascii="Arial" w:hAnsi="Arial" w:cs="Arial"/>
        </w:rPr>
        <w:t xml:space="preserve">o give a local, regional and national picture of the status of the social care market and resulting financial pressures. </w:t>
      </w:r>
    </w:p>
    <w:p w14:paraId="6C969D38" w14:textId="77777777" w:rsidR="00A30B21" w:rsidRDefault="00A30B21" w:rsidP="00A30B21">
      <w:pPr>
        <w:pStyle w:val="Header"/>
        <w:jc w:val="both"/>
        <w:rPr>
          <w:rFonts w:ascii="Arial" w:hAnsi="Arial" w:cs="Arial"/>
        </w:rPr>
      </w:pPr>
    </w:p>
    <w:p w14:paraId="691A56FE" w14:textId="4129E571" w:rsidR="00A30B21" w:rsidRDefault="00A30B21" w:rsidP="00A30B21">
      <w:pPr>
        <w:pStyle w:val="Header"/>
        <w:jc w:val="both"/>
        <w:rPr>
          <w:rFonts w:ascii="Arial" w:hAnsi="Arial" w:cs="Arial"/>
        </w:rPr>
      </w:pPr>
      <w:r>
        <w:rPr>
          <w:rFonts w:ascii="Arial" w:hAnsi="Arial" w:cs="Arial"/>
        </w:rPr>
        <w:t>For Lancashire County Council in 2021/22.</w:t>
      </w:r>
    </w:p>
    <w:p w14:paraId="7F5409C5" w14:textId="77777777" w:rsidR="001B256D" w:rsidRDefault="001B256D" w:rsidP="00A30B21">
      <w:pPr>
        <w:pStyle w:val="Header"/>
        <w:jc w:val="both"/>
        <w:rPr>
          <w:rFonts w:ascii="Arial" w:hAnsi="Arial" w:cs="Arial"/>
        </w:rPr>
      </w:pPr>
    </w:p>
    <w:p w14:paraId="32882C9C" w14:textId="77777777" w:rsidR="00A30B21" w:rsidRDefault="00A30B21" w:rsidP="001B256D">
      <w:pPr>
        <w:pStyle w:val="Header"/>
        <w:numPr>
          <w:ilvl w:val="0"/>
          <w:numId w:val="17"/>
        </w:numPr>
        <w:ind w:left="360"/>
        <w:jc w:val="both"/>
        <w:rPr>
          <w:rFonts w:ascii="Arial" w:hAnsi="Arial" w:cs="Arial"/>
        </w:rPr>
      </w:pPr>
      <w:r>
        <w:rPr>
          <w:rFonts w:ascii="Arial" w:hAnsi="Arial" w:cs="Arial"/>
        </w:rPr>
        <w:t>Homecare average cost per hour increased by 8.7% from £15.83 to £17.21.</w:t>
      </w:r>
    </w:p>
    <w:p w14:paraId="2D242A73" w14:textId="060A313B" w:rsidR="00A30B21" w:rsidRDefault="00A30B21" w:rsidP="001B256D">
      <w:pPr>
        <w:pStyle w:val="Header"/>
        <w:numPr>
          <w:ilvl w:val="0"/>
          <w:numId w:val="17"/>
        </w:numPr>
        <w:ind w:left="360"/>
        <w:jc w:val="both"/>
        <w:rPr>
          <w:rFonts w:ascii="Arial" w:hAnsi="Arial" w:cs="Arial"/>
        </w:rPr>
      </w:pPr>
      <w:r>
        <w:rPr>
          <w:rFonts w:ascii="Arial" w:hAnsi="Arial" w:cs="Arial"/>
        </w:rPr>
        <w:t>Care Homes (aged 65+) without nursing average cost per week increased by 4.9% from £558.03 to £585.50</w:t>
      </w:r>
      <w:r w:rsidR="001B256D">
        <w:rPr>
          <w:rFonts w:ascii="Arial" w:hAnsi="Arial" w:cs="Arial"/>
        </w:rPr>
        <w:t>.</w:t>
      </w:r>
    </w:p>
    <w:p w14:paraId="5F7D4615" w14:textId="500F6ACA" w:rsidR="00A30B21" w:rsidRDefault="00A30B21" w:rsidP="001B256D">
      <w:pPr>
        <w:pStyle w:val="Header"/>
        <w:numPr>
          <w:ilvl w:val="0"/>
          <w:numId w:val="17"/>
        </w:numPr>
        <w:ind w:left="360"/>
        <w:jc w:val="both"/>
        <w:rPr>
          <w:rFonts w:ascii="Arial" w:hAnsi="Arial" w:cs="Arial"/>
        </w:rPr>
      </w:pPr>
      <w:r>
        <w:rPr>
          <w:rFonts w:ascii="Arial" w:hAnsi="Arial" w:cs="Arial"/>
        </w:rPr>
        <w:t>Care Homes (aged 65+) with nursing average cost per week increased by 5.7% from £628.63 to £664.52</w:t>
      </w:r>
      <w:r w:rsidR="001B256D">
        <w:rPr>
          <w:rFonts w:ascii="Arial" w:hAnsi="Arial" w:cs="Arial"/>
        </w:rPr>
        <w:t>.</w:t>
      </w:r>
    </w:p>
    <w:p w14:paraId="3B8C123D" w14:textId="77777777" w:rsidR="00A30B21" w:rsidRDefault="00A30B21" w:rsidP="00A30B21">
      <w:pPr>
        <w:pStyle w:val="Header"/>
        <w:jc w:val="both"/>
        <w:rPr>
          <w:rFonts w:ascii="Arial" w:hAnsi="Arial" w:cs="Arial"/>
        </w:rPr>
      </w:pPr>
    </w:p>
    <w:p w14:paraId="07A48C5A" w14:textId="77777777" w:rsidR="00A30B21" w:rsidRPr="002752E7" w:rsidRDefault="00A30B21" w:rsidP="00A30B21">
      <w:pPr>
        <w:pStyle w:val="Header"/>
        <w:jc w:val="both"/>
        <w:rPr>
          <w:rFonts w:ascii="Arial" w:hAnsi="Arial" w:cs="Arial"/>
          <w:b/>
          <w:bCs/>
        </w:rPr>
      </w:pPr>
      <w:r w:rsidRPr="002752E7">
        <w:rPr>
          <w:rFonts w:ascii="Arial" w:hAnsi="Arial" w:cs="Arial"/>
          <w:b/>
          <w:bCs/>
        </w:rPr>
        <w:t>Better Care Fund 2022/23 and beyond</w:t>
      </w:r>
    </w:p>
    <w:p w14:paraId="4EA8FDA2" w14:textId="77777777" w:rsidR="00A30B21" w:rsidRDefault="00A30B21" w:rsidP="00A30B21">
      <w:pPr>
        <w:pStyle w:val="Header"/>
        <w:jc w:val="both"/>
        <w:rPr>
          <w:rFonts w:ascii="Arial" w:hAnsi="Arial" w:cs="Arial"/>
        </w:rPr>
      </w:pPr>
    </w:p>
    <w:p w14:paraId="460358A2" w14:textId="4410DB74" w:rsidR="00A30B21" w:rsidRDefault="00A30B21" w:rsidP="00A30B21">
      <w:pPr>
        <w:pStyle w:val="Header"/>
        <w:jc w:val="both"/>
        <w:rPr>
          <w:rFonts w:ascii="Arial" w:hAnsi="Arial" w:cs="Arial"/>
        </w:rPr>
      </w:pPr>
      <w:r>
        <w:rPr>
          <w:rFonts w:ascii="Arial" w:hAnsi="Arial" w:cs="Arial"/>
        </w:rPr>
        <w:t xml:space="preserve">As previously described, it was confirmed that the </w:t>
      </w:r>
      <w:r w:rsidR="001B256D">
        <w:rPr>
          <w:rFonts w:ascii="Arial" w:hAnsi="Arial" w:cs="Arial"/>
        </w:rPr>
        <w:t>Better Care Fund (BCF)</w:t>
      </w:r>
      <w:r w:rsidRPr="00816238">
        <w:rPr>
          <w:rFonts w:ascii="Arial" w:hAnsi="Arial" w:cs="Arial"/>
        </w:rPr>
        <w:t xml:space="preserve"> would continue into 2022/23</w:t>
      </w:r>
      <w:r>
        <w:rPr>
          <w:rFonts w:ascii="Arial" w:hAnsi="Arial" w:cs="Arial"/>
        </w:rPr>
        <w:t xml:space="preserve">. </w:t>
      </w:r>
      <w:r w:rsidR="001B256D">
        <w:rPr>
          <w:rFonts w:ascii="Arial" w:hAnsi="Arial" w:cs="Arial"/>
        </w:rPr>
        <w:t xml:space="preserve">  </w:t>
      </w:r>
      <w:r>
        <w:rPr>
          <w:rFonts w:ascii="Arial" w:hAnsi="Arial" w:cs="Arial"/>
        </w:rPr>
        <w:t xml:space="preserve">Central delays and a pause due to pre local elections purdah has resulted in the publication of </w:t>
      </w:r>
      <w:r w:rsidRPr="00816238">
        <w:rPr>
          <w:rFonts w:ascii="Arial" w:hAnsi="Arial" w:cs="Arial"/>
        </w:rPr>
        <w:t>Better Care Fund (BCF) Policy Framework and Planning Requirements</w:t>
      </w:r>
      <w:r>
        <w:rPr>
          <w:rFonts w:ascii="Arial" w:hAnsi="Arial" w:cs="Arial"/>
        </w:rPr>
        <w:t xml:space="preserve"> now expected to be mid May 2022. The </w:t>
      </w:r>
      <w:r w:rsidR="001B256D">
        <w:rPr>
          <w:rFonts w:ascii="Arial" w:hAnsi="Arial" w:cs="Arial"/>
        </w:rPr>
        <w:t>B</w:t>
      </w:r>
      <w:r>
        <w:rPr>
          <w:rFonts w:ascii="Arial" w:hAnsi="Arial" w:cs="Arial"/>
        </w:rPr>
        <w:t>oard will be advised of this when confirmed. In anticipation of that publication all BCF partners are working on the detail of the local and Lancashire wide plans.</w:t>
      </w:r>
    </w:p>
    <w:p w14:paraId="096C1120" w14:textId="77777777" w:rsidR="00A30B21" w:rsidRDefault="00A30B21" w:rsidP="00A30B21">
      <w:pPr>
        <w:pStyle w:val="Header"/>
        <w:jc w:val="both"/>
        <w:rPr>
          <w:rFonts w:ascii="Arial" w:hAnsi="Arial" w:cs="Arial"/>
        </w:rPr>
      </w:pPr>
    </w:p>
    <w:p w14:paraId="11D9BD0A" w14:textId="55BFC030" w:rsidR="00A30B21" w:rsidRDefault="00A30B21" w:rsidP="00A30B21">
      <w:pPr>
        <w:pStyle w:val="Header"/>
        <w:jc w:val="both"/>
        <w:rPr>
          <w:rFonts w:ascii="Arial" w:hAnsi="Arial" w:cs="Arial"/>
        </w:rPr>
      </w:pPr>
      <w:r>
        <w:rPr>
          <w:rFonts w:ascii="Arial" w:hAnsi="Arial" w:cs="Arial"/>
        </w:rPr>
        <w:t>Looking further ahead; the February 2022 White Paper “</w:t>
      </w:r>
      <w:r w:rsidRPr="00CA435F">
        <w:rPr>
          <w:rFonts w:ascii="Arial" w:hAnsi="Arial" w:cs="Arial"/>
        </w:rPr>
        <w:t>Joining up care for people, places and populations</w:t>
      </w:r>
      <w:r>
        <w:rPr>
          <w:rFonts w:ascii="Arial" w:hAnsi="Arial" w:cs="Arial"/>
        </w:rPr>
        <w:t>” states:</w:t>
      </w:r>
    </w:p>
    <w:p w14:paraId="383CE37B" w14:textId="77777777" w:rsidR="001B256D" w:rsidRDefault="001B256D" w:rsidP="00A30B21">
      <w:pPr>
        <w:pStyle w:val="Header"/>
        <w:jc w:val="both"/>
        <w:rPr>
          <w:rFonts w:ascii="Arial" w:hAnsi="Arial" w:cs="Arial"/>
        </w:rPr>
      </w:pPr>
    </w:p>
    <w:p w14:paraId="6935D5E3" w14:textId="12EFAAB2" w:rsidR="00A30B21" w:rsidRDefault="00A30B21" w:rsidP="00A30B21">
      <w:pPr>
        <w:pStyle w:val="Header"/>
        <w:jc w:val="both"/>
        <w:rPr>
          <w:rFonts w:ascii="Arial" w:hAnsi="Arial" w:cs="Arial"/>
          <w:i/>
          <w:iCs/>
        </w:rPr>
      </w:pPr>
      <w:r>
        <w:rPr>
          <w:rFonts w:ascii="Arial" w:hAnsi="Arial" w:cs="Arial"/>
        </w:rPr>
        <w:t xml:space="preserve"> </w:t>
      </w:r>
      <w:r w:rsidRPr="00CA435F">
        <w:rPr>
          <w:rFonts w:ascii="Arial" w:hAnsi="Arial" w:cs="Arial"/>
          <w:i/>
          <w:iCs/>
        </w:rPr>
        <w:t>“Later this year we will set out the policy framework for the BCF from 2023, including how the programme will support implementation of the new approach to integration at place level.”</w:t>
      </w:r>
    </w:p>
    <w:p w14:paraId="0F742D4F" w14:textId="77777777" w:rsidR="001B256D" w:rsidRDefault="001B256D" w:rsidP="00A30B21">
      <w:pPr>
        <w:pStyle w:val="Header"/>
        <w:jc w:val="both"/>
        <w:rPr>
          <w:rFonts w:ascii="Arial" w:hAnsi="Arial" w:cs="Arial"/>
          <w:i/>
          <w:iCs/>
        </w:rPr>
      </w:pPr>
    </w:p>
    <w:p w14:paraId="515B5A94" w14:textId="1D34B4AB" w:rsidR="00A30B21" w:rsidRDefault="001B256D" w:rsidP="00A30B21">
      <w:pPr>
        <w:pStyle w:val="Header"/>
        <w:jc w:val="both"/>
        <w:rPr>
          <w:rFonts w:ascii="Arial" w:hAnsi="Arial" w:cs="Arial"/>
        </w:rPr>
      </w:pPr>
      <w:r>
        <w:rPr>
          <w:rFonts w:ascii="Arial" w:hAnsi="Arial" w:cs="Arial"/>
        </w:rPr>
        <w:br w:type="page"/>
      </w:r>
      <w:r w:rsidR="00A30B21" w:rsidRPr="00816238">
        <w:rPr>
          <w:rFonts w:ascii="Arial" w:hAnsi="Arial" w:cs="Arial"/>
        </w:rPr>
        <w:lastRenderedPageBreak/>
        <w:t>It also states with reference to future governance arrangements:</w:t>
      </w:r>
      <w:r w:rsidR="00A30B21">
        <w:rPr>
          <w:rFonts w:ascii="Arial" w:hAnsi="Arial" w:cs="Arial"/>
        </w:rPr>
        <w:t xml:space="preserve"> </w:t>
      </w:r>
    </w:p>
    <w:p w14:paraId="110F90DA" w14:textId="77777777" w:rsidR="001B256D" w:rsidRDefault="001B256D" w:rsidP="00A30B21">
      <w:pPr>
        <w:pStyle w:val="Header"/>
        <w:jc w:val="both"/>
        <w:rPr>
          <w:rFonts w:ascii="Arial" w:hAnsi="Arial" w:cs="Arial"/>
        </w:rPr>
      </w:pPr>
    </w:p>
    <w:p w14:paraId="38AEB5EF" w14:textId="77777777" w:rsidR="00A30B21" w:rsidRDefault="00A30B21" w:rsidP="00A30B21">
      <w:pPr>
        <w:pStyle w:val="Header"/>
        <w:jc w:val="both"/>
        <w:rPr>
          <w:rFonts w:ascii="Arial" w:hAnsi="Arial" w:cs="Arial"/>
          <w:i/>
        </w:rPr>
      </w:pPr>
      <w:r w:rsidRPr="00816238">
        <w:rPr>
          <w:rFonts w:ascii="Arial" w:hAnsi="Arial" w:cs="Arial"/>
          <w:i/>
          <w:iCs/>
        </w:rPr>
        <w:t>“These arrangements should, as a starting point, make use of existing structures and processes including Health and Wellbeing Boards and the Better Care Fund.”</w:t>
      </w:r>
    </w:p>
    <w:p w14:paraId="1F5BA68A" w14:textId="36081CDB" w:rsidR="005049C5" w:rsidRPr="00264F38" w:rsidRDefault="005049C5" w:rsidP="00A30B21">
      <w:pPr>
        <w:pStyle w:val="Header"/>
        <w:jc w:val="both"/>
        <w:rPr>
          <w:rFonts w:ascii="Arial" w:hAnsi="Arial" w:cs="Arial"/>
        </w:rPr>
      </w:pPr>
    </w:p>
    <w:sectPr w:rsidR="005049C5" w:rsidRPr="00264F38" w:rsidSect="00A76300">
      <w:footerReference w:type="default" r:id="rId8"/>
      <w:footerReference w:type="first" r:id="rId9"/>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EB33" w14:textId="77777777" w:rsidR="009A3101" w:rsidRDefault="009A3101">
      <w:r>
        <w:separator/>
      </w:r>
    </w:p>
  </w:endnote>
  <w:endnote w:type="continuationSeparator" w:id="0">
    <w:p w14:paraId="2B0BF7C0" w14:textId="77777777" w:rsidR="009A3101" w:rsidRDefault="009A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168" w14:textId="77777777" w:rsidR="00500175" w:rsidRDefault="00500175" w:rsidP="00007169">
    <w:pPr>
      <w:pStyle w:val="Footer"/>
      <w:tabs>
        <w:tab w:val="clear" w:pos="4153"/>
      </w:tabs>
      <w:ind w:right="-4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8310F" w14:paraId="7C5917EE" w14:textId="77777777">
      <w:tc>
        <w:tcPr>
          <w:tcW w:w="9243" w:type="dxa"/>
          <w:tcBorders>
            <w:top w:val="nil"/>
            <w:left w:val="nil"/>
            <w:bottom w:val="nil"/>
            <w:right w:val="nil"/>
          </w:tcBorders>
        </w:tcPr>
        <w:p w14:paraId="5CD54230" w14:textId="1C44E2C2" w:rsidR="00500175" w:rsidRDefault="001B256D">
          <w:pPr>
            <w:pStyle w:val="Footer"/>
            <w:tabs>
              <w:tab w:val="clear" w:pos="4153"/>
            </w:tabs>
            <w:ind w:right="-45"/>
            <w:jc w:val="right"/>
          </w:pPr>
          <w:r>
            <w:rPr>
              <w:noProof/>
            </w:rPr>
            <w:drawing>
              <wp:inline distT="0" distB="0" distL="0" distR="0" wp14:anchorId="50BAF959" wp14:editId="08616AA5">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sidR="00500175">
            <w:t>.</w:t>
          </w:r>
        </w:p>
      </w:tc>
    </w:tr>
  </w:tbl>
  <w:p w14:paraId="00F80644" w14:textId="77777777" w:rsidR="00500175" w:rsidRDefault="00500175">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B41B" w14:textId="77777777" w:rsidR="009A3101" w:rsidRDefault="009A3101">
      <w:r>
        <w:separator/>
      </w:r>
    </w:p>
  </w:footnote>
  <w:footnote w:type="continuationSeparator" w:id="0">
    <w:p w14:paraId="08796BCD" w14:textId="77777777" w:rsidR="009A3101" w:rsidRDefault="009A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CA"/>
    <w:multiLevelType w:val="hybridMultilevel"/>
    <w:tmpl w:val="C1B86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5AE0D76"/>
    <w:multiLevelType w:val="hybridMultilevel"/>
    <w:tmpl w:val="2496DF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B4566D"/>
    <w:multiLevelType w:val="hybridMultilevel"/>
    <w:tmpl w:val="A464FE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C652A5D"/>
    <w:multiLevelType w:val="hybridMultilevel"/>
    <w:tmpl w:val="B16AA146"/>
    <w:lvl w:ilvl="0" w:tplc="97B0B37A">
      <w:start w:val="1"/>
      <w:numFmt w:val="lowerRoman"/>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E7E0A"/>
    <w:multiLevelType w:val="hybridMultilevel"/>
    <w:tmpl w:val="3174A2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E6F4D2C"/>
    <w:multiLevelType w:val="hybridMultilevel"/>
    <w:tmpl w:val="C78A6EF0"/>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6" w15:restartNumberingAfterBreak="0">
    <w:nsid w:val="3E3E0DAF"/>
    <w:multiLevelType w:val="hybridMultilevel"/>
    <w:tmpl w:val="6FC2E4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341AFA"/>
    <w:multiLevelType w:val="hybridMultilevel"/>
    <w:tmpl w:val="40E29A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7D83611"/>
    <w:multiLevelType w:val="hybridMultilevel"/>
    <w:tmpl w:val="D2B02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9777B21"/>
    <w:multiLevelType w:val="hybridMultilevel"/>
    <w:tmpl w:val="0C78A508"/>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15:restartNumberingAfterBreak="0">
    <w:nsid w:val="5E5D58BF"/>
    <w:multiLevelType w:val="hybridMultilevel"/>
    <w:tmpl w:val="C65AE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12C18"/>
    <w:multiLevelType w:val="hybridMultilevel"/>
    <w:tmpl w:val="81C26F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DF948A4"/>
    <w:multiLevelType w:val="hybridMultilevel"/>
    <w:tmpl w:val="F32A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34025"/>
    <w:multiLevelType w:val="hybridMultilevel"/>
    <w:tmpl w:val="1CCC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146B0"/>
    <w:multiLevelType w:val="hybridMultilevel"/>
    <w:tmpl w:val="392CBC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7F6C16E9"/>
    <w:multiLevelType w:val="hybridMultilevel"/>
    <w:tmpl w:val="52B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1"/>
  </w:num>
  <w:num w:numId="6">
    <w:abstractNumId w:val="15"/>
  </w:num>
  <w:num w:numId="7">
    <w:abstractNumId w:val="6"/>
  </w:num>
  <w:num w:numId="8">
    <w:abstractNumId w:val="7"/>
  </w:num>
  <w:num w:numId="9">
    <w:abstractNumId w:val="5"/>
  </w:num>
  <w:num w:numId="10">
    <w:abstractNumId w:val="12"/>
  </w:num>
  <w:num w:numId="11">
    <w:abstractNumId w:val="2"/>
  </w:num>
  <w:num w:numId="12">
    <w:abstractNumId w:val="10"/>
  </w:num>
  <w:num w:numId="13">
    <w:abstractNumId w:val="3"/>
  </w:num>
  <w:num w:numId="14">
    <w:abstractNumId w:val="11"/>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5"/>
    <w:rsid w:val="00007169"/>
    <w:rsid w:val="000C06CC"/>
    <w:rsid w:val="000C61C9"/>
    <w:rsid w:val="00117D94"/>
    <w:rsid w:val="00165A2D"/>
    <w:rsid w:val="00186766"/>
    <w:rsid w:val="001B256D"/>
    <w:rsid w:val="001E60A0"/>
    <w:rsid w:val="002375DD"/>
    <w:rsid w:val="00250252"/>
    <w:rsid w:val="00264F38"/>
    <w:rsid w:val="00270009"/>
    <w:rsid w:val="00292BCD"/>
    <w:rsid w:val="002B387F"/>
    <w:rsid w:val="002D12D7"/>
    <w:rsid w:val="002F2B39"/>
    <w:rsid w:val="00336EE5"/>
    <w:rsid w:val="00344A76"/>
    <w:rsid w:val="003929D7"/>
    <w:rsid w:val="00407CAA"/>
    <w:rsid w:val="0044272F"/>
    <w:rsid w:val="004B40E0"/>
    <w:rsid w:val="004E1735"/>
    <w:rsid w:val="004F5D5A"/>
    <w:rsid w:val="00500175"/>
    <w:rsid w:val="005049C5"/>
    <w:rsid w:val="00510D44"/>
    <w:rsid w:val="00522DE3"/>
    <w:rsid w:val="00546F77"/>
    <w:rsid w:val="00576B7B"/>
    <w:rsid w:val="005A1430"/>
    <w:rsid w:val="005A6A2D"/>
    <w:rsid w:val="005B194B"/>
    <w:rsid w:val="005C5E84"/>
    <w:rsid w:val="005D453D"/>
    <w:rsid w:val="005E238E"/>
    <w:rsid w:val="00620B6A"/>
    <w:rsid w:val="00677BAF"/>
    <w:rsid w:val="00690EDF"/>
    <w:rsid w:val="006929C6"/>
    <w:rsid w:val="006947ED"/>
    <w:rsid w:val="00701E69"/>
    <w:rsid w:val="00716E4A"/>
    <w:rsid w:val="007217FA"/>
    <w:rsid w:val="007400FD"/>
    <w:rsid w:val="0078310F"/>
    <w:rsid w:val="007A11BD"/>
    <w:rsid w:val="007A3490"/>
    <w:rsid w:val="00831678"/>
    <w:rsid w:val="00877D88"/>
    <w:rsid w:val="00895F3F"/>
    <w:rsid w:val="008A6268"/>
    <w:rsid w:val="008C5FF4"/>
    <w:rsid w:val="008D30FB"/>
    <w:rsid w:val="008E647B"/>
    <w:rsid w:val="0091739E"/>
    <w:rsid w:val="00946B4D"/>
    <w:rsid w:val="009A21C9"/>
    <w:rsid w:val="009A3101"/>
    <w:rsid w:val="009C7212"/>
    <w:rsid w:val="009D17C6"/>
    <w:rsid w:val="009D6EEF"/>
    <w:rsid w:val="009E38E5"/>
    <w:rsid w:val="00A30532"/>
    <w:rsid w:val="00A30B21"/>
    <w:rsid w:val="00A57623"/>
    <w:rsid w:val="00A62A93"/>
    <w:rsid w:val="00A7063C"/>
    <w:rsid w:val="00A76300"/>
    <w:rsid w:val="00A76E13"/>
    <w:rsid w:val="00A9591D"/>
    <w:rsid w:val="00AA0228"/>
    <w:rsid w:val="00AC371E"/>
    <w:rsid w:val="00AF69A8"/>
    <w:rsid w:val="00B371F4"/>
    <w:rsid w:val="00B52A04"/>
    <w:rsid w:val="00B57078"/>
    <w:rsid w:val="00B727AB"/>
    <w:rsid w:val="00B96172"/>
    <w:rsid w:val="00BC0AF6"/>
    <w:rsid w:val="00BC403A"/>
    <w:rsid w:val="00C85DED"/>
    <w:rsid w:val="00CA6238"/>
    <w:rsid w:val="00CB7CDD"/>
    <w:rsid w:val="00CC4F4B"/>
    <w:rsid w:val="00CD4F88"/>
    <w:rsid w:val="00CF5958"/>
    <w:rsid w:val="00D0698E"/>
    <w:rsid w:val="00D3276D"/>
    <w:rsid w:val="00D8063D"/>
    <w:rsid w:val="00D9570B"/>
    <w:rsid w:val="00DF0A1C"/>
    <w:rsid w:val="00DF449A"/>
    <w:rsid w:val="00E3024C"/>
    <w:rsid w:val="00E36049"/>
    <w:rsid w:val="00E612BF"/>
    <w:rsid w:val="00E86570"/>
    <w:rsid w:val="00ED381B"/>
    <w:rsid w:val="00EE36AA"/>
    <w:rsid w:val="00F1022F"/>
    <w:rsid w:val="00F2547C"/>
    <w:rsid w:val="00F3251D"/>
    <w:rsid w:val="00F36581"/>
    <w:rsid w:val="00F435D6"/>
    <w:rsid w:val="00F45DA9"/>
    <w:rsid w:val="00F74F85"/>
    <w:rsid w:val="00F8076D"/>
    <w:rsid w:val="00FC1BB1"/>
    <w:rsid w:val="00FC7E3C"/>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32BDA"/>
  <w15:chartTrackingRefBased/>
  <w15:docId w15:val="{DCA3A793-5493-4968-B83D-988BB5D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UnresolvedMention">
    <w:name w:val="Unresolved Mention"/>
    <w:basedOn w:val="DefaultParagraphFont"/>
    <w:uiPriority w:val="99"/>
    <w:semiHidden/>
    <w:unhideWhenUsed/>
    <w:rsid w:val="00A30B21"/>
    <w:rPr>
      <w:color w:val="605E5C"/>
      <w:shd w:val="clear" w:color="auto" w:fill="E1DFDD"/>
    </w:rPr>
  </w:style>
  <w:style w:type="character" w:styleId="CommentReference">
    <w:name w:val="annotation reference"/>
    <w:uiPriority w:val="99"/>
    <w:semiHidden/>
    <w:unhideWhenUsed/>
    <w:rsid w:val="00A30B21"/>
    <w:rPr>
      <w:sz w:val="16"/>
      <w:szCs w:val="16"/>
    </w:rPr>
  </w:style>
  <w:style w:type="paragraph" w:styleId="CommentText">
    <w:name w:val="annotation text"/>
    <w:basedOn w:val="Normal"/>
    <w:link w:val="CommentTextChar"/>
    <w:uiPriority w:val="99"/>
    <w:semiHidden/>
    <w:unhideWhenUsed/>
    <w:rsid w:val="00A30B21"/>
    <w:rPr>
      <w:sz w:val="20"/>
    </w:rPr>
  </w:style>
  <w:style w:type="character" w:customStyle="1" w:styleId="CommentTextChar">
    <w:name w:val="Comment Text Char"/>
    <w:basedOn w:val="DefaultParagraphFont"/>
    <w:link w:val="CommentText"/>
    <w:uiPriority w:val="99"/>
    <w:semiHidden/>
    <w:rsid w:val="00A30B21"/>
    <w:rPr>
      <w:rFonts w:ascii="Arial" w:hAnsi="Arial"/>
    </w:rPr>
  </w:style>
  <w:style w:type="character" w:customStyle="1" w:styleId="HeaderChar">
    <w:name w:val="Header Char"/>
    <w:link w:val="Header"/>
    <w:uiPriority w:val="99"/>
    <w:rsid w:val="00A30B21"/>
    <w:rPr>
      <w:rFonts w:ascii="Universal" w:hAnsi="Universal"/>
      <w:sz w:val="24"/>
    </w:rPr>
  </w:style>
  <w:style w:type="table" w:styleId="TableGrid">
    <w:name w:val="Table Grid"/>
    <w:basedOn w:val="TableNormal"/>
    <w:uiPriority w:val="59"/>
    <w:rsid w:val="00A3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37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ise.taylo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5</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28.11.11</dc:description>
  <cp:lastModifiedBy>Gorton, Sam</cp:lastModifiedBy>
  <cp:revision>2</cp:revision>
  <cp:lastPrinted>2015-05-08T15:09:00Z</cp:lastPrinted>
  <dcterms:created xsi:type="dcterms:W3CDTF">2022-04-29T13:03:00Z</dcterms:created>
  <dcterms:modified xsi:type="dcterms:W3CDTF">2022-04-29T13:03:00Z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Test</vt:lpwstr>
  </property>
  <property fmtid="{D5CDD505-2E9C-101B-9397-08002B2CF9AE}" pid="3" name="LeadOfficer">
    <vt:lpwstr>Sam Gorton</vt:lpwstr>
  </property>
  <property fmtid="{D5CDD505-2E9C-101B-9397-08002B2CF9AE}" pid="4" name="LeadOfficerEmail">
    <vt:lpwstr>sam.gorton@lancashire.gov.uk</vt:lpwstr>
  </property>
  <property fmtid="{D5CDD505-2E9C-101B-9397-08002B2CF9AE}" pid="5" name="LeadOfficerTel">
    <vt:lpwstr>Tel: 01772 532471</vt:lpwstr>
  </property>
  <property fmtid="{D5CDD505-2E9C-101B-9397-08002B2CF9AE}" pid="6" name="MeetingDate">
    <vt:lpwstr>Tuesday, 8 March 2022</vt:lpwstr>
  </property>
  <property fmtid="{D5CDD505-2E9C-101B-9397-08002B2CF9AE}" pid="7" name="priority">
    <vt:lpwstr>Delivering better services;</vt:lpwstr>
  </property>
</Properties>
</file>