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D967" w14:textId="77777777" w:rsidR="000F5AB6" w:rsidRDefault="000F5AB6">
      <w:pPr>
        <w:rPr>
          <w:b/>
        </w:rPr>
      </w:pPr>
    </w:p>
    <w:p w14:paraId="09BA2AEC" w14:textId="77777777" w:rsidR="000F5AB6" w:rsidRDefault="000F5AB6">
      <w:pPr>
        <w:rPr>
          <w:b/>
        </w:rPr>
      </w:pPr>
    </w:p>
    <w:p w14:paraId="75A6C65C" w14:textId="77777777" w:rsidR="001B69BC" w:rsidRDefault="001B69BC">
      <w:pPr>
        <w:rPr>
          <w:b/>
        </w:rPr>
      </w:pPr>
    </w:p>
    <w:p w14:paraId="27C9C764" w14:textId="77777777" w:rsidR="001B69BC" w:rsidRDefault="001B69BC">
      <w:pPr>
        <w:rPr>
          <w:b/>
        </w:rPr>
      </w:pPr>
    </w:p>
    <w:p w14:paraId="41FEFACE" w14:textId="77777777" w:rsidR="001B69BC" w:rsidRDefault="001B69BC">
      <w:pPr>
        <w:rPr>
          <w:b/>
        </w:rPr>
      </w:pPr>
    </w:p>
    <w:p w14:paraId="460D65CB" w14:textId="02F311D0" w:rsidR="00E5514B" w:rsidRDefault="00AD0816">
      <w:pPr>
        <w:rPr>
          <w:b/>
        </w:rPr>
      </w:pPr>
      <w:r>
        <w:rPr>
          <w:b/>
        </w:rPr>
        <w:t>Report to the Cabinet</w:t>
      </w:r>
    </w:p>
    <w:p w14:paraId="0B06F038" w14:textId="77777777" w:rsidR="00E5514B" w:rsidRDefault="00AD0816">
      <w:r>
        <w:t xml:space="preserve">Meeting to be held on </w:t>
      </w:r>
      <w:r w:rsidR="00CE2C12">
        <w:fldChar w:fldCharType="begin"/>
      </w:r>
      <w:r>
        <w:instrText xml:space="preserve"> DOCPROPERTY  MeetingDate  \* MERGEFORMAT </w:instrText>
      </w:r>
      <w:r w:rsidR="00CE2C12">
        <w:fldChar w:fldCharType="separate"/>
      </w:r>
      <w:r w:rsidR="00CE2C12">
        <w:t>Thursday, 2 February 2023</w:t>
      </w:r>
      <w:r w:rsidR="00CE2C12">
        <w:fldChar w:fldCharType="end"/>
      </w:r>
    </w:p>
    <w:p w14:paraId="243A5529" w14:textId="77777777" w:rsidR="004E138E" w:rsidRDefault="004E138E"/>
    <w:p w14:paraId="6CE1BDF0" w14:textId="77777777" w:rsidR="00E5514B" w:rsidRDefault="00AD0816">
      <w:pPr>
        <w:rPr>
          <w:b/>
        </w:rPr>
      </w:pPr>
      <w:r>
        <w:rPr>
          <w:b/>
        </w:rPr>
        <w:t xml:space="preserve">Report of the </w:t>
      </w:r>
      <w:r w:rsidR="000955FB">
        <w:rPr>
          <w:b/>
        </w:rPr>
        <w:fldChar w:fldCharType="begin"/>
      </w:r>
      <w:r w:rsidR="000955FB">
        <w:rPr>
          <w:b/>
        </w:rPr>
        <w:instrText xml:space="preserve"> DOCPROPERTY  LeadDirector  \* MERGEFORMAT </w:instrText>
      </w:r>
      <w:r w:rsidR="000955FB">
        <w:rPr>
          <w:b/>
        </w:rPr>
        <w:fldChar w:fldCharType="separate"/>
      </w:r>
      <w:r w:rsidR="000955FB">
        <w:rPr>
          <w:b/>
        </w:rPr>
        <w:t>Director of Strategy and Performance</w:t>
      </w:r>
      <w:r w:rsidR="000955FB">
        <w:rPr>
          <w:b/>
        </w:rPr>
        <w:fldChar w:fldCharType="end"/>
      </w:r>
      <w:r w:rsidR="000955FB">
        <w:rPr>
          <w:b/>
        </w:rPr>
        <w:t xml:space="preserve"> </w:t>
      </w:r>
    </w:p>
    <w:p w14:paraId="2B409B4C" w14:textId="77777777"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0F7BDB" w14:paraId="55E70EB2" w14:textId="77777777" w:rsidTr="00192EE0">
        <w:tc>
          <w:tcPr>
            <w:tcW w:w="3402" w:type="dxa"/>
            <w:tcBorders>
              <w:bottom w:val="single" w:sz="4" w:space="0" w:color="auto"/>
            </w:tcBorders>
          </w:tcPr>
          <w:p w14:paraId="689276DE" w14:textId="77777777" w:rsidR="00192EE0" w:rsidRPr="00136344" w:rsidRDefault="00AD0816">
            <w:pPr>
              <w:pStyle w:val="BodyText"/>
              <w:rPr>
                <w:rFonts w:cs="Arial"/>
                <w:b/>
                <w:szCs w:val="24"/>
              </w:rPr>
            </w:pPr>
            <w:r w:rsidRPr="00A71CC6">
              <w:rPr>
                <w:rFonts w:cs="Arial"/>
                <w:b/>
                <w:sz w:val="28"/>
                <w:szCs w:val="24"/>
              </w:rPr>
              <w:fldChar w:fldCharType="begin"/>
            </w:r>
            <w:r w:rsidRPr="00A71CC6">
              <w:rPr>
                <w:rFonts w:cs="Arial"/>
                <w:b/>
                <w:sz w:val="28"/>
                <w:szCs w:val="24"/>
              </w:rPr>
              <w:instrText xml:space="preserve"> DOCPROPERTY  IssueExemptionClassTitle  \* MERGEFORMAT </w:instrText>
            </w:r>
            <w:r w:rsidRPr="00A71CC6">
              <w:rPr>
                <w:rFonts w:cs="Arial"/>
                <w:b/>
                <w:sz w:val="28"/>
                <w:szCs w:val="24"/>
              </w:rPr>
              <w:fldChar w:fldCharType="separate"/>
            </w:r>
            <w:r w:rsidRPr="00A71CC6">
              <w:rPr>
                <w:rFonts w:cs="Arial"/>
                <w:b/>
                <w:sz w:val="28"/>
                <w:szCs w:val="24"/>
              </w:rPr>
              <w:t>Part I</w:t>
            </w:r>
            <w:r w:rsidRPr="00A71CC6">
              <w:rPr>
                <w:rFonts w:cs="Arial"/>
                <w:b/>
                <w:sz w:val="28"/>
                <w:szCs w:val="24"/>
              </w:rPr>
              <w:fldChar w:fldCharType="end"/>
            </w:r>
            <w:r w:rsidR="00302223">
              <w:rPr>
                <w:rFonts w:cs="Arial"/>
                <w:b/>
                <w:sz w:val="28"/>
                <w:szCs w:val="24"/>
              </w:rPr>
              <w:t xml:space="preserve"> </w:t>
            </w:r>
          </w:p>
        </w:tc>
      </w:tr>
      <w:tr w:rsidR="000F7BDB" w14:paraId="4FB29773" w14:textId="77777777" w:rsidTr="00192EE0">
        <w:tc>
          <w:tcPr>
            <w:tcW w:w="3402" w:type="dxa"/>
            <w:tcBorders>
              <w:left w:val="nil"/>
              <w:right w:val="nil"/>
            </w:tcBorders>
          </w:tcPr>
          <w:p w14:paraId="1C2B99A9" w14:textId="77777777" w:rsidR="00192EE0" w:rsidRDefault="00192EE0">
            <w:pPr>
              <w:pStyle w:val="BodyText"/>
            </w:pPr>
          </w:p>
        </w:tc>
      </w:tr>
      <w:tr w:rsidR="000F7BDB" w14:paraId="18A702FF" w14:textId="77777777">
        <w:tc>
          <w:tcPr>
            <w:tcW w:w="3402" w:type="dxa"/>
          </w:tcPr>
          <w:p w14:paraId="1168F351" w14:textId="77777777" w:rsidR="00E5514B" w:rsidRDefault="00AD0816">
            <w:pPr>
              <w:pStyle w:val="BodyText"/>
            </w:pPr>
            <w:r>
              <w:t>Electoral Division affected:</w:t>
            </w:r>
          </w:p>
          <w:p w14:paraId="024B2A6B" w14:textId="77777777" w:rsidR="00CE2C12" w:rsidRPr="00192EE0" w:rsidRDefault="00AD0816">
            <w:pPr>
              <w:ind w:right="-250"/>
            </w:pPr>
            <w:fldSimple w:instr=" DOCPROPERTY  Wards  \* MERGEFORMAT ">
              <w:r w:rsidR="00D516A7">
                <w:t>(All Divisions);</w:t>
              </w:r>
            </w:fldSimple>
          </w:p>
        </w:tc>
      </w:tr>
    </w:tbl>
    <w:p w14:paraId="5A2AA5FD" w14:textId="77777777" w:rsidR="00E5514B" w:rsidRDefault="00E5514B">
      <w:pPr>
        <w:rPr>
          <w:b/>
          <w:u w:val="single"/>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0F7BDB" w14:paraId="49852BD9" w14:textId="77777777" w:rsidTr="00B51A14">
        <w:tc>
          <w:tcPr>
            <w:tcW w:w="3465" w:type="dxa"/>
            <w:shd w:val="clear" w:color="auto" w:fill="auto"/>
          </w:tcPr>
          <w:p w14:paraId="312EB1FA" w14:textId="77777777" w:rsidR="00E20250" w:rsidRPr="00B51A14" w:rsidRDefault="00AD0816" w:rsidP="00B51A14">
            <w:pPr>
              <w:rPr>
                <w:b/>
                <w:bCs/>
              </w:rPr>
            </w:pPr>
            <w:r w:rsidRPr="00B51A14">
              <w:rPr>
                <w:b/>
                <w:bCs/>
              </w:rPr>
              <w:t>Corporate Priorities:</w:t>
            </w:r>
          </w:p>
          <w:p w14:paraId="676EA034" w14:textId="77777777" w:rsidR="00E20250" w:rsidRDefault="00AD0816" w:rsidP="00B51A14">
            <w:fldSimple w:instr=" DOCPROPERTY  priority  \* MERGEFORMAT ">
              <w:r w:rsidR="00D516A7">
                <w:t>Delivering better services;</w:t>
              </w:r>
            </w:fldSimple>
          </w:p>
          <w:p w14:paraId="1A04E9AC" w14:textId="77777777" w:rsidR="003D5983" w:rsidRDefault="00AD0816" w:rsidP="00B51A14">
            <w:r w:rsidRPr="00015D06">
              <w:t>Protecting our environment</w:t>
            </w:r>
            <w:r>
              <w:t>;</w:t>
            </w:r>
          </w:p>
        </w:tc>
      </w:tr>
    </w:tbl>
    <w:p w14:paraId="14EFFECC" w14:textId="77777777" w:rsidR="00E20250" w:rsidRDefault="00E20250">
      <w:pPr>
        <w:rPr>
          <w:b/>
        </w:rPr>
      </w:pPr>
    </w:p>
    <w:p w14:paraId="560E9F37" w14:textId="77777777" w:rsidR="00E20250" w:rsidRDefault="00E20250">
      <w:pPr>
        <w:rPr>
          <w:b/>
        </w:rPr>
      </w:pPr>
    </w:p>
    <w:p w14:paraId="09FEE949" w14:textId="77777777" w:rsidR="000F5AB6" w:rsidRDefault="000F5AB6">
      <w:pPr>
        <w:rPr>
          <w:b/>
        </w:rPr>
      </w:pPr>
    </w:p>
    <w:p w14:paraId="13484301" w14:textId="77777777" w:rsidR="008B0D7D" w:rsidRDefault="008B0D7D">
      <w:pPr>
        <w:rPr>
          <w:b/>
        </w:rPr>
      </w:pPr>
    </w:p>
    <w:p w14:paraId="563F3AA7" w14:textId="77777777" w:rsidR="00E5514B" w:rsidRDefault="00AD0816">
      <w:pPr>
        <w:rPr>
          <w:b/>
        </w:rPr>
      </w:pPr>
      <w:r>
        <w:rPr>
          <w:b/>
        </w:rPr>
        <w:fldChar w:fldCharType="begin"/>
      </w:r>
      <w:r>
        <w:rPr>
          <w:b/>
        </w:rPr>
        <w:instrText xml:space="preserve"> DOCPROPERTY  IssueTitle  \* MERGEFORMAT </w:instrText>
      </w:r>
      <w:r>
        <w:rPr>
          <w:b/>
        </w:rPr>
        <w:fldChar w:fldCharType="separate"/>
      </w:r>
      <w:r>
        <w:rPr>
          <w:b/>
        </w:rPr>
        <w:t>Capital Strategy for Schools – Condition Led Capital Investment Programme 2023/24</w:t>
      </w:r>
      <w:r>
        <w:rPr>
          <w:b/>
        </w:rPr>
        <w:fldChar w:fldCharType="end"/>
      </w:r>
    </w:p>
    <w:p w14:paraId="52BA08D6" w14:textId="77777777" w:rsidR="003D5983" w:rsidRPr="007B3E83" w:rsidRDefault="00AD0816" w:rsidP="003D5983">
      <w:pPr>
        <w:rPr>
          <w:rFonts w:cs="Arial"/>
          <w:szCs w:val="24"/>
        </w:rPr>
      </w:pPr>
      <w:r w:rsidRPr="007B3E83">
        <w:rPr>
          <w:rFonts w:cs="Arial"/>
          <w:szCs w:val="24"/>
        </w:rPr>
        <w:t xml:space="preserve">(Appendix 'A' refers) </w:t>
      </w:r>
    </w:p>
    <w:p w14:paraId="45F1D05C" w14:textId="77777777" w:rsidR="00E5514B" w:rsidRDefault="00E5514B"/>
    <w:p w14:paraId="68D3325C" w14:textId="77777777" w:rsidR="00E5514B" w:rsidRDefault="00AD0816">
      <w:pPr>
        <w:ind w:right="-873"/>
      </w:pPr>
      <w:r>
        <w:t>Contact</w:t>
      </w:r>
      <w:r w:rsidR="0005633D">
        <w:t>s</w:t>
      </w:r>
      <w:r>
        <w:t xml:space="preserve"> for further information: </w:t>
      </w:r>
    </w:p>
    <w:p w14:paraId="093FE491" w14:textId="77777777" w:rsidR="003D5983" w:rsidRPr="00DE0BB2" w:rsidRDefault="00AD0816" w:rsidP="003D5983">
      <w:pPr>
        <w:ind w:right="-873"/>
      </w:pPr>
      <w:r w:rsidRPr="00DE0BB2">
        <w:fldChar w:fldCharType="begin"/>
      </w:r>
      <w:r>
        <w:instrText xml:space="preserve"> DOCPROPERTY  LeadOfficer  \* MERGEFORMAT </w:instrText>
      </w:r>
      <w:r w:rsidRPr="00DE0BB2">
        <w:fldChar w:fldCharType="separate"/>
      </w:r>
      <w:r w:rsidRPr="00DE0BB2">
        <w:t>Simon Smith</w:t>
      </w:r>
      <w:r w:rsidRPr="00DE0BB2">
        <w:fldChar w:fldCharType="end"/>
      </w:r>
      <w:r w:rsidRPr="00DE0BB2">
        <w:t xml:space="preserve">, </w:t>
      </w:r>
      <w:r w:rsidRPr="00DE0BB2">
        <w:fldChar w:fldCharType="begin"/>
      </w:r>
      <w:r>
        <w:instrText xml:space="preserve"> DOCPROPERTY  LeadOfficerTel  \* MERGEFORMAT </w:instrText>
      </w:r>
      <w:r w:rsidRPr="00DE0BB2">
        <w:fldChar w:fldCharType="separate"/>
      </w:r>
      <w:r w:rsidRPr="00DE0BB2">
        <w:t>Tel: (01772</w:t>
      </w:r>
      <w:r>
        <w:t>)</w:t>
      </w:r>
      <w:r w:rsidRPr="00DE0BB2">
        <w:t xml:space="preserve"> 535467</w:t>
      </w:r>
      <w:r w:rsidRPr="00DE0BB2">
        <w:fldChar w:fldCharType="end"/>
      </w:r>
      <w:r w:rsidRPr="00DE0BB2">
        <w:t>, Property Asset Manager – Capital,</w:t>
      </w:r>
    </w:p>
    <w:p w14:paraId="73304CCA" w14:textId="77777777" w:rsidR="003D5983" w:rsidRPr="00DE0BB2" w:rsidRDefault="00AD0816" w:rsidP="003D5983">
      <w:pPr>
        <w:ind w:right="-873"/>
      </w:pPr>
      <w:r w:rsidRPr="00DE0BB2">
        <w:fldChar w:fldCharType="begin"/>
      </w:r>
      <w:r>
        <w:instrText xml:space="preserve"> DOCPROPERTY  LeadOfficerEmail  \* MERGEFORMAT </w:instrText>
      </w:r>
      <w:r w:rsidRPr="00DE0BB2">
        <w:fldChar w:fldCharType="separate"/>
      </w:r>
      <w:r w:rsidRPr="00DE0BB2">
        <w:t>simon.smith@lancashire.gov.uk</w:t>
      </w:r>
      <w:r w:rsidRPr="00DE0BB2">
        <w:fldChar w:fldCharType="end"/>
      </w:r>
    </w:p>
    <w:p w14:paraId="1EFED17A" w14:textId="706767AE" w:rsidR="003D5983" w:rsidRDefault="00AD0816" w:rsidP="003D5983">
      <w:r w:rsidRPr="00DE0BB2">
        <w:t xml:space="preserve">Michael Peppin, Tel: 07974 590019, </w:t>
      </w:r>
      <w:r w:rsidRPr="003D5983">
        <w:rPr>
          <w:rFonts w:cs="Arial"/>
          <w:noProof/>
        </w:rPr>
        <w:t>Property Assets Principal</w:t>
      </w:r>
      <w:r w:rsidRPr="00DE0BB2">
        <w:t xml:space="preserve">, </w:t>
      </w:r>
      <w:r w:rsidR="00BF36A4" w:rsidRPr="000F6EDF">
        <w:t>michael.peppin@lancashire.gov.uk</w:t>
      </w:r>
    </w:p>
    <w:p w14:paraId="30B704F8" w14:textId="6DE88B0D" w:rsidR="00BF36A4" w:rsidRDefault="00BF36A4" w:rsidP="003D5983"/>
    <w:tbl>
      <w:tblPr>
        <w:tblStyle w:val="TableGrid"/>
        <w:tblW w:w="0" w:type="auto"/>
        <w:tblLook w:val="04A0" w:firstRow="1" w:lastRow="0" w:firstColumn="1" w:lastColumn="0" w:noHBand="0" w:noVBand="1"/>
      </w:tblPr>
      <w:tblGrid>
        <w:gridCol w:w="9017"/>
      </w:tblGrid>
      <w:tr w:rsidR="001B69BC" w14:paraId="334140FD" w14:textId="77777777" w:rsidTr="001B69BC">
        <w:tc>
          <w:tcPr>
            <w:tcW w:w="9017" w:type="dxa"/>
          </w:tcPr>
          <w:p w14:paraId="7DCABE80" w14:textId="77777777" w:rsidR="001B69BC" w:rsidRDefault="001B69BC" w:rsidP="003D5983"/>
          <w:p w14:paraId="64DCAB9A" w14:textId="77777777" w:rsidR="001B69BC" w:rsidRPr="001B69BC" w:rsidRDefault="001B69BC" w:rsidP="001B69BC">
            <w:pPr>
              <w:jc w:val="both"/>
              <w:rPr>
                <w:b/>
                <w:bCs/>
              </w:rPr>
            </w:pPr>
            <w:r w:rsidRPr="001B69BC">
              <w:rPr>
                <w:b/>
                <w:bCs/>
              </w:rPr>
              <w:t>Brief Summary</w:t>
            </w:r>
          </w:p>
          <w:p w14:paraId="00B00FC9" w14:textId="77777777" w:rsidR="001B69BC" w:rsidRDefault="001B69BC" w:rsidP="001B69BC">
            <w:pPr>
              <w:jc w:val="both"/>
            </w:pPr>
          </w:p>
          <w:p w14:paraId="7D5A4784" w14:textId="77777777" w:rsidR="001B69BC" w:rsidRDefault="001B69BC" w:rsidP="001B69BC">
            <w:pPr>
              <w:jc w:val="both"/>
            </w:pPr>
            <w:r>
              <w:t xml:space="preserve">This report sets out the proposals for the allocation of </w:t>
            </w:r>
            <w:proofErr w:type="gramStart"/>
            <w:r>
              <w:t>schools</w:t>
            </w:r>
            <w:proofErr w:type="gramEnd"/>
            <w:r>
              <w:t xml:space="preserve"> capital funding to address a further phase of high priority building condition repairs on Community, Voluntary Controlled and Maintained Schools in Lancashire.</w:t>
            </w:r>
          </w:p>
          <w:p w14:paraId="0B768752" w14:textId="77777777" w:rsidR="001B69BC" w:rsidRDefault="001B69BC" w:rsidP="001B69BC">
            <w:pPr>
              <w:jc w:val="both"/>
            </w:pPr>
          </w:p>
          <w:p w14:paraId="5D321740" w14:textId="77777777" w:rsidR="001B69BC" w:rsidRDefault="001B69BC" w:rsidP="001B69BC">
            <w:pPr>
              <w:jc w:val="both"/>
            </w:pPr>
            <w:r>
              <w:t xml:space="preserve">The condition programme is funded by a grant from the Department for Education. Allocations are usually announced in April, and previous years allocations indicate that approximately £14.000m should be received. The programme has been developed to utilise this allocation. Once the amount is announced, the programme will be adjusted accordingly.  </w:t>
            </w:r>
          </w:p>
          <w:p w14:paraId="65B2D082" w14:textId="77777777" w:rsidR="001B69BC" w:rsidRDefault="001B69BC" w:rsidP="001B69BC">
            <w:pPr>
              <w:jc w:val="both"/>
            </w:pPr>
          </w:p>
          <w:p w14:paraId="17F5F866" w14:textId="77777777" w:rsidR="001B69BC" w:rsidRDefault="001B69BC" w:rsidP="001B69BC">
            <w:pPr>
              <w:jc w:val="both"/>
            </w:pPr>
            <w:r>
              <w:t>This is deemed to be a Key Decision and the requirements of Standing Order C19 have been complied with.</w:t>
            </w:r>
          </w:p>
          <w:p w14:paraId="52472D7B" w14:textId="77777777" w:rsidR="001B69BC" w:rsidRDefault="001B69BC" w:rsidP="001B69BC">
            <w:pPr>
              <w:jc w:val="both"/>
            </w:pPr>
          </w:p>
          <w:p w14:paraId="0FA8AC04" w14:textId="77777777" w:rsidR="001B69BC" w:rsidRPr="001B69BC" w:rsidRDefault="001B69BC" w:rsidP="001B69BC">
            <w:pPr>
              <w:jc w:val="both"/>
              <w:rPr>
                <w:b/>
                <w:bCs/>
              </w:rPr>
            </w:pPr>
            <w:r w:rsidRPr="001B69BC">
              <w:rPr>
                <w:b/>
                <w:bCs/>
              </w:rPr>
              <w:t>Recommendation</w:t>
            </w:r>
          </w:p>
          <w:p w14:paraId="54DBD13F" w14:textId="77777777" w:rsidR="001B69BC" w:rsidRDefault="001B69BC" w:rsidP="001B69BC">
            <w:pPr>
              <w:jc w:val="both"/>
            </w:pPr>
          </w:p>
          <w:p w14:paraId="0FF735C8" w14:textId="77777777" w:rsidR="001B69BC" w:rsidRDefault="001B69BC" w:rsidP="001B69BC">
            <w:pPr>
              <w:jc w:val="both"/>
            </w:pPr>
            <w:r>
              <w:t>Cabinet is asked to approve:</w:t>
            </w:r>
          </w:p>
          <w:p w14:paraId="19D6EF9B" w14:textId="77777777" w:rsidR="001B69BC" w:rsidRDefault="001B69BC" w:rsidP="001B69BC">
            <w:pPr>
              <w:jc w:val="both"/>
            </w:pPr>
          </w:p>
          <w:p w14:paraId="387EC3F5" w14:textId="48C792BB" w:rsidR="001B69BC" w:rsidRDefault="001B69BC" w:rsidP="001B69BC">
            <w:pPr>
              <w:pStyle w:val="ListParagraph"/>
              <w:numPr>
                <w:ilvl w:val="0"/>
                <w:numId w:val="4"/>
              </w:numPr>
              <w:jc w:val="both"/>
            </w:pPr>
            <w:r>
              <w:lastRenderedPageBreak/>
              <w:t>The proposed list of maintenance schemes in Lancashire schools, detailed at Appendix 'A', totalling £13.977m, as a further phase of high priority school repairs, subject to the grant settlement being £14.000m.</w:t>
            </w:r>
          </w:p>
          <w:p w14:paraId="2B54E3B4" w14:textId="77777777" w:rsidR="001B69BC" w:rsidRDefault="001B69BC" w:rsidP="001B69BC">
            <w:pPr>
              <w:pStyle w:val="ListParagraph"/>
              <w:ind w:left="1080"/>
              <w:jc w:val="both"/>
            </w:pPr>
          </w:p>
          <w:p w14:paraId="1F73EE81" w14:textId="77777777" w:rsidR="001B69BC" w:rsidRPr="001B69BC" w:rsidRDefault="001B69BC" w:rsidP="001B69BC">
            <w:pPr>
              <w:pStyle w:val="ListParagraph"/>
              <w:numPr>
                <w:ilvl w:val="0"/>
                <w:numId w:val="4"/>
              </w:numPr>
              <w:jc w:val="both"/>
            </w:pPr>
            <w:r w:rsidRPr="001B69BC">
              <w:t>That the Executive Director for Education and Children's Services, the Director of Strategy and Performance and the Director of Finance, in consultation with the Cabinet Member for Education and Skills, be authorised to approve any adjustments necessary once the final funding settlement is announced.</w:t>
            </w:r>
          </w:p>
          <w:p w14:paraId="303D1AFE" w14:textId="1A187CF7" w:rsidR="001B69BC" w:rsidRDefault="001B69BC" w:rsidP="001B69BC"/>
        </w:tc>
      </w:tr>
    </w:tbl>
    <w:p w14:paraId="3A02F7F7" w14:textId="77777777" w:rsidR="00E5514B" w:rsidRDefault="00E5514B">
      <w:pPr>
        <w:rPr>
          <w:b/>
          <w:u w:val="single"/>
        </w:rPr>
      </w:pPr>
    </w:p>
    <w:p w14:paraId="1EEF9161" w14:textId="77777777" w:rsidR="00DF043B" w:rsidRDefault="00AD0816" w:rsidP="00DF043B">
      <w:pPr>
        <w:rPr>
          <w:b/>
        </w:rPr>
      </w:pPr>
      <w:r>
        <w:rPr>
          <w:b/>
        </w:rPr>
        <w:t>Detail</w:t>
      </w:r>
    </w:p>
    <w:p w14:paraId="67A8F720" w14:textId="77777777" w:rsidR="00DF043B" w:rsidRDefault="00DF043B" w:rsidP="00DF043B">
      <w:pPr>
        <w:rPr>
          <w:b/>
        </w:rPr>
      </w:pPr>
    </w:p>
    <w:p w14:paraId="581D6C00" w14:textId="77777777" w:rsidR="00A97289" w:rsidRPr="001578EE" w:rsidRDefault="00AD0816" w:rsidP="00A97289">
      <w:pPr>
        <w:autoSpaceDE w:val="0"/>
        <w:autoSpaceDN w:val="0"/>
        <w:adjustRightInd w:val="0"/>
        <w:jc w:val="both"/>
        <w:rPr>
          <w:rFonts w:cs="Arial"/>
          <w:szCs w:val="24"/>
        </w:rPr>
      </w:pPr>
      <w:r w:rsidRPr="001578EE">
        <w:rPr>
          <w:rFonts w:cs="Arial"/>
          <w:szCs w:val="24"/>
        </w:rPr>
        <w:t>T</w:t>
      </w:r>
      <w:r>
        <w:rPr>
          <w:rFonts w:cs="Arial"/>
          <w:szCs w:val="24"/>
        </w:rPr>
        <w:t xml:space="preserve">he Schools </w:t>
      </w:r>
      <w:r w:rsidRPr="001578EE">
        <w:rPr>
          <w:rFonts w:cs="Arial"/>
          <w:szCs w:val="24"/>
        </w:rPr>
        <w:t xml:space="preserve">Condition Led Programme </w:t>
      </w:r>
      <w:r>
        <w:rPr>
          <w:rFonts w:cs="Arial"/>
          <w:szCs w:val="24"/>
        </w:rPr>
        <w:t>began</w:t>
      </w:r>
      <w:r w:rsidRPr="001578EE">
        <w:rPr>
          <w:rFonts w:cs="Arial"/>
          <w:szCs w:val="24"/>
        </w:rPr>
        <w:t xml:space="preserve"> in 2011. </w:t>
      </w:r>
      <w:r>
        <w:rPr>
          <w:rFonts w:cs="Arial"/>
          <w:szCs w:val="24"/>
        </w:rPr>
        <w:t>Using Department for Education grant monies, e</w:t>
      </w:r>
      <w:r w:rsidRPr="001578EE">
        <w:rPr>
          <w:rFonts w:cs="Arial"/>
          <w:szCs w:val="24"/>
        </w:rPr>
        <w:t>ach round of the programme has addressed the worst condition issues that have been identified. Through a process of cross</w:t>
      </w:r>
      <w:r>
        <w:rPr>
          <w:rFonts w:cs="Arial"/>
          <w:szCs w:val="24"/>
        </w:rPr>
        <w:t>-</w:t>
      </w:r>
      <w:r w:rsidRPr="001578EE">
        <w:rPr>
          <w:rFonts w:cs="Arial"/>
          <w:szCs w:val="24"/>
        </w:rPr>
        <w:t xml:space="preserve">referencing asset management building condition data held by the </w:t>
      </w:r>
      <w:r>
        <w:rPr>
          <w:rFonts w:cs="Arial"/>
          <w:szCs w:val="24"/>
        </w:rPr>
        <w:t>c</w:t>
      </w:r>
      <w:r w:rsidRPr="001578EE">
        <w:rPr>
          <w:rFonts w:cs="Arial"/>
          <w:szCs w:val="24"/>
        </w:rPr>
        <w:t xml:space="preserve">ounty </w:t>
      </w:r>
      <w:r>
        <w:rPr>
          <w:rFonts w:cs="Arial"/>
          <w:szCs w:val="24"/>
        </w:rPr>
        <w:t>council, officers have prepared</w:t>
      </w:r>
      <w:r w:rsidRPr="001578EE">
        <w:rPr>
          <w:rFonts w:cs="Arial"/>
          <w:szCs w:val="24"/>
        </w:rPr>
        <w:t xml:space="preserve"> a schedule of Priority 1 school repairs. These are set out at Appendix 'A'. </w:t>
      </w:r>
    </w:p>
    <w:p w14:paraId="7BC532FC" w14:textId="77777777" w:rsidR="00A97289" w:rsidRPr="001578EE" w:rsidRDefault="00A97289" w:rsidP="00A97289">
      <w:pPr>
        <w:autoSpaceDE w:val="0"/>
        <w:autoSpaceDN w:val="0"/>
        <w:adjustRightInd w:val="0"/>
        <w:jc w:val="both"/>
        <w:rPr>
          <w:rFonts w:cs="Arial"/>
          <w:szCs w:val="24"/>
        </w:rPr>
      </w:pPr>
    </w:p>
    <w:p w14:paraId="5741D878" w14:textId="77777777" w:rsidR="00A97289" w:rsidRPr="001578EE" w:rsidRDefault="00AD0816" w:rsidP="00A97289">
      <w:pPr>
        <w:autoSpaceDE w:val="0"/>
        <w:autoSpaceDN w:val="0"/>
        <w:adjustRightInd w:val="0"/>
        <w:jc w:val="both"/>
        <w:rPr>
          <w:rFonts w:cs="Arial"/>
          <w:szCs w:val="24"/>
        </w:rPr>
      </w:pPr>
      <w:r w:rsidRPr="001578EE">
        <w:rPr>
          <w:rFonts w:cs="Arial"/>
          <w:szCs w:val="24"/>
        </w:rPr>
        <w:t xml:space="preserve">The programme has been formulated using the most current information available, but from experience on earlier programmes, and the complexities of assessing the condition of existing buildings, there could be a risk that further Priority 1 issues may become apparent. </w:t>
      </w:r>
      <w:r w:rsidR="002B4700" w:rsidRPr="001578EE">
        <w:rPr>
          <w:rFonts w:cs="Arial"/>
          <w:szCs w:val="24"/>
        </w:rPr>
        <w:t>A</w:t>
      </w:r>
      <w:r w:rsidRPr="001578EE">
        <w:rPr>
          <w:rFonts w:cs="Arial"/>
          <w:szCs w:val="24"/>
        </w:rPr>
        <w:t xml:space="preserve"> significant contingency is recommended, which will be available to capture any justifiable projects which come to light during the delivery of already identified works</w:t>
      </w:r>
      <w:r w:rsidR="00BF36A4">
        <w:rPr>
          <w:rFonts w:cs="Arial"/>
          <w:szCs w:val="24"/>
        </w:rPr>
        <w:t>,</w:t>
      </w:r>
      <w:r w:rsidRPr="001578EE">
        <w:rPr>
          <w:rFonts w:cs="Arial"/>
          <w:szCs w:val="24"/>
        </w:rPr>
        <w:t xml:space="preserve"> and which meet the Priority 1 criteria.</w:t>
      </w:r>
    </w:p>
    <w:p w14:paraId="141A553A" w14:textId="77777777" w:rsidR="00A97289" w:rsidRPr="001578EE" w:rsidRDefault="00A97289" w:rsidP="00A97289">
      <w:pPr>
        <w:autoSpaceDE w:val="0"/>
        <w:autoSpaceDN w:val="0"/>
        <w:adjustRightInd w:val="0"/>
        <w:jc w:val="both"/>
        <w:rPr>
          <w:rFonts w:cs="Arial"/>
          <w:szCs w:val="24"/>
        </w:rPr>
      </w:pPr>
    </w:p>
    <w:p w14:paraId="51445F8C" w14:textId="77777777" w:rsidR="00A97289" w:rsidRPr="001578EE" w:rsidRDefault="00AD0816" w:rsidP="00A97289">
      <w:pPr>
        <w:autoSpaceDE w:val="0"/>
        <w:autoSpaceDN w:val="0"/>
        <w:adjustRightInd w:val="0"/>
        <w:rPr>
          <w:rFonts w:cs="Arial"/>
          <w:szCs w:val="24"/>
        </w:rPr>
      </w:pPr>
      <w:r w:rsidRPr="001578EE">
        <w:rPr>
          <w:rFonts w:cs="Arial"/>
          <w:szCs w:val="24"/>
        </w:rPr>
        <w:t>The criteria for schools being included in the programme is based on the Department for Education Schools Asset Management Guidance which defines Schools</w:t>
      </w:r>
      <w:r>
        <w:rPr>
          <w:rFonts w:cs="Arial"/>
          <w:szCs w:val="24"/>
        </w:rPr>
        <w:t xml:space="preserve"> </w:t>
      </w:r>
      <w:r w:rsidRPr="001578EE">
        <w:rPr>
          <w:rFonts w:cs="Arial"/>
          <w:szCs w:val="24"/>
        </w:rPr>
        <w:t>Priority 1 repairs as:</w:t>
      </w:r>
    </w:p>
    <w:p w14:paraId="471250A8" w14:textId="77777777" w:rsidR="00A97289" w:rsidRPr="001578EE" w:rsidRDefault="00A97289" w:rsidP="00A97289">
      <w:pPr>
        <w:autoSpaceDE w:val="0"/>
        <w:autoSpaceDN w:val="0"/>
        <w:adjustRightInd w:val="0"/>
        <w:jc w:val="both"/>
        <w:rPr>
          <w:rFonts w:cs="Arial"/>
          <w:b/>
          <w:bCs/>
          <w:szCs w:val="24"/>
        </w:rPr>
      </w:pPr>
    </w:p>
    <w:p w14:paraId="24AD0BDC" w14:textId="77777777" w:rsidR="00A97289" w:rsidRPr="001578EE" w:rsidRDefault="00AD0816" w:rsidP="00A97289">
      <w:pPr>
        <w:autoSpaceDE w:val="0"/>
        <w:autoSpaceDN w:val="0"/>
        <w:adjustRightInd w:val="0"/>
        <w:jc w:val="both"/>
        <w:rPr>
          <w:rFonts w:cs="Arial"/>
          <w:i/>
          <w:iCs/>
          <w:szCs w:val="24"/>
        </w:rPr>
      </w:pPr>
      <w:r w:rsidRPr="001578EE">
        <w:rPr>
          <w:rFonts w:cs="Arial"/>
          <w:b/>
          <w:bCs/>
          <w:szCs w:val="24"/>
        </w:rPr>
        <w:t xml:space="preserve">Priority 1. </w:t>
      </w:r>
      <w:r w:rsidRPr="001578EE">
        <w:rPr>
          <w:rFonts w:cs="Arial"/>
          <w:i/>
          <w:iCs/>
          <w:szCs w:val="24"/>
        </w:rPr>
        <w:t>Urgent work that will prevent immediate closure of premises and/or address an immediate high risk to the health and safety of occupants and/or remedy a serious breach of legislation.</w:t>
      </w:r>
    </w:p>
    <w:p w14:paraId="1DACADB2" w14:textId="77777777" w:rsidR="00A97289" w:rsidRPr="001578EE" w:rsidRDefault="00A97289" w:rsidP="00A97289">
      <w:pPr>
        <w:autoSpaceDE w:val="0"/>
        <w:autoSpaceDN w:val="0"/>
        <w:adjustRightInd w:val="0"/>
        <w:jc w:val="both"/>
        <w:rPr>
          <w:rFonts w:cs="Arial"/>
          <w:szCs w:val="24"/>
        </w:rPr>
      </w:pPr>
    </w:p>
    <w:p w14:paraId="0490570A" w14:textId="77777777" w:rsidR="00A97289" w:rsidRDefault="00AD0816" w:rsidP="00A97289">
      <w:pPr>
        <w:autoSpaceDE w:val="0"/>
        <w:autoSpaceDN w:val="0"/>
        <w:adjustRightInd w:val="0"/>
        <w:jc w:val="both"/>
        <w:rPr>
          <w:rFonts w:cs="Arial"/>
          <w:szCs w:val="24"/>
        </w:rPr>
      </w:pPr>
      <w:r w:rsidRPr="001578EE">
        <w:rPr>
          <w:rFonts w:cs="Arial"/>
          <w:szCs w:val="24"/>
        </w:rPr>
        <w:t>The D</w:t>
      </w:r>
      <w:r>
        <w:rPr>
          <w:rFonts w:cs="Arial"/>
          <w:szCs w:val="24"/>
        </w:rPr>
        <w:t xml:space="preserve">epartment for </w:t>
      </w:r>
      <w:r w:rsidRPr="001578EE">
        <w:rPr>
          <w:rFonts w:cs="Arial"/>
          <w:szCs w:val="24"/>
        </w:rPr>
        <w:t>E</w:t>
      </w:r>
      <w:r>
        <w:rPr>
          <w:rFonts w:cs="Arial"/>
          <w:szCs w:val="24"/>
        </w:rPr>
        <w:t>ducation</w:t>
      </w:r>
      <w:r w:rsidRPr="001578EE">
        <w:rPr>
          <w:rFonts w:cs="Arial"/>
          <w:szCs w:val="24"/>
        </w:rPr>
        <w:t xml:space="preserve"> provides annual </w:t>
      </w:r>
      <w:r>
        <w:rPr>
          <w:rFonts w:cs="Arial"/>
          <w:szCs w:val="24"/>
        </w:rPr>
        <w:t>funding for</w:t>
      </w:r>
      <w:r w:rsidRPr="001578EE">
        <w:rPr>
          <w:rFonts w:cs="Arial"/>
          <w:szCs w:val="24"/>
        </w:rPr>
        <w:t xml:space="preserve"> Schools Condition</w:t>
      </w:r>
      <w:r>
        <w:rPr>
          <w:rFonts w:cs="Arial"/>
          <w:szCs w:val="24"/>
        </w:rPr>
        <w:t xml:space="preserve">. This is </w:t>
      </w:r>
      <w:r w:rsidRPr="001578EE">
        <w:rPr>
          <w:rFonts w:cs="Arial"/>
          <w:szCs w:val="24"/>
        </w:rPr>
        <w:t xml:space="preserve">based on </w:t>
      </w:r>
      <w:r>
        <w:rPr>
          <w:rFonts w:cs="Arial"/>
          <w:szCs w:val="24"/>
        </w:rPr>
        <w:t>a</w:t>
      </w:r>
      <w:r w:rsidRPr="001578EE">
        <w:rPr>
          <w:rFonts w:cs="Arial"/>
          <w:szCs w:val="24"/>
        </w:rPr>
        <w:t xml:space="preserve"> set methodology for</w:t>
      </w:r>
      <w:r>
        <w:rPr>
          <w:rFonts w:cs="Arial"/>
          <w:szCs w:val="24"/>
        </w:rPr>
        <w:t xml:space="preserve"> county</w:t>
      </w:r>
      <w:r w:rsidRPr="001578EE">
        <w:rPr>
          <w:rFonts w:cs="Arial"/>
          <w:szCs w:val="24"/>
        </w:rPr>
        <w:t xml:space="preserve"> </w:t>
      </w:r>
      <w:proofErr w:type="gramStart"/>
      <w:r>
        <w:rPr>
          <w:rFonts w:cs="Arial"/>
          <w:szCs w:val="24"/>
        </w:rPr>
        <w:t>council</w:t>
      </w:r>
      <w:r w:rsidRPr="001578EE">
        <w:rPr>
          <w:rFonts w:cs="Arial"/>
          <w:szCs w:val="24"/>
        </w:rPr>
        <w:t xml:space="preserve"> controlled</w:t>
      </w:r>
      <w:proofErr w:type="gramEnd"/>
      <w:r w:rsidRPr="001578EE">
        <w:rPr>
          <w:rFonts w:cs="Arial"/>
          <w:szCs w:val="24"/>
        </w:rPr>
        <w:t xml:space="preserve"> schools. Due to the finite budget, it </w:t>
      </w:r>
      <w:proofErr w:type="gramStart"/>
      <w:r w:rsidRPr="001578EE">
        <w:rPr>
          <w:rFonts w:cs="Arial"/>
          <w:szCs w:val="24"/>
        </w:rPr>
        <w:t>w</w:t>
      </w:r>
      <w:r w:rsidR="0005633D">
        <w:rPr>
          <w:rFonts w:cs="Arial"/>
          <w:szCs w:val="24"/>
        </w:rPr>
        <w:t xml:space="preserve">ould </w:t>
      </w:r>
      <w:r w:rsidRPr="001578EE">
        <w:rPr>
          <w:rFonts w:cs="Arial"/>
          <w:szCs w:val="24"/>
        </w:rPr>
        <w:t xml:space="preserve"> not</w:t>
      </w:r>
      <w:proofErr w:type="gramEnd"/>
      <w:r w:rsidRPr="001578EE">
        <w:rPr>
          <w:rFonts w:cs="Arial"/>
          <w:szCs w:val="24"/>
        </w:rPr>
        <w:t xml:space="preserve"> be possible to address all high priority issues in all schools. </w:t>
      </w:r>
      <w:r>
        <w:rPr>
          <w:rFonts w:cs="Arial"/>
          <w:szCs w:val="24"/>
        </w:rPr>
        <w:t>The</w:t>
      </w:r>
      <w:r w:rsidRPr="001578EE">
        <w:rPr>
          <w:rFonts w:cs="Arial"/>
          <w:szCs w:val="24"/>
        </w:rPr>
        <w:t xml:space="preserve"> remaining Priority 1 issues and any Priority 2 issues will be reviewed, prioritised and considered for any future condition led programmes.</w:t>
      </w:r>
      <w:r w:rsidRPr="004E54CA">
        <w:rPr>
          <w:rFonts w:cs="Arial"/>
          <w:szCs w:val="24"/>
        </w:rPr>
        <w:t xml:space="preserve"> </w:t>
      </w:r>
    </w:p>
    <w:p w14:paraId="3067D826" w14:textId="77777777" w:rsidR="00A97289" w:rsidRDefault="00A97289" w:rsidP="00A97289">
      <w:pPr>
        <w:autoSpaceDE w:val="0"/>
        <w:autoSpaceDN w:val="0"/>
        <w:adjustRightInd w:val="0"/>
        <w:jc w:val="both"/>
        <w:rPr>
          <w:rFonts w:cs="Arial"/>
          <w:szCs w:val="24"/>
        </w:rPr>
      </w:pPr>
    </w:p>
    <w:p w14:paraId="1ADC0884" w14:textId="77777777" w:rsidR="00A97289" w:rsidRDefault="00AD0816" w:rsidP="00A97289">
      <w:pPr>
        <w:spacing w:line="259" w:lineRule="auto"/>
        <w:jc w:val="both"/>
        <w:rPr>
          <w:rFonts w:eastAsia="Calibri" w:cs="Arial"/>
          <w:b/>
          <w:bCs/>
          <w:lang w:eastAsia="en-US"/>
        </w:rPr>
      </w:pPr>
      <w:r>
        <w:rPr>
          <w:rFonts w:eastAsia="Calibri" w:cs="Arial"/>
          <w:b/>
          <w:bCs/>
          <w:lang w:eastAsia="en-US"/>
        </w:rPr>
        <w:t>Carbon Reduction Strategy</w:t>
      </w:r>
      <w:r w:rsidRPr="00DE0BB2">
        <w:rPr>
          <w:rFonts w:eastAsia="Calibri" w:cs="Arial"/>
          <w:b/>
          <w:bCs/>
          <w:lang w:eastAsia="en-US"/>
        </w:rPr>
        <w:t xml:space="preserve"> </w:t>
      </w:r>
    </w:p>
    <w:p w14:paraId="063F7A36" w14:textId="77777777" w:rsidR="00A97289" w:rsidRPr="00DE0BB2" w:rsidRDefault="00A97289" w:rsidP="00A97289">
      <w:pPr>
        <w:spacing w:line="259" w:lineRule="auto"/>
        <w:jc w:val="both"/>
        <w:rPr>
          <w:rFonts w:eastAsia="Calibri" w:cs="Arial"/>
          <w:b/>
          <w:bCs/>
          <w:lang w:eastAsia="en-US"/>
        </w:rPr>
      </w:pPr>
    </w:p>
    <w:p w14:paraId="4C401D51" w14:textId="77777777" w:rsidR="00A97289" w:rsidRDefault="00AD0816" w:rsidP="00A97289">
      <w:pPr>
        <w:jc w:val="both"/>
        <w:rPr>
          <w:rFonts w:eastAsia="Calibri" w:cs="Arial"/>
          <w:lang w:eastAsia="en-US"/>
        </w:rPr>
      </w:pPr>
      <w:r w:rsidRPr="00DE0BB2">
        <w:rPr>
          <w:rFonts w:eastAsia="Calibri" w:cs="Arial"/>
          <w:lang w:eastAsia="en-US"/>
        </w:rPr>
        <w:t>Where heating systems require wholesale replacement</w:t>
      </w:r>
      <w:r>
        <w:rPr>
          <w:rFonts w:eastAsia="Calibri" w:cs="Arial"/>
          <w:lang w:eastAsia="en-US"/>
        </w:rPr>
        <w:t>,</w:t>
      </w:r>
      <w:r w:rsidRPr="00DE0BB2">
        <w:rPr>
          <w:rFonts w:eastAsia="Calibri" w:cs="Arial"/>
          <w:lang w:eastAsia="en-US"/>
        </w:rPr>
        <w:t xml:space="preserve"> each project will be considered individually for suitability for a low carbon heating solution. Consideration will be given to the building fabric, heat load of the building, occupants need, local electricity infrastructure and projected running costs as part of the initial feasibility. There may be additional costs associated with consequential improvements to a building </w:t>
      </w:r>
      <w:proofErr w:type="gramStart"/>
      <w:r w:rsidR="00BF36A4">
        <w:rPr>
          <w:rFonts w:eastAsia="Calibri" w:cs="Arial"/>
          <w:lang w:eastAsia="en-US"/>
        </w:rPr>
        <w:t xml:space="preserve">as a result </w:t>
      </w:r>
      <w:r w:rsidR="002B4700" w:rsidRPr="00DE0BB2">
        <w:rPr>
          <w:rFonts w:eastAsia="Calibri" w:cs="Arial"/>
          <w:lang w:eastAsia="en-US"/>
        </w:rPr>
        <w:t>of</w:t>
      </w:r>
      <w:proofErr w:type="gramEnd"/>
      <w:r w:rsidRPr="00DE0BB2">
        <w:rPr>
          <w:rFonts w:eastAsia="Calibri" w:cs="Arial"/>
          <w:lang w:eastAsia="en-US"/>
        </w:rPr>
        <w:t xml:space="preserve"> this approach, </w:t>
      </w:r>
      <w:r>
        <w:rPr>
          <w:rFonts w:eastAsia="Calibri" w:cs="Arial"/>
          <w:lang w:eastAsia="en-US"/>
        </w:rPr>
        <w:t xml:space="preserve">and </w:t>
      </w:r>
      <w:r w:rsidRPr="00DE0BB2">
        <w:rPr>
          <w:rFonts w:eastAsia="Calibri" w:cs="Arial"/>
          <w:lang w:eastAsia="en-US"/>
        </w:rPr>
        <w:t>a contingency amount has been allowed for in the programme.</w:t>
      </w:r>
    </w:p>
    <w:p w14:paraId="52B19300" w14:textId="77777777" w:rsidR="00A97289" w:rsidRPr="00DE0BB2" w:rsidRDefault="00A97289" w:rsidP="00A97289">
      <w:pPr>
        <w:jc w:val="both"/>
        <w:rPr>
          <w:rFonts w:eastAsia="Calibri" w:cs="Arial"/>
          <w:lang w:eastAsia="en-US"/>
        </w:rPr>
      </w:pPr>
    </w:p>
    <w:p w14:paraId="01615A65" w14:textId="77777777" w:rsidR="00A97289" w:rsidRPr="00DE0BB2" w:rsidRDefault="00AD0816" w:rsidP="00A97289">
      <w:pPr>
        <w:jc w:val="both"/>
        <w:rPr>
          <w:rFonts w:eastAsia="Calibri" w:cs="Arial"/>
          <w:lang w:eastAsia="en-US"/>
        </w:rPr>
      </w:pPr>
      <w:bookmarkStart w:id="0" w:name="_Hlk98168867"/>
      <w:r w:rsidRPr="00DE0BB2">
        <w:rPr>
          <w:rFonts w:eastAsia="Calibri" w:cs="Arial"/>
          <w:lang w:eastAsia="en-US"/>
        </w:rPr>
        <w:lastRenderedPageBreak/>
        <w:t>In the past</w:t>
      </w:r>
      <w:r>
        <w:rPr>
          <w:rFonts w:eastAsia="Calibri" w:cs="Arial"/>
          <w:lang w:eastAsia="en-US"/>
        </w:rPr>
        <w:t>,</w:t>
      </w:r>
      <w:r w:rsidRPr="00DE0BB2">
        <w:rPr>
          <w:rFonts w:eastAsia="Calibri" w:cs="Arial"/>
          <w:lang w:eastAsia="en-US"/>
        </w:rPr>
        <w:t xml:space="preserve"> the Schools Condition Led Programmes were based predominantly on the condition of the building structure, </w:t>
      </w:r>
      <w:r w:rsidR="002B4700" w:rsidRPr="00DE0BB2">
        <w:rPr>
          <w:rFonts w:eastAsia="Calibri" w:cs="Arial"/>
          <w:lang w:eastAsia="en-US"/>
        </w:rPr>
        <w:t>fabric,</w:t>
      </w:r>
      <w:r w:rsidRPr="00DE0BB2">
        <w:rPr>
          <w:rFonts w:eastAsia="Calibri" w:cs="Arial"/>
          <w:lang w:eastAsia="en-US"/>
        </w:rPr>
        <w:t xml:space="preserve"> and services; with the highest priorities being ranked according to risk of building closure or Health and Safety risks.  </w:t>
      </w:r>
    </w:p>
    <w:p w14:paraId="0ED57DAE" w14:textId="77777777" w:rsidR="00A97289" w:rsidRPr="00DE0BB2" w:rsidRDefault="00A97289" w:rsidP="00A97289">
      <w:pPr>
        <w:jc w:val="both"/>
        <w:rPr>
          <w:rFonts w:eastAsia="Calibri" w:cs="Arial"/>
          <w:lang w:eastAsia="en-US"/>
        </w:rPr>
      </w:pPr>
    </w:p>
    <w:p w14:paraId="2F433D67" w14:textId="77777777" w:rsidR="00A97289" w:rsidRDefault="00AD0816" w:rsidP="00A97289">
      <w:pPr>
        <w:jc w:val="both"/>
        <w:rPr>
          <w:rFonts w:eastAsia="Calibri" w:cs="Arial"/>
          <w:lang w:eastAsia="en-US"/>
        </w:rPr>
      </w:pPr>
      <w:r w:rsidRPr="00DE0BB2">
        <w:rPr>
          <w:rFonts w:eastAsia="Calibri" w:cs="Arial"/>
          <w:lang w:eastAsia="en-US"/>
        </w:rPr>
        <w:t>These condition priorities will still form the basis of the programme</w:t>
      </w:r>
      <w:r>
        <w:rPr>
          <w:rFonts w:eastAsia="Calibri" w:cs="Arial"/>
          <w:lang w:eastAsia="en-US"/>
        </w:rPr>
        <w:t>. H</w:t>
      </w:r>
      <w:r w:rsidRPr="00DE0BB2">
        <w:rPr>
          <w:rFonts w:eastAsia="Calibri" w:cs="Arial"/>
          <w:lang w:eastAsia="en-US"/>
        </w:rPr>
        <w:t>owever, it is proposed to incorporate a focus on carbon reduction, taking a more holistic approach to the building and its operational use. </w:t>
      </w:r>
    </w:p>
    <w:p w14:paraId="41975872" w14:textId="77777777" w:rsidR="00A97289" w:rsidRPr="00DE0BB2" w:rsidRDefault="00AD0816" w:rsidP="00A97289">
      <w:pPr>
        <w:jc w:val="both"/>
        <w:rPr>
          <w:rFonts w:eastAsia="Calibri" w:cs="Arial"/>
          <w:lang w:eastAsia="en-US"/>
        </w:rPr>
      </w:pPr>
      <w:r w:rsidRPr="00DE0BB2">
        <w:rPr>
          <w:rFonts w:eastAsia="Calibri" w:cs="Arial"/>
          <w:lang w:eastAsia="en-US"/>
        </w:rPr>
        <w:t xml:space="preserve"> </w:t>
      </w:r>
    </w:p>
    <w:p w14:paraId="6628DC33" w14:textId="77777777" w:rsidR="00A97289" w:rsidRPr="00DE0BB2" w:rsidRDefault="00AD0816" w:rsidP="00A97289">
      <w:pPr>
        <w:jc w:val="both"/>
        <w:rPr>
          <w:rFonts w:eastAsia="Calibri" w:cs="Arial"/>
          <w:lang w:eastAsia="en-US"/>
        </w:rPr>
      </w:pPr>
      <w:r w:rsidRPr="00DE0BB2">
        <w:rPr>
          <w:rFonts w:eastAsia="Calibri" w:cs="Arial"/>
          <w:lang w:eastAsia="en-US"/>
        </w:rPr>
        <w:t>It is recognised that</w:t>
      </w:r>
      <w:r>
        <w:rPr>
          <w:rFonts w:eastAsia="Calibri" w:cs="Arial"/>
          <w:lang w:eastAsia="en-US"/>
        </w:rPr>
        <w:t>,</w:t>
      </w:r>
      <w:r w:rsidRPr="00DE0BB2">
        <w:rPr>
          <w:rFonts w:eastAsia="Calibri" w:cs="Arial"/>
          <w:lang w:eastAsia="en-US"/>
        </w:rPr>
        <w:t xml:space="preserve"> due to the wide range of construction type</w:t>
      </w:r>
      <w:r>
        <w:rPr>
          <w:rFonts w:eastAsia="Calibri" w:cs="Arial"/>
          <w:lang w:eastAsia="en-US"/>
        </w:rPr>
        <w:t>s</w:t>
      </w:r>
      <w:r w:rsidRPr="00DE0BB2">
        <w:rPr>
          <w:rFonts w:eastAsia="Calibri" w:cs="Arial"/>
          <w:lang w:eastAsia="en-US"/>
        </w:rPr>
        <w:t xml:space="preserve"> and age of the portfolio, there cannot be one approach for all buildings. Some will not be suitable for a low carbon heating option without significant enabling works</w:t>
      </w:r>
      <w:r>
        <w:rPr>
          <w:rFonts w:eastAsia="Calibri" w:cs="Arial"/>
          <w:lang w:eastAsia="en-US"/>
        </w:rPr>
        <w:t>,</w:t>
      </w:r>
      <w:r w:rsidRPr="00DE0BB2">
        <w:rPr>
          <w:rFonts w:eastAsia="Calibri" w:cs="Arial"/>
          <w:lang w:eastAsia="en-US"/>
        </w:rPr>
        <w:t xml:space="preserve"> and consideration will need to be given to the operational needs of each building. </w:t>
      </w:r>
    </w:p>
    <w:p w14:paraId="48947D53" w14:textId="77777777" w:rsidR="00A97289" w:rsidRPr="00DE0BB2" w:rsidRDefault="00A97289" w:rsidP="00A97289">
      <w:pPr>
        <w:jc w:val="both"/>
        <w:rPr>
          <w:rFonts w:eastAsia="Calibri" w:cs="Arial"/>
          <w:lang w:eastAsia="en-US"/>
        </w:rPr>
      </w:pPr>
    </w:p>
    <w:p w14:paraId="0398A91B" w14:textId="77777777" w:rsidR="00A97289" w:rsidRPr="00DE0BB2" w:rsidRDefault="00AD0816" w:rsidP="00A97289">
      <w:pPr>
        <w:jc w:val="both"/>
        <w:rPr>
          <w:rFonts w:eastAsia="Calibri" w:cs="Arial"/>
          <w:lang w:eastAsia="en-US"/>
        </w:rPr>
      </w:pPr>
      <w:r w:rsidRPr="00DE0BB2">
        <w:rPr>
          <w:rFonts w:eastAsia="Calibri" w:cs="Arial"/>
          <w:lang w:eastAsia="en-US"/>
        </w:rPr>
        <w:t>As part of the strategy to reduce carbon emissions, all relevant projects will be supported by a low carbon consultant</w:t>
      </w:r>
      <w:r>
        <w:rPr>
          <w:rFonts w:eastAsia="Calibri" w:cs="Arial"/>
          <w:lang w:eastAsia="en-US"/>
        </w:rPr>
        <w:t>,</w:t>
      </w:r>
      <w:r w:rsidRPr="00DE0BB2">
        <w:rPr>
          <w:rFonts w:eastAsia="Calibri" w:cs="Arial"/>
          <w:lang w:eastAsia="en-US"/>
        </w:rPr>
        <w:t xml:space="preserve"> who will formulate a bespoke plan to help identify and minimise energy consumption. As well as guidance on good energy management to reduce waste</w:t>
      </w:r>
      <w:r>
        <w:rPr>
          <w:rFonts w:eastAsia="Calibri" w:cs="Arial"/>
          <w:lang w:eastAsia="en-US"/>
        </w:rPr>
        <w:t>,</w:t>
      </w:r>
      <w:r w:rsidRPr="00DE0BB2">
        <w:rPr>
          <w:rFonts w:eastAsia="Calibri" w:cs="Arial"/>
          <w:lang w:eastAsia="en-US"/>
        </w:rPr>
        <w:t xml:space="preserve"> each property will be issued with a recommendations report to highlight areas for future improvement.</w:t>
      </w:r>
    </w:p>
    <w:p w14:paraId="129C1D05" w14:textId="77777777" w:rsidR="00A97289" w:rsidRPr="00DE0BB2" w:rsidRDefault="00A97289" w:rsidP="00A97289">
      <w:pPr>
        <w:jc w:val="both"/>
        <w:rPr>
          <w:rFonts w:eastAsia="Calibri" w:cs="Arial"/>
          <w:lang w:eastAsia="en-US"/>
        </w:rPr>
      </w:pPr>
    </w:p>
    <w:p w14:paraId="0A1202BD" w14:textId="77777777" w:rsidR="00A97289" w:rsidRPr="00DE0BB2" w:rsidRDefault="00AD0816" w:rsidP="00A97289">
      <w:pPr>
        <w:jc w:val="both"/>
        <w:rPr>
          <w:rFonts w:eastAsia="Calibri" w:cs="Arial"/>
          <w:lang w:eastAsia="en-US"/>
        </w:rPr>
      </w:pPr>
      <w:r w:rsidRPr="00DE0BB2">
        <w:rPr>
          <w:rFonts w:eastAsia="Calibri" w:cs="Arial"/>
          <w:lang w:eastAsia="en-US"/>
        </w:rPr>
        <w:t>By taking a long-term view, improvement works can be phased to ensure carbon reductions are achieved</w:t>
      </w:r>
      <w:r>
        <w:rPr>
          <w:rFonts w:eastAsia="Calibri" w:cs="Arial"/>
          <w:lang w:eastAsia="en-US"/>
        </w:rPr>
        <w:t>,</w:t>
      </w:r>
      <w:r w:rsidRPr="00DE0BB2">
        <w:rPr>
          <w:rFonts w:eastAsia="Calibri" w:cs="Arial"/>
          <w:lang w:eastAsia="en-US"/>
        </w:rPr>
        <w:t xml:space="preserve"> without placing an unmanageable burden of increased operating costs on the budget holder that can be associated with the change from gas to electricity.</w:t>
      </w:r>
    </w:p>
    <w:bookmarkEnd w:id="0"/>
    <w:p w14:paraId="6FFFCFCB" w14:textId="77777777" w:rsidR="00A97289" w:rsidRDefault="00A97289" w:rsidP="00A97289">
      <w:pPr>
        <w:spacing w:line="259" w:lineRule="auto"/>
        <w:jc w:val="both"/>
        <w:rPr>
          <w:rFonts w:eastAsia="Calibri" w:cs="Arial"/>
          <w:b/>
          <w:bCs/>
          <w:lang w:eastAsia="en-US"/>
        </w:rPr>
      </w:pPr>
    </w:p>
    <w:p w14:paraId="43D3955C" w14:textId="77777777" w:rsidR="00A97289" w:rsidRDefault="00AD0816" w:rsidP="00A97289">
      <w:pPr>
        <w:spacing w:line="259" w:lineRule="auto"/>
        <w:jc w:val="both"/>
        <w:rPr>
          <w:rFonts w:eastAsia="Calibri" w:cs="Arial"/>
          <w:b/>
          <w:bCs/>
          <w:lang w:eastAsia="en-US"/>
        </w:rPr>
      </w:pPr>
      <w:r>
        <w:rPr>
          <w:rFonts w:eastAsia="Calibri" w:cs="Arial"/>
          <w:b/>
          <w:bCs/>
          <w:lang w:eastAsia="en-US"/>
        </w:rPr>
        <w:t>Health, Safety and Compliance</w:t>
      </w:r>
    </w:p>
    <w:p w14:paraId="2715B294" w14:textId="77777777" w:rsidR="00A97289" w:rsidRPr="00DE0BB2" w:rsidRDefault="00A97289" w:rsidP="00A97289">
      <w:pPr>
        <w:spacing w:line="259" w:lineRule="auto"/>
        <w:jc w:val="both"/>
        <w:rPr>
          <w:rFonts w:eastAsia="Calibri" w:cs="Arial"/>
          <w:b/>
          <w:bCs/>
          <w:lang w:eastAsia="en-US"/>
        </w:rPr>
      </w:pPr>
    </w:p>
    <w:p w14:paraId="0670AE89" w14:textId="77777777" w:rsidR="00A97289" w:rsidRPr="0058034B" w:rsidRDefault="00AD0816" w:rsidP="00A97289">
      <w:pPr>
        <w:autoSpaceDE w:val="0"/>
        <w:autoSpaceDN w:val="0"/>
        <w:adjustRightInd w:val="0"/>
        <w:jc w:val="both"/>
        <w:rPr>
          <w:rFonts w:cs="Arial"/>
          <w:color w:val="00B050"/>
        </w:rPr>
      </w:pPr>
      <w:r w:rsidRPr="00DE0BB2">
        <w:rPr>
          <w:rFonts w:cs="Arial"/>
        </w:rPr>
        <w:t xml:space="preserve">Health and safety and compliance works are required to prevent breaches in legislation and address health and safety issues. In some cases, this can be managed through more frequent testing and monitoring, </w:t>
      </w:r>
      <w:r>
        <w:rPr>
          <w:rFonts w:cs="Arial"/>
        </w:rPr>
        <w:t>although</w:t>
      </w:r>
      <w:r w:rsidRPr="00DE0BB2">
        <w:rPr>
          <w:rFonts w:cs="Arial"/>
        </w:rPr>
        <w:t xml:space="preserve"> this approach would only delay and not address the identified issues.</w:t>
      </w:r>
      <w:r w:rsidRPr="0058034B">
        <w:rPr>
          <w:rFonts w:cs="Arial"/>
          <w:color w:val="00B050"/>
        </w:rPr>
        <w:t xml:space="preserve">  </w:t>
      </w:r>
    </w:p>
    <w:p w14:paraId="2BE47E49" w14:textId="77777777" w:rsidR="00A97289" w:rsidRDefault="00A97289" w:rsidP="00A97289">
      <w:pPr>
        <w:autoSpaceDE w:val="0"/>
        <w:autoSpaceDN w:val="0"/>
        <w:adjustRightInd w:val="0"/>
        <w:jc w:val="both"/>
        <w:rPr>
          <w:rFonts w:cs="Arial"/>
          <w:color w:val="00B050"/>
        </w:rPr>
      </w:pPr>
    </w:p>
    <w:p w14:paraId="77CD790E" w14:textId="77777777" w:rsidR="00A97289" w:rsidRPr="00DE0BB2" w:rsidRDefault="00AD0816" w:rsidP="00A97289">
      <w:pPr>
        <w:autoSpaceDE w:val="0"/>
        <w:autoSpaceDN w:val="0"/>
        <w:adjustRightInd w:val="0"/>
        <w:jc w:val="both"/>
        <w:rPr>
          <w:rFonts w:cs="Arial"/>
          <w:b/>
          <w:szCs w:val="24"/>
        </w:rPr>
      </w:pPr>
      <w:r w:rsidRPr="00DE0BB2">
        <w:rPr>
          <w:rFonts w:cs="Arial"/>
          <w:b/>
          <w:szCs w:val="24"/>
        </w:rPr>
        <w:t>Specialist surveys and investigations</w:t>
      </w:r>
    </w:p>
    <w:p w14:paraId="20A9F351" w14:textId="77777777" w:rsidR="00A97289" w:rsidRPr="00DE0BB2" w:rsidRDefault="00A97289" w:rsidP="00A97289">
      <w:pPr>
        <w:autoSpaceDE w:val="0"/>
        <w:autoSpaceDN w:val="0"/>
        <w:adjustRightInd w:val="0"/>
        <w:jc w:val="both"/>
        <w:rPr>
          <w:rFonts w:cs="Arial"/>
          <w:b/>
          <w:szCs w:val="24"/>
        </w:rPr>
      </w:pPr>
    </w:p>
    <w:p w14:paraId="32E82D30" w14:textId="77777777" w:rsidR="00A97289" w:rsidRPr="00DE0BB2" w:rsidRDefault="00AD0816" w:rsidP="00A97289">
      <w:pPr>
        <w:autoSpaceDE w:val="0"/>
        <w:autoSpaceDN w:val="0"/>
        <w:adjustRightInd w:val="0"/>
        <w:jc w:val="both"/>
        <w:rPr>
          <w:rFonts w:cs="Arial"/>
          <w:szCs w:val="24"/>
        </w:rPr>
      </w:pPr>
      <w:r w:rsidRPr="00DE0BB2">
        <w:rPr>
          <w:rFonts w:cs="Arial"/>
          <w:szCs w:val="24"/>
        </w:rPr>
        <w:t xml:space="preserve">There is also an allowance in the programme to undertake further investigations and specialist surveys on buildings, where there is deemed to be a potential risk due to the age, type of construction or condition. </w:t>
      </w:r>
      <w:proofErr w:type="gramStart"/>
      <w:r w:rsidRPr="00DE0BB2">
        <w:rPr>
          <w:rFonts w:cs="Arial"/>
          <w:szCs w:val="24"/>
        </w:rPr>
        <w:t>In particular</w:t>
      </w:r>
      <w:r>
        <w:rPr>
          <w:rFonts w:cs="Arial"/>
          <w:szCs w:val="24"/>
        </w:rPr>
        <w:t>,</w:t>
      </w:r>
      <w:r w:rsidRPr="00DE0BB2">
        <w:rPr>
          <w:rFonts w:cs="Arial"/>
          <w:szCs w:val="24"/>
        </w:rPr>
        <w:t xml:space="preserve"> there</w:t>
      </w:r>
      <w:proofErr w:type="gramEnd"/>
      <w:r w:rsidRPr="00DE0BB2">
        <w:rPr>
          <w:rFonts w:cs="Arial"/>
          <w:szCs w:val="24"/>
        </w:rPr>
        <w:t xml:space="preserve"> is a need to review </w:t>
      </w:r>
      <w:r w:rsidRPr="00DE0BB2">
        <w:t>existing concrete and/or steel frame building construction across the property portfolio. T</w:t>
      </w:r>
      <w:r w:rsidRPr="00DE0BB2">
        <w:rPr>
          <w:rFonts w:cs="Arial"/>
          <w:szCs w:val="24"/>
        </w:rPr>
        <w:t>his will assist in managing risk and determining priorities in future programmes of work.</w:t>
      </w:r>
    </w:p>
    <w:p w14:paraId="101A5E36" w14:textId="77777777" w:rsidR="00A97289" w:rsidRDefault="00A97289" w:rsidP="00A97289">
      <w:pPr>
        <w:autoSpaceDE w:val="0"/>
        <w:autoSpaceDN w:val="0"/>
        <w:adjustRightInd w:val="0"/>
        <w:jc w:val="both"/>
        <w:rPr>
          <w:rFonts w:cs="Arial"/>
          <w:szCs w:val="24"/>
        </w:rPr>
      </w:pPr>
    </w:p>
    <w:p w14:paraId="5E9CF3F0" w14:textId="77777777" w:rsidR="00083F4F" w:rsidRDefault="00AD0816" w:rsidP="00083F4F">
      <w:pPr>
        <w:autoSpaceDE w:val="0"/>
        <w:autoSpaceDN w:val="0"/>
        <w:adjustRightInd w:val="0"/>
        <w:jc w:val="both"/>
        <w:rPr>
          <w:rFonts w:cs="Arial"/>
          <w:b/>
          <w:bCs/>
          <w:szCs w:val="24"/>
        </w:rPr>
      </w:pPr>
      <w:r>
        <w:rPr>
          <w:rFonts w:cs="Arial"/>
          <w:b/>
          <w:bCs/>
          <w:szCs w:val="24"/>
        </w:rPr>
        <w:t xml:space="preserve">Department </w:t>
      </w:r>
      <w:r w:rsidR="0005633D">
        <w:rPr>
          <w:rFonts w:cs="Arial"/>
          <w:b/>
          <w:bCs/>
          <w:szCs w:val="24"/>
        </w:rPr>
        <w:t>f</w:t>
      </w:r>
      <w:r>
        <w:rPr>
          <w:rFonts w:cs="Arial"/>
          <w:b/>
          <w:bCs/>
          <w:szCs w:val="24"/>
        </w:rPr>
        <w:t>or Education School Rebuilding Programme</w:t>
      </w:r>
    </w:p>
    <w:p w14:paraId="4647327A" w14:textId="77777777" w:rsidR="00083F4F" w:rsidRDefault="00083F4F" w:rsidP="00083F4F">
      <w:pPr>
        <w:autoSpaceDE w:val="0"/>
        <w:autoSpaceDN w:val="0"/>
        <w:adjustRightInd w:val="0"/>
        <w:jc w:val="both"/>
        <w:rPr>
          <w:rFonts w:cs="Arial"/>
          <w:b/>
          <w:bCs/>
          <w:szCs w:val="24"/>
        </w:rPr>
      </w:pPr>
    </w:p>
    <w:p w14:paraId="34684890" w14:textId="77777777" w:rsidR="00083F4F" w:rsidRDefault="00AD0816" w:rsidP="00083F4F">
      <w:pPr>
        <w:autoSpaceDE w:val="0"/>
        <w:autoSpaceDN w:val="0"/>
        <w:adjustRightInd w:val="0"/>
        <w:jc w:val="both"/>
        <w:rPr>
          <w:rFonts w:cs="Arial"/>
          <w:szCs w:val="24"/>
        </w:rPr>
      </w:pPr>
      <w:r>
        <w:rPr>
          <w:rFonts w:cs="Arial"/>
          <w:szCs w:val="24"/>
        </w:rPr>
        <w:t>The D</w:t>
      </w:r>
      <w:r w:rsidR="005D54B4">
        <w:rPr>
          <w:rFonts w:cs="Arial"/>
          <w:szCs w:val="24"/>
        </w:rPr>
        <w:t xml:space="preserve">epartment </w:t>
      </w:r>
      <w:r>
        <w:rPr>
          <w:rFonts w:cs="Arial"/>
          <w:szCs w:val="24"/>
        </w:rPr>
        <w:t>f</w:t>
      </w:r>
      <w:r w:rsidR="005D54B4">
        <w:rPr>
          <w:rFonts w:cs="Arial"/>
          <w:szCs w:val="24"/>
        </w:rPr>
        <w:t xml:space="preserve">or </w:t>
      </w:r>
      <w:r>
        <w:rPr>
          <w:rFonts w:cs="Arial"/>
          <w:szCs w:val="24"/>
        </w:rPr>
        <w:t>E</w:t>
      </w:r>
      <w:r w:rsidR="005D54B4">
        <w:rPr>
          <w:rFonts w:cs="Arial"/>
          <w:szCs w:val="24"/>
        </w:rPr>
        <w:t>ducation</w:t>
      </w:r>
      <w:r>
        <w:rPr>
          <w:rFonts w:cs="Arial"/>
          <w:szCs w:val="24"/>
        </w:rPr>
        <w:t xml:space="preserve"> school rebuilding programme includes Penwortham Girls High School</w:t>
      </w:r>
      <w:r w:rsidR="005D54B4">
        <w:rPr>
          <w:rFonts w:cs="Arial"/>
          <w:szCs w:val="24"/>
        </w:rPr>
        <w:t>,</w:t>
      </w:r>
      <w:r>
        <w:rPr>
          <w:rFonts w:cs="Arial"/>
          <w:szCs w:val="24"/>
        </w:rPr>
        <w:t xml:space="preserve"> which is currently at feasibility stage. However, there are certain urgent health and safety works which are necessary to maintain safe operation of the school. </w:t>
      </w:r>
      <w:r w:rsidR="005D54B4">
        <w:rPr>
          <w:rFonts w:cs="Arial"/>
          <w:szCs w:val="24"/>
        </w:rPr>
        <w:t>T</w:t>
      </w:r>
      <w:r>
        <w:rPr>
          <w:rFonts w:cs="Arial"/>
          <w:szCs w:val="24"/>
        </w:rPr>
        <w:t xml:space="preserve">his work has </w:t>
      </w:r>
      <w:r w:rsidR="005D54B4">
        <w:rPr>
          <w:rFonts w:cs="Arial"/>
          <w:szCs w:val="24"/>
        </w:rPr>
        <w:t xml:space="preserve">therefore </w:t>
      </w:r>
      <w:r>
        <w:rPr>
          <w:rFonts w:cs="Arial"/>
          <w:szCs w:val="24"/>
        </w:rPr>
        <w:t xml:space="preserve">been included </w:t>
      </w:r>
      <w:r w:rsidR="0005633D">
        <w:rPr>
          <w:rFonts w:cs="Arial"/>
          <w:szCs w:val="24"/>
        </w:rPr>
        <w:t>i</w:t>
      </w:r>
      <w:r>
        <w:rPr>
          <w:rFonts w:cs="Arial"/>
          <w:szCs w:val="24"/>
        </w:rPr>
        <w:t xml:space="preserve">n this </w:t>
      </w:r>
      <w:r w:rsidRPr="003D651A">
        <w:rPr>
          <w:rFonts w:cs="Arial"/>
          <w:szCs w:val="24"/>
        </w:rPr>
        <w:t>Condition Led Capital Investment Programme</w:t>
      </w:r>
      <w:r>
        <w:rPr>
          <w:rFonts w:cs="Arial"/>
          <w:szCs w:val="24"/>
        </w:rPr>
        <w:t>.</w:t>
      </w:r>
    </w:p>
    <w:p w14:paraId="1FB498C7" w14:textId="1D877C2D" w:rsidR="00083F4F" w:rsidRDefault="00083F4F" w:rsidP="00A97289">
      <w:pPr>
        <w:autoSpaceDE w:val="0"/>
        <w:autoSpaceDN w:val="0"/>
        <w:adjustRightInd w:val="0"/>
        <w:jc w:val="both"/>
        <w:rPr>
          <w:rFonts w:cs="Arial"/>
          <w:szCs w:val="24"/>
        </w:rPr>
      </w:pPr>
    </w:p>
    <w:p w14:paraId="71B391E7" w14:textId="10F136AB" w:rsidR="001B69BC" w:rsidRDefault="001B69BC" w:rsidP="00A97289">
      <w:pPr>
        <w:autoSpaceDE w:val="0"/>
        <w:autoSpaceDN w:val="0"/>
        <w:adjustRightInd w:val="0"/>
        <w:jc w:val="both"/>
        <w:rPr>
          <w:rFonts w:cs="Arial"/>
          <w:szCs w:val="24"/>
        </w:rPr>
      </w:pPr>
    </w:p>
    <w:p w14:paraId="10CAF965" w14:textId="55CE3ECE" w:rsidR="001B69BC" w:rsidRDefault="001B69BC" w:rsidP="00A97289">
      <w:pPr>
        <w:autoSpaceDE w:val="0"/>
        <w:autoSpaceDN w:val="0"/>
        <w:adjustRightInd w:val="0"/>
        <w:jc w:val="both"/>
        <w:rPr>
          <w:rFonts w:cs="Arial"/>
          <w:szCs w:val="24"/>
        </w:rPr>
      </w:pPr>
    </w:p>
    <w:p w14:paraId="644C37A1" w14:textId="77777777" w:rsidR="001B69BC" w:rsidRPr="001578EE" w:rsidRDefault="001B69BC" w:rsidP="00A97289">
      <w:pPr>
        <w:autoSpaceDE w:val="0"/>
        <w:autoSpaceDN w:val="0"/>
        <w:adjustRightInd w:val="0"/>
        <w:jc w:val="both"/>
        <w:rPr>
          <w:rFonts w:cs="Arial"/>
          <w:szCs w:val="24"/>
        </w:rPr>
      </w:pPr>
    </w:p>
    <w:p w14:paraId="6E55C350" w14:textId="77777777" w:rsidR="00A97289" w:rsidRPr="00015D06" w:rsidRDefault="00AD0816" w:rsidP="00A97289">
      <w:pPr>
        <w:autoSpaceDE w:val="0"/>
        <w:autoSpaceDN w:val="0"/>
        <w:adjustRightInd w:val="0"/>
        <w:jc w:val="both"/>
        <w:rPr>
          <w:rFonts w:cs="Arial"/>
          <w:b/>
          <w:bCs/>
          <w:szCs w:val="24"/>
        </w:rPr>
      </w:pPr>
      <w:r w:rsidRPr="00015D06">
        <w:rPr>
          <w:rFonts w:cs="Arial"/>
          <w:b/>
          <w:bCs/>
          <w:szCs w:val="24"/>
        </w:rPr>
        <w:lastRenderedPageBreak/>
        <w:t xml:space="preserve">Delivery </w:t>
      </w:r>
    </w:p>
    <w:p w14:paraId="6B32B6AA" w14:textId="77777777" w:rsidR="00A97289" w:rsidRDefault="00A97289" w:rsidP="00A97289">
      <w:pPr>
        <w:autoSpaceDE w:val="0"/>
        <w:autoSpaceDN w:val="0"/>
        <w:adjustRightInd w:val="0"/>
        <w:jc w:val="both"/>
        <w:rPr>
          <w:rFonts w:cs="Arial"/>
          <w:szCs w:val="24"/>
        </w:rPr>
      </w:pPr>
    </w:p>
    <w:p w14:paraId="13969976" w14:textId="77777777" w:rsidR="00A97289" w:rsidRPr="008D176B" w:rsidRDefault="00AD0816" w:rsidP="00A97289">
      <w:pPr>
        <w:autoSpaceDE w:val="0"/>
        <w:autoSpaceDN w:val="0"/>
        <w:adjustRightInd w:val="0"/>
        <w:jc w:val="both"/>
        <w:rPr>
          <w:rFonts w:cs="Arial"/>
          <w:i/>
          <w:iCs/>
          <w:color w:val="FF0000"/>
          <w:szCs w:val="24"/>
        </w:rPr>
      </w:pPr>
      <w:r w:rsidRPr="001578EE">
        <w:rPr>
          <w:rFonts w:cs="Arial"/>
          <w:szCs w:val="24"/>
        </w:rPr>
        <w:t xml:space="preserve">All schemes will be commissioned with and delivered by </w:t>
      </w:r>
      <w:r>
        <w:rPr>
          <w:rFonts w:cs="Arial"/>
          <w:szCs w:val="24"/>
        </w:rPr>
        <w:t>the c</w:t>
      </w:r>
      <w:r w:rsidRPr="001578EE">
        <w:rPr>
          <w:rFonts w:cs="Arial"/>
          <w:szCs w:val="24"/>
        </w:rPr>
        <w:t>ouncil's Design and Construction Service. The delivery timescales will be dependent on several factors linked to the practicalities of undertaking the work in occupied premises which would have an impact on education. It is anticipated</w:t>
      </w:r>
      <w:r w:rsidR="005D54B4">
        <w:rPr>
          <w:rFonts w:cs="Arial"/>
          <w:szCs w:val="24"/>
        </w:rPr>
        <w:t>,</w:t>
      </w:r>
      <w:r w:rsidRPr="001578EE">
        <w:rPr>
          <w:rFonts w:cs="Arial"/>
          <w:szCs w:val="24"/>
        </w:rPr>
        <w:t xml:space="preserve"> therefore</w:t>
      </w:r>
      <w:r w:rsidR="005D54B4">
        <w:rPr>
          <w:rFonts w:cs="Arial"/>
          <w:szCs w:val="24"/>
        </w:rPr>
        <w:t>,</w:t>
      </w:r>
      <w:r w:rsidRPr="001578EE">
        <w:rPr>
          <w:rFonts w:cs="Arial"/>
          <w:szCs w:val="24"/>
        </w:rPr>
        <w:t xml:space="preserve"> that the programme will be </w:t>
      </w:r>
      <w:r w:rsidRPr="007B3059">
        <w:rPr>
          <w:rFonts w:cs="Arial"/>
          <w:szCs w:val="24"/>
        </w:rPr>
        <w:t xml:space="preserve">delivered, when possible, in school holidays, and this will likely include the summer breaks in both </w:t>
      </w:r>
      <w:r w:rsidRPr="00DE0BB2">
        <w:rPr>
          <w:rFonts w:cs="Arial"/>
          <w:szCs w:val="24"/>
        </w:rPr>
        <w:t>202</w:t>
      </w:r>
      <w:r>
        <w:rPr>
          <w:rFonts w:cs="Arial"/>
          <w:szCs w:val="24"/>
        </w:rPr>
        <w:t>3</w:t>
      </w:r>
      <w:r w:rsidRPr="00DE0BB2">
        <w:rPr>
          <w:rFonts w:cs="Arial"/>
          <w:szCs w:val="24"/>
        </w:rPr>
        <w:t xml:space="preserve"> and 202</w:t>
      </w:r>
      <w:r>
        <w:rPr>
          <w:rFonts w:cs="Arial"/>
          <w:szCs w:val="24"/>
        </w:rPr>
        <w:t>4</w:t>
      </w:r>
      <w:r w:rsidRPr="00DE0BB2">
        <w:rPr>
          <w:rFonts w:cs="Arial"/>
          <w:szCs w:val="24"/>
        </w:rPr>
        <w:t>.</w:t>
      </w:r>
      <w:r>
        <w:rPr>
          <w:rFonts w:cs="Arial"/>
          <w:szCs w:val="24"/>
        </w:rPr>
        <w:t xml:space="preserve"> </w:t>
      </w:r>
    </w:p>
    <w:p w14:paraId="138A0788" w14:textId="77777777" w:rsidR="00A97289" w:rsidRDefault="00A97289" w:rsidP="00A97289">
      <w:pPr>
        <w:autoSpaceDE w:val="0"/>
        <w:autoSpaceDN w:val="0"/>
        <w:adjustRightInd w:val="0"/>
        <w:jc w:val="both"/>
        <w:rPr>
          <w:rFonts w:cs="Arial"/>
          <w:szCs w:val="24"/>
        </w:rPr>
      </w:pPr>
    </w:p>
    <w:p w14:paraId="314FA0B5" w14:textId="77777777" w:rsidR="00A97289" w:rsidRPr="001578EE" w:rsidRDefault="00AD0816" w:rsidP="00A97289">
      <w:pPr>
        <w:autoSpaceDE w:val="0"/>
        <w:autoSpaceDN w:val="0"/>
        <w:adjustRightInd w:val="0"/>
        <w:jc w:val="both"/>
        <w:rPr>
          <w:rFonts w:cs="Arial"/>
          <w:szCs w:val="24"/>
        </w:rPr>
      </w:pPr>
      <w:r>
        <w:rPr>
          <w:rFonts w:cs="Arial"/>
          <w:szCs w:val="24"/>
        </w:rPr>
        <w:t xml:space="preserve">It is anticipated that 40% of the proposed programme will be delivered in </w:t>
      </w:r>
      <w:r w:rsidRPr="00DE0BB2">
        <w:rPr>
          <w:rFonts w:cs="Arial"/>
          <w:szCs w:val="24"/>
        </w:rPr>
        <w:t>202</w:t>
      </w:r>
      <w:r>
        <w:rPr>
          <w:rFonts w:cs="Arial"/>
          <w:szCs w:val="24"/>
        </w:rPr>
        <w:t>3</w:t>
      </w:r>
      <w:r w:rsidRPr="00DE0BB2">
        <w:rPr>
          <w:rFonts w:cs="Arial"/>
          <w:szCs w:val="24"/>
        </w:rPr>
        <w:t>/2</w:t>
      </w:r>
      <w:r>
        <w:rPr>
          <w:rFonts w:cs="Arial"/>
          <w:szCs w:val="24"/>
        </w:rPr>
        <w:t>4,</w:t>
      </w:r>
      <w:r w:rsidRPr="00372CCD">
        <w:rPr>
          <w:rFonts w:cs="Arial"/>
          <w:szCs w:val="24"/>
        </w:rPr>
        <w:t xml:space="preserve"> with the </w:t>
      </w:r>
      <w:r w:rsidRPr="00525A8D">
        <w:rPr>
          <w:rFonts w:cs="Arial"/>
          <w:szCs w:val="24"/>
        </w:rPr>
        <w:t>remainder of the programme being delivered</w:t>
      </w:r>
      <w:r w:rsidR="0005633D">
        <w:rPr>
          <w:rFonts w:cs="Arial"/>
          <w:szCs w:val="24"/>
        </w:rPr>
        <w:t xml:space="preserve"> in</w:t>
      </w:r>
      <w:r w:rsidRPr="00525A8D">
        <w:rPr>
          <w:rFonts w:cs="Arial"/>
          <w:szCs w:val="24"/>
        </w:rPr>
        <w:t xml:space="preserve"> the following financial year.</w:t>
      </w:r>
    </w:p>
    <w:p w14:paraId="56D5115A" w14:textId="77777777" w:rsidR="005058AE" w:rsidRDefault="005058AE">
      <w:pPr>
        <w:rPr>
          <w:b/>
        </w:rPr>
      </w:pPr>
    </w:p>
    <w:p w14:paraId="47077C1E" w14:textId="77777777" w:rsidR="00E5514B" w:rsidRDefault="00AD0816">
      <w:pPr>
        <w:rPr>
          <w:b/>
        </w:rPr>
      </w:pPr>
      <w:r>
        <w:rPr>
          <w:b/>
        </w:rPr>
        <w:t>Consultations</w:t>
      </w:r>
    </w:p>
    <w:p w14:paraId="05315D40" w14:textId="77777777" w:rsidR="00E5514B" w:rsidRDefault="00E5514B">
      <w:pPr>
        <w:rPr>
          <w:b/>
        </w:rPr>
      </w:pPr>
    </w:p>
    <w:p w14:paraId="51D30544" w14:textId="77777777" w:rsidR="00A97289" w:rsidRDefault="00AD0816" w:rsidP="00A97289">
      <w:pPr>
        <w:jc w:val="both"/>
      </w:pPr>
      <w:r>
        <w:t>N/A</w:t>
      </w:r>
    </w:p>
    <w:p w14:paraId="277DD134" w14:textId="77777777" w:rsidR="00E20250" w:rsidRDefault="00E20250"/>
    <w:p w14:paraId="20CF8704" w14:textId="77777777" w:rsidR="00E5514B" w:rsidRDefault="00AD0816">
      <w:r>
        <w:rPr>
          <w:b/>
        </w:rPr>
        <w:t>Implications</w:t>
      </w:r>
      <w:r>
        <w:t xml:space="preserve">: </w:t>
      </w:r>
    </w:p>
    <w:p w14:paraId="547B7719" w14:textId="77777777" w:rsidR="00DF043B" w:rsidRDefault="00DF043B"/>
    <w:p w14:paraId="1F94E156" w14:textId="77777777" w:rsidR="00E5514B" w:rsidRDefault="00AD0816">
      <w:r>
        <w:t>This item has the following implications, as indicated:</w:t>
      </w:r>
    </w:p>
    <w:p w14:paraId="2D955F42" w14:textId="77777777" w:rsidR="00E5514B" w:rsidRDefault="00E5514B"/>
    <w:p w14:paraId="56743799" w14:textId="77777777" w:rsidR="00FC04A2" w:rsidRPr="00092B2F" w:rsidRDefault="00AD0816" w:rsidP="00FC04A2">
      <w:pPr>
        <w:rPr>
          <w:b/>
        </w:rPr>
      </w:pPr>
      <w:r w:rsidRPr="00092B2F">
        <w:rPr>
          <w:b/>
        </w:rPr>
        <w:t>Risk management</w:t>
      </w:r>
    </w:p>
    <w:p w14:paraId="4385D381" w14:textId="77777777" w:rsidR="00FC04A2" w:rsidRDefault="00FC04A2" w:rsidP="00FC04A2"/>
    <w:p w14:paraId="000FDD6D" w14:textId="77777777" w:rsidR="00A97289" w:rsidRDefault="00AD0816" w:rsidP="00A97289">
      <w:pPr>
        <w:autoSpaceDE w:val="0"/>
        <w:autoSpaceDN w:val="0"/>
        <w:adjustRightInd w:val="0"/>
        <w:jc w:val="both"/>
        <w:rPr>
          <w:rFonts w:cs="Arial"/>
          <w:szCs w:val="24"/>
        </w:rPr>
      </w:pPr>
      <w:r w:rsidRPr="001578EE">
        <w:rPr>
          <w:rFonts w:cs="Arial"/>
          <w:szCs w:val="24"/>
        </w:rPr>
        <w:t xml:space="preserve">If the recommended work is not undertaken, the risk would be managed by further regular reactive maintenance to 'patch' the problems. However, in some cases, further deterioration of the building fabric or discontinued components would result in closure of parts of, or the whole school, until significant emergency repairs could be undertaken. </w:t>
      </w:r>
    </w:p>
    <w:p w14:paraId="7BAE3EBD" w14:textId="77777777" w:rsidR="00A97289" w:rsidRDefault="00A97289" w:rsidP="00A97289">
      <w:pPr>
        <w:autoSpaceDE w:val="0"/>
        <w:autoSpaceDN w:val="0"/>
        <w:adjustRightInd w:val="0"/>
        <w:jc w:val="both"/>
        <w:rPr>
          <w:rFonts w:cs="Arial"/>
          <w:szCs w:val="24"/>
        </w:rPr>
      </w:pPr>
    </w:p>
    <w:p w14:paraId="66A9D5F1" w14:textId="77777777" w:rsidR="00A97289" w:rsidRDefault="00AD0816" w:rsidP="00A97289">
      <w:pPr>
        <w:autoSpaceDE w:val="0"/>
        <w:autoSpaceDN w:val="0"/>
        <w:adjustRightInd w:val="0"/>
        <w:jc w:val="both"/>
        <w:rPr>
          <w:rFonts w:cs="Arial"/>
          <w:szCs w:val="24"/>
        </w:rPr>
      </w:pPr>
      <w:r w:rsidRPr="001578EE">
        <w:rPr>
          <w:rFonts w:cs="Arial"/>
          <w:szCs w:val="24"/>
        </w:rPr>
        <w:t xml:space="preserve">Due to the nature of building maintenance works, the full extent of repairs required may not be apparent until the building infrastructure is exposed, which may result in the need to undertake additional work and therefore increased project costs.  Furthermore, there may also be </w:t>
      </w:r>
      <w:r>
        <w:rPr>
          <w:rFonts w:cs="Arial"/>
          <w:szCs w:val="24"/>
        </w:rPr>
        <w:t xml:space="preserve">additional </w:t>
      </w:r>
      <w:r w:rsidRPr="001578EE">
        <w:rPr>
          <w:rFonts w:cs="Arial"/>
          <w:szCs w:val="24"/>
        </w:rPr>
        <w:t xml:space="preserve">severe condition </w:t>
      </w:r>
      <w:r>
        <w:rPr>
          <w:rFonts w:cs="Arial"/>
          <w:szCs w:val="24"/>
        </w:rPr>
        <w:t>related</w:t>
      </w:r>
      <w:r w:rsidRPr="001578EE">
        <w:rPr>
          <w:rFonts w:cs="Arial"/>
          <w:szCs w:val="24"/>
        </w:rPr>
        <w:t xml:space="preserve"> projects that come to light, and it is recommended therefore that a contingency</w:t>
      </w:r>
      <w:r>
        <w:rPr>
          <w:rFonts w:cs="Arial"/>
          <w:szCs w:val="24"/>
        </w:rPr>
        <w:t xml:space="preserve"> fund</w:t>
      </w:r>
      <w:r w:rsidRPr="001578EE">
        <w:rPr>
          <w:rFonts w:cs="Arial"/>
          <w:szCs w:val="24"/>
        </w:rPr>
        <w:t xml:space="preserve"> is </w:t>
      </w:r>
      <w:r>
        <w:rPr>
          <w:rFonts w:cs="Arial"/>
          <w:szCs w:val="24"/>
        </w:rPr>
        <w:t>retained</w:t>
      </w:r>
      <w:r w:rsidRPr="001578EE">
        <w:rPr>
          <w:rFonts w:cs="Arial"/>
          <w:szCs w:val="24"/>
        </w:rPr>
        <w:t xml:space="preserve"> to be approved and managed by the Asset Management Service. This contingency figure is included in the overall programme value. </w:t>
      </w:r>
    </w:p>
    <w:p w14:paraId="1C815ACA" w14:textId="77777777" w:rsidR="00A97289" w:rsidRDefault="00A97289" w:rsidP="00A97289">
      <w:pPr>
        <w:autoSpaceDE w:val="0"/>
        <w:autoSpaceDN w:val="0"/>
        <w:adjustRightInd w:val="0"/>
        <w:jc w:val="both"/>
        <w:rPr>
          <w:rFonts w:cs="Arial"/>
          <w:szCs w:val="24"/>
        </w:rPr>
      </w:pPr>
    </w:p>
    <w:p w14:paraId="2984C1DD" w14:textId="77777777" w:rsidR="00A97289" w:rsidRDefault="00AD0816" w:rsidP="00A97289">
      <w:pPr>
        <w:autoSpaceDE w:val="0"/>
        <w:autoSpaceDN w:val="0"/>
        <w:adjustRightInd w:val="0"/>
        <w:jc w:val="both"/>
        <w:rPr>
          <w:rFonts w:cs="Arial"/>
          <w:szCs w:val="24"/>
        </w:rPr>
      </w:pPr>
      <w:r>
        <w:rPr>
          <w:rFonts w:cs="Arial"/>
          <w:szCs w:val="24"/>
        </w:rPr>
        <w:t>It should be noted that this programme does not address all condition works required in the Lancashire schools building portfolio. The programme has been prepared in conjunction with the Design and Construction Service and all Priority 1 works have been further prioritised to address schools with the greatest need within the anticipated funding allocation.</w:t>
      </w:r>
    </w:p>
    <w:p w14:paraId="650E03E4" w14:textId="77777777" w:rsidR="00D516A7" w:rsidRDefault="00D516A7" w:rsidP="00A97289">
      <w:pPr>
        <w:autoSpaceDE w:val="0"/>
        <w:autoSpaceDN w:val="0"/>
        <w:adjustRightInd w:val="0"/>
        <w:jc w:val="both"/>
        <w:rPr>
          <w:rFonts w:cs="Arial"/>
          <w:szCs w:val="24"/>
        </w:rPr>
      </w:pPr>
    </w:p>
    <w:p w14:paraId="65B81C0A" w14:textId="77777777" w:rsidR="00D516A7" w:rsidRDefault="00AD0816" w:rsidP="00A97289">
      <w:pPr>
        <w:autoSpaceDE w:val="0"/>
        <w:autoSpaceDN w:val="0"/>
        <w:adjustRightInd w:val="0"/>
        <w:jc w:val="both"/>
        <w:rPr>
          <w:rFonts w:cs="Arial"/>
          <w:szCs w:val="24"/>
        </w:rPr>
      </w:pPr>
      <w:r w:rsidRPr="00B85E48">
        <w:rPr>
          <w:rFonts w:cs="Arial"/>
          <w:szCs w:val="24"/>
        </w:rPr>
        <w:t>The current economic conditions also pose a further risk to delivery of this programme.  Restricted material and labour availability has significantly increased costs within the construction industry and anticipated increases have been included within this programme.</w:t>
      </w:r>
    </w:p>
    <w:p w14:paraId="6318A025" w14:textId="77777777" w:rsidR="00A97289" w:rsidRDefault="00A97289" w:rsidP="00A97289">
      <w:pPr>
        <w:autoSpaceDE w:val="0"/>
        <w:autoSpaceDN w:val="0"/>
        <w:adjustRightInd w:val="0"/>
        <w:jc w:val="both"/>
        <w:rPr>
          <w:rFonts w:cs="Arial"/>
          <w:b/>
          <w:bCs/>
          <w:szCs w:val="24"/>
        </w:rPr>
      </w:pPr>
    </w:p>
    <w:p w14:paraId="42C49697" w14:textId="77777777" w:rsidR="00A97289" w:rsidRPr="001578EE" w:rsidRDefault="00AD0816" w:rsidP="00A97289">
      <w:pPr>
        <w:autoSpaceDE w:val="0"/>
        <w:autoSpaceDN w:val="0"/>
        <w:adjustRightInd w:val="0"/>
        <w:jc w:val="both"/>
        <w:rPr>
          <w:rFonts w:cs="Arial"/>
          <w:b/>
          <w:bCs/>
          <w:szCs w:val="24"/>
        </w:rPr>
      </w:pPr>
      <w:r w:rsidRPr="001578EE">
        <w:rPr>
          <w:rFonts w:cs="Arial"/>
          <w:b/>
          <w:bCs/>
          <w:szCs w:val="24"/>
        </w:rPr>
        <w:t>Financial</w:t>
      </w:r>
    </w:p>
    <w:p w14:paraId="0AD1EEF5" w14:textId="77777777" w:rsidR="00A97289" w:rsidRPr="001578EE" w:rsidRDefault="00A97289" w:rsidP="00A97289">
      <w:pPr>
        <w:autoSpaceDE w:val="0"/>
        <w:autoSpaceDN w:val="0"/>
        <w:adjustRightInd w:val="0"/>
        <w:jc w:val="both"/>
        <w:rPr>
          <w:rFonts w:cs="Arial"/>
          <w:b/>
          <w:bCs/>
          <w:szCs w:val="24"/>
        </w:rPr>
      </w:pPr>
    </w:p>
    <w:p w14:paraId="32C8E726" w14:textId="77777777" w:rsidR="00A97289" w:rsidRPr="001A3AC7" w:rsidRDefault="00AD0816" w:rsidP="00A97289">
      <w:pPr>
        <w:pStyle w:val="Default"/>
        <w:jc w:val="both"/>
        <w:rPr>
          <w:color w:val="auto"/>
        </w:rPr>
      </w:pPr>
      <w:bookmarkStart w:id="1" w:name="_Hlk98170389"/>
      <w:r w:rsidRPr="001A3AC7">
        <w:rPr>
          <w:color w:val="auto"/>
        </w:rPr>
        <w:t xml:space="preserve">The </w:t>
      </w:r>
      <w:r>
        <w:rPr>
          <w:color w:val="auto"/>
        </w:rPr>
        <w:t xml:space="preserve">Department for Education is yet </w:t>
      </w:r>
      <w:r w:rsidRPr="00372CCD">
        <w:rPr>
          <w:color w:val="auto"/>
        </w:rPr>
        <w:t xml:space="preserve">to announce the </w:t>
      </w:r>
      <w:r w:rsidRPr="00DE0BB2">
        <w:rPr>
          <w:color w:val="auto"/>
        </w:rPr>
        <w:t>202</w:t>
      </w:r>
      <w:r>
        <w:rPr>
          <w:color w:val="auto"/>
        </w:rPr>
        <w:t>3</w:t>
      </w:r>
      <w:r w:rsidRPr="00DE0BB2">
        <w:rPr>
          <w:color w:val="auto"/>
        </w:rPr>
        <w:t>/2</w:t>
      </w:r>
      <w:r>
        <w:rPr>
          <w:color w:val="auto"/>
        </w:rPr>
        <w:t>4</w:t>
      </w:r>
      <w:r w:rsidRPr="00372CCD">
        <w:rPr>
          <w:color w:val="auto"/>
        </w:rPr>
        <w:t xml:space="preserve"> schools condition grant allocation. Based on </w:t>
      </w:r>
      <w:r w:rsidRPr="00525A8D">
        <w:rPr>
          <w:color w:val="auto"/>
        </w:rPr>
        <w:t xml:space="preserve">allocations in the previous two years, it is anticipated that the </w:t>
      </w:r>
      <w:r w:rsidRPr="00525A8D">
        <w:rPr>
          <w:color w:val="auto"/>
        </w:rPr>
        <w:lastRenderedPageBreak/>
        <w:t xml:space="preserve">county council will receive approximately </w:t>
      </w:r>
      <w:r w:rsidRPr="00DE0BB2">
        <w:rPr>
          <w:color w:val="auto"/>
        </w:rPr>
        <w:t>£14</w:t>
      </w:r>
      <w:r>
        <w:rPr>
          <w:color w:val="auto"/>
        </w:rPr>
        <w:t>.</w:t>
      </w:r>
      <w:r w:rsidRPr="00DE0BB2">
        <w:rPr>
          <w:color w:val="auto"/>
        </w:rPr>
        <w:t>000m</w:t>
      </w:r>
      <w:r w:rsidR="005D54B4">
        <w:rPr>
          <w:color w:val="auto"/>
        </w:rPr>
        <w:t>,</w:t>
      </w:r>
      <w:r w:rsidR="003C4E6B">
        <w:rPr>
          <w:color w:val="auto"/>
        </w:rPr>
        <w:t xml:space="preserve"> and this has been built into the proposed capital programme for 2023/24</w:t>
      </w:r>
      <w:r>
        <w:rPr>
          <w:color w:val="auto"/>
        </w:rPr>
        <w:t>,</w:t>
      </w:r>
      <w:r w:rsidR="003C4E6B">
        <w:rPr>
          <w:color w:val="auto"/>
        </w:rPr>
        <w:t xml:space="preserve"> which is </w:t>
      </w:r>
      <w:r>
        <w:rPr>
          <w:color w:val="auto"/>
        </w:rPr>
        <w:t xml:space="preserve">referred to in the Money Matters Quarter 3 2022/23 </w:t>
      </w:r>
      <w:proofErr w:type="gramStart"/>
      <w:r>
        <w:rPr>
          <w:color w:val="auto"/>
        </w:rPr>
        <w:t xml:space="preserve">report </w:t>
      </w:r>
      <w:r w:rsidR="003C4E6B">
        <w:rPr>
          <w:color w:val="auto"/>
        </w:rPr>
        <w:t xml:space="preserve"> elsewhere</w:t>
      </w:r>
      <w:proofErr w:type="gramEnd"/>
      <w:r w:rsidR="003C4E6B">
        <w:rPr>
          <w:color w:val="auto"/>
        </w:rPr>
        <w:t xml:space="preserve"> </w:t>
      </w:r>
      <w:r>
        <w:rPr>
          <w:color w:val="auto"/>
        </w:rPr>
        <w:t>on</w:t>
      </w:r>
      <w:r w:rsidR="003C4E6B">
        <w:rPr>
          <w:color w:val="auto"/>
        </w:rPr>
        <w:t xml:space="preserve"> the agenda</w:t>
      </w:r>
      <w:r w:rsidRPr="00DE0BB2">
        <w:rPr>
          <w:color w:val="auto"/>
        </w:rPr>
        <w:t>.</w:t>
      </w:r>
      <w:r>
        <w:rPr>
          <w:color w:val="auto"/>
        </w:rPr>
        <w:t xml:space="preserve"> </w:t>
      </w:r>
    </w:p>
    <w:p w14:paraId="605874D8" w14:textId="77777777" w:rsidR="00A97289" w:rsidRDefault="00A97289" w:rsidP="00A97289">
      <w:pPr>
        <w:autoSpaceDE w:val="0"/>
        <w:autoSpaceDN w:val="0"/>
        <w:adjustRightInd w:val="0"/>
        <w:jc w:val="both"/>
        <w:rPr>
          <w:rFonts w:cs="Arial"/>
          <w:szCs w:val="24"/>
        </w:rPr>
      </w:pPr>
    </w:p>
    <w:p w14:paraId="3C876CB8" w14:textId="77777777" w:rsidR="00A97289" w:rsidRPr="001578EE" w:rsidRDefault="00AD0816" w:rsidP="00A97289">
      <w:pPr>
        <w:autoSpaceDE w:val="0"/>
        <w:autoSpaceDN w:val="0"/>
        <w:adjustRightInd w:val="0"/>
        <w:jc w:val="both"/>
        <w:rPr>
          <w:rFonts w:cs="Arial"/>
          <w:szCs w:val="24"/>
        </w:rPr>
      </w:pPr>
      <w:r w:rsidRPr="001578EE">
        <w:rPr>
          <w:rFonts w:cs="Arial"/>
          <w:szCs w:val="24"/>
        </w:rPr>
        <w:t xml:space="preserve">The </w:t>
      </w:r>
      <w:r>
        <w:rPr>
          <w:rFonts w:cs="Arial"/>
          <w:szCs w:val="24"/>
        </w:rPr>
        <w:t xml:space="preserve">Department for Education </w:t>
      </w:r>
      <w:r w:rsidRPr="001578EE">
        <w:rPr>
          <w:rFonts w:cs="Arial"/>
          <w:szCs w:val="24"/>
        </w:rPr>
        <w:t xml:space="preserve">School Condition allocations </w:t>
      </w:r>
      <w:r>
        <w:rPr>
          <w:rFonts w:cs="Arial"/>
          <w:szCs w:val="24"/>
        </w:rPr>
        <w:t xml:space="preserve">were </w:t>
      </w:r>
      <w:r w:rsidRPr="001578EE">
        <w:rPr>
          <w:rFonts w:cs="Arial"/>
          <w:szCs w:val="24"/>
        </w:rPr>
        <w:t>as follows:</w:t>
      </w:r>
    </w:p>
    <w:p w14:paraId="3262980D" w14:textId="77777777" w:rsidR="00A97289" w:rsidRPr="00372CCD" w:rsidRDefault="00A97289" w:rsidP="00A97289">
      <w:pPr>
        <w:autoSpaceDE w:val="0"/>
        <w:autoSpaceDN w:val="0"/>
        <w:adjustRightInd w:val="0"/>
        <w:jc w:val="both"/>
        <w:rPr>
          <w:rFonts w:cs="Arial"/>
          <w:szCs w:val="24"/>
        </w:rPr>
      </w:pPr>
    </w:p>
    <w:p w14:paraId="0B6FEFF6" w14:textId="77777777" w:rsidR="00A97289" w:rsidRDefault="00AD0816" w:rsidP="00A97289">
      <w:pPr>
        <w:numPr>
          <w:ilvl w:val="0"/>
          <w:numId w:val="2"/>
        </w:numPr>
        <w:autoSpaceDE w:val="0"/>
        <w:autoSpaceDN w:val="0"/>
        <w:adjustRightInd w:val="0"/>
        <w:ind w:left="360"/>
        <w:jc w:val="both"/>
        <w:rPr>
          <w:rFonts w:cs="Arial"/>
          <w:szCs w:val="24"/>
        </w:rPr>
      </w:pPr>
      <w:r w:rsidRPr="00DE0BB2">
        <w:rPr>
          <w:rFonts w:cs="Arial"/>
          <w:szCs w:val="24"/>
        </w:rPr>
        <w:t>2020/21 £9.600m confirmed and spent</w:t>
      </w:r>
      <w:r>
        <w:rPr>
          <w:rFonts w:cs="Arial"/>
          <w:szCs w:val="24"/>
        </w:rPr>
        <w:t>.</w:t>
      </w:r>
    </w:p>
    <w:p w14:paraId="60555D8C" w14:textId="77777777" w:rsidR="00A97289" w:rsidRDefault="00A97289" w:rsidP="00A97289">
      <w:pPr>
        <w:autoSpaceDE w:val="0"/>
        <w:autoSpaceDN w:val="0"/>
        <w:adjustRightInd w:val="0"/>
        <w:ind w:left="360"/>
        <w:jc w:val="both"/>
        <w:rPr>
          <w:rFonts w:cs="Arial"/>
          <w:szCs w:val="24"/>
        </w:rPr>
      </w:pPr>
    </w:p>
    <w:p w14:paraId="45F2B201" w14:textId="77777777" w:rsidR="00A97289" w:rsidRPr="00D910B4" w:rsidRDefault="00AD0816" w:rsidP="00A97289">
      <w:pPr>
        <w:numPr>
          <w:ilvl w:val="0"/>
          <w:numId w:val="2"/>
        </w:numPr>
        <w:autoSpaceDE w:val="0"/>
        <w:autoSpaceDN w:val="0"/>
        <w:adjustRightInd w:val="0"/>
        <w:ind w:left="360"/>
        <w:jc w:val="both"/>
        <w:rPr>
          <w:rFonts w:cs="Arial"/>
          <w:szCs w:val="24"/>
        </w:rPr>
      </w:pPr>
      <w:r w:rsidRPr="00D910B4">
        <w:rPr>
          <w:rFonts w:cs="Arial"/>
          <w:szCs w:val="24"/>
        </w:rPr>
        <w:t xml:space="preserve">2020/21 £4.463m additional one off in year allocation </w:t>
      </w:r>
      <w:r>
        <w:rPr>
          <w:rFonts w:cs="Arial"/>
          <w:szCs w:val="24"/>
        </w:rPr>
        <w:t xml:space="preserve">was </w:t>
      </w:r>
      <w:r w:rsidRPr="00D910B4">
        <w:rPr>
          <w:rFonts w:cs="Arial"/>
          <w:szCs w:val="24"/>
        </w:rPr>
        <w:t xml:space="preserve">confirmed and </w:t>
      </w:r>
      <w:r>
        <w:rPr>
          <w:rFonts w:cs="Arial"/>
          <w:szCs w:val="24"/>
        </w:rPr>
        <w:t xml:space="preserve">is </w:t>
      </w:r>
      <w:r w:rsidRPr="00D910B4">
        <w:rPr>
          <w:rFonts w:cs="Arial"/>
          <w:szCs w:val="24"/>
        </w:rPr>
        <w:t xml:space="preserve">committed to existing projects. </w:t>
      </w:r>
    </w:p>
    <w:p w14:paraId="0AA3AAA8" w14:textId="77777777" w:rsidR="00A97289" w:rsidRPr="00D910B4" w:rsidRDefault="00A97289" w:rsidP="00A97289">
      <w:pPr>
        <w:autoSpaceDE w:val="0"/>
        <w:autoSpaceDN w:val="0"/>
        <w:adjustRightInd w:val="0"/>
        <w:jc w:val="both"/>
        <w:rPr>
          <w:rFonts w:cs="Arial"/>
          <w:szCs w:val="24"/>
        </w:rPr>
      </w:pPr>
    </w:p>
    <w:p w14:paraId="43D69DC9" w14:textId="77777777" w:rsidR="00A97289" w:rsidRDefault="00AD0816" w:rsidP="00A97289">
      <w:pPr>
        <w:numPr>
          <w:ilvl w:val="0"/>
          <w:numId w:val="2"/>
        </w:numPr>
        <w:autoSpaceDE w:val="0"/>
        <w:autoSpaceDN w:val="0"/>
        <w:adjustRightInd w:val="0"/>
        <w:ind w:left="360"/>
        <w:jc w:val="both"/>
        <w:rPr>
          <w:rFonts w:cs="Arial"/>
          <w:szCs w:val="24"/>
        </w:rPr>
      </w:pPr>
      <w:r w:rsidRPr="00372CCD">
        <w:rPr>
          <w:rFonts w:cs="Arial"/>
          <w:szCs w:val="24"/>
        </w:rPr>
        <w:t>2021/22 £</w:t>
      </w:r>
      <w:r>
        <w:rPr>
          <w:rFonts w:cs="Arial"/>
          <w:szCs w:val="24"/>
        </w:rPr>
        <w:t>14.053m was received. However, the £10</w:t>
      </w:r>
      <w:r w:rsidR="005D54B4">
        <w:rPr>
          <w:rFonts w:cs="Arial"/>
          <w:szCs w:val="24"/>
        </w:rPr>
        <w:t>.000</w:t>
      </w:r>
      <w:r>
        <w:rPr>
          <w:rFonts w:cs="Arial"/>
          <w:szCs w:val="24"/>
        </w:rPr>
        <w:t xml:space="preserve">m programme was approved before the final grant was known leaving £4.053m uncommitted. </w:t>
      </w:r>
      <w:r w:rsidRPr="00BD1F4E">
        <w:rPr>
          <w:rFonts w:cs="Arial"/>
          <w:szCs w:val="24"/>
        </w:rPr>
        <w:t xml:space="preserve">The </w:t>
      </w:r>
      <w:r>
        <w:rPr>
          <w:rFonts w:cs="Arial"/>
          <w:szCs w:val="24"/>
        </w:rPr>
        <w:t xml:space="preserve">2022/23 </w:t>
      </w:r>
      <w:r w:rsidRPr="00BD1F4E">
        <w:rPr>
          <w:rFonts w:cs="Arial"/>
          <w:szCs w:val="24"/>
        </w:rPr>
        <w:t>programme</w:t>
      </w:r>
      <w:r>
        <w:rPr>
          <w:rFonts w:cs="Arial"/>
          <w:szCs w:val="24"/>
        </w:rPr>
        <w:t xml:space="preserve"> was set at </w:t>
      </w:r>
      <w:r w:rsidRPr="00BD1F4E">
        <w:rPr>
          <w:rFonts w:cs="Arial"/>
          <w:szCs w:val="24"/>
        </w:rPr>
        <w:t>£</w:t>
      </w:r>
      <w:r>
        <w:rPr>
          <w:rFonts w:cs="Arial"/>
          <w:szCs w:val="24"/>
        </w:rPr>
        <w:t>17.974m, with the difference being funded by the additional grant from 2021/22.</w:t>
      </w:r>
    </w:p>
    <w:p w14:paraId="1B700F0C" w14:textId="77777777" w:rsidR="00A97289" w:rsidRDefault="00A97289" w:rsidP="00A97289">
      <w:pPr>
        <w:autoSpaceDE w:val="0"/>
        <w:autoSpaceDN w:val="0"/>
        <w:adjustRightInd w:val="0"/>
        <w:jc w:val="both"/>
        <w:rPr>
          <w:rFonts w:cs="Arial"/>
          <w:szCs w:val="24"/>
        </w:rPr>
      </w:pPr>
    </w:p>
    <w:p w14:paraId="34FE0FD5" w14:textId="77777777" w:rsidR="00A97289" w:rsidRPr="00D910B4" w:rsidRDefault="00AD0816" w:rsidP="00A97289">
      <w:pPr>
        <w:numPr>
          <w:ilvl w:val="0"/>
          <w:numId w:val="2"/>
        </w:numPr>
        <w:autoSpaceDE w:val="0"/>
        <w:autoSpaceDN w:val="0"/>
        <w:adjustRightInd w:val="0"/>
        <w:ind w:left="360"/>
        <w:jc w:val="both"/>
        <w:rPr>
          <w:rFonts w:cs="Arial"/>
          <w:szCs w:val="24"/>
        </w:rPr>
      </w:pPr>
      <w:r w:rsidRPr="00D910B4">
        <w:rPr>
          <w:rFonts w:cs="Arial"/>
          <w:szCs w:val="24"/>
        </w:rPr>
        <w:t>2022/23 £17</w:t>
      </w:r>
      <w:r w:rsidR="005D54B4">
        <w:rPr>
          <w:rFonts w:cs="Arial"/>
          <w:szCs w:val="24"/>
        </w:rPr>
        <w:t>.</w:t>
      </w:r>
      <w:r w:rsidRPr="00D910B4">
        <w:rPr>
          <w:rFonts w:cs="Arial"/>
          <w:szCs w:val="24"/>
        </w:rPr>
        <w:t xml:space="preserve">974m </w:t>
      </w:r>
      <w:r>
        <w:rPr>
          <w:rFonts w:cs="Arial"/>
          <w:szCs w:val="24"/>
        </w:rPr>
        <w:t xml:space="preserve">is </w:t>
      </w:r>
      <w:r w:rsidRPr="00D910B4">
        <w:rPr>
          <w:rFonts w:cs="Arial"/>
          <w:szCs w:val="24"/>
        </w:rPr>
        <w:t>confirmed and committed.</w:t>
      </w:r>
    </w:p>
    <w:p w14:paraId="11B23B5E" w14:textId="77777777" w:rsidR="00A97289" w:rsidRPr="00CB2E9A" w:rsidRDefault="00A97289" w:rsidP="00A97289">
      <w:pPr>
        <w:pStyle w:val="ListParagraph"/>
        <w:rPr>
          <w:rFonts w:cs="Arial"/>
          <w:szCs w:val="24"/>
        </w:rPr>
      </w:pPr>
    </w:p>
    <w:p w14:paraId="7D9C4895" w14:textId="77777777" w:rsidR="00A97289" w:rsidRDefault="00AD0816" w:rsidP="00CB2E9A">
      <w:pPr>
        <w:widowControl w:val="0"/>
        <w:tabs>
          <w:tab w:val="decimal" w:pos="274"/>
          <w:tab w:val="left" w:pos="761"/>
        </w:tabs>
        <w:autoSpaceDE w:val="0"/>
        <w:autoSpaceDN w:val="0"/>
        <w:jc w:val="both"/>
        <w:rPr>
          <w:rFonts w:cs="Arial"/>
          <w:szCs w:val="24"/>
        </w:rPr>
      </w:pPr>
      <w:r w:rsidRPr="00CB2E9A">
        <w:rPr>
          <w:rFonts w:cs="Arial"/>
          <w:szCs w:val="24"/>
        </w:rPr>
        <w:t>The programme in Appendix 'A' will be reviewed if there is a significant variance from the expected amount for 2023/24</w:t>
      </w:r>
      <w:r w:rsidR="00CB2E9A">
        <w:rPr>
          <w:rFonts w:cs="Arial"/>
          <w:szCs w:val="24"/>
        </w:rPr>
        <w:t>. The programme</w:t>
      </w:r>
      <w:r w:rsidR="00CB2E9A" w:rsidRPr="00CB2E9A">
        <w:rPr>
          <w:rFonts w:cs="Arial"/>
          <w:szCs w:val="24"/>
        </w:rPr>
        <w:t xml:space="preserve"> is deemed to be Part II as </w:t>
      </w:r>
      <w:r w:rsidR="00CB2E9A">
        <w:rPr>
          <w:rFonts w:cs="Arial"/>
          <w:szCs w:val="24"/>
        </w:rPr>
        <w:t>A</w:t>
      </w:r>
      <w:r w:rsidR="00CB2E9A" w:rsidRPr="00CB2E9A">
        <w:rPr>
          <w:rFonts w:cs="Arial"/>
          <w:szCs w:val="24"/>
        </w:rPr>
        <w:t>ppendix 'A' contains information relating</w:t>
      </w:r>
      <w:r w:rsidR="00CB2E9A">
        <w:rPr>
          <w:rFonts w:cs="Arial"/>
          <w:szCs w:val="24"/>
        </w:rPr>
        <w:t xml:space="preserve"> to </w:t>
      </w:r>
      <w:bookmarkStart w:id="2" w:name="_Hlk99006463"/>
      <w:r>
        <w:rPr>
          <w:rFonts w:cs="Arial"/>
          <w:szCs w:val="24"/>
        </w:rPr>
        <w:t xml:space="preserve">information relating to the financial or business affairs of any </w:t>
      </w:r>
      <w:proofErr w:type="gramStart"/>
      <w:r>
        <w:rPr>
          <w:rFonts w:cs="Arial"/>
          <w:szCs w:val="24"/>
        </w:rPr>
        <w:t>particular person</w:t>
      </w:r>
      <w:proofErr w:type="gramEnd"/>
      <w:r>
        <w:rPr>
          <w:rFonts w:cs="Arial"/>
          <w:szCs w:val="24"/>
        </w:rPr>
        <w:t xml:space="preserve"> (including the authority holding that information).</w:t>
      </w:r>
    </w:p>
    <w:p w14:paraId="6F99683F" w14:textId="77777777" w:rsidR="003C4E6B" w:rsidRDefault="003C4E6B" w:rsidP="00A97289">
      <w:pPr>
        <w:autoSpaceDE w:val="0"/>
        <w:autoSpaceDN w:val="0"/>
        <w:adjustRightInd w:val="0"/>
        <w:jc w:val="both"/>
        <w:rPr>
          <w:rFonts w:cs="Arial"/>
          <w:szCs w:val="24"/>
        </w:rPr>
      </w:pPr>
    </w:p>
    <w:p w14:paraId="6B413D48" w14:textId="77777777" w:rsidR="003C4E6B" w:rsidRDefault="00AD0816" w:rsidP="00A97289">
      <w:pPr>
        <w:autoSpaceDE w:val="0"/>
        <w:autoSpaceDN w:val="0"/>
        <w:adjustRightInd w:val="0"/>
        <w:jc w:val="both"/>
        <w:rPr>
          <w:rFonts w:cs="Arial"/>
        </w:rPr>
      </w:pPr>
      <w:r>
        <w:rPr>
          <w:rFonts w:cs="Arial"/>
          <w:szCs w:val="24"/>
        </w:rPr>
        <w:t xml:space="preserve">It should be noted that this programme delivery is set to the funding available and does not represent the whole quantum of condition work that could be required to be carried out at Lancashire schools.  </w:t>
      </w:r>
    </w:p>
    <w:bookmarkEnd w:id="1"/>
    <w:bookmarkEnd w:id="2"/>
    <w:p w14:paraId="40D8F1DC" w14:textId="77777777" w:rsidR="00A97289" w:rsidRDefault="00A97289" w:rsidP="00A97289">
      <w:pPr>
        <w:autoSpaceDE w:val="0"/>
        <w:autoSpaceDN w:val="0"/>
        <w:adjustRightInd w:val="0"/>
        <w:jc w:val="both"/>
        <w:rPr>
          <w:rFonts w:cs="Arial"/>
          <w:szCs w:val="24"/>
        </w:rPr>
      </w:pPr>
    </w:p>
    <w:p w14:paraId="5DC364C1" w14:textId="77777777" w:rsidR="003C4E6B" w:rsidRDefault="00AD0816" w:rsidP="00A97289">
      <w:pPr>
        <w:autoSpaceDE w:val="0"/>
        <w:autoSpaceDN w:val="0"/>
        <w:adjustRightInd w:val="0"/>
        <w:jc w:val="both"/>
        <w:rPr>
          <w:rFonts w:cs="Arial"/>
          <w:szCs w:val="24"/>
        </w:rPr>
      </w:pPr>
      <w:r>
        <w:rPr>
          <w:rFonts w:cs="Arial"/>
          <w:szCs w:val="24"/>
        </w:rPr>
        <w:t xml:space="preserve">Future years grants will be allocated on the same basis to address the highest known priorities at the </w:t>
      </w:r>
      <w:r w:rsidR="00B85E48">
        <w:rPr>
          <w:rFonts w:cs="Arial"/>
          <w:szCs w:val="24"/>
        </w:rPr>
        <w:t>time.</w:t>
      </w:r>
      <w:r>
        <w:rPr>
          <w:rFonts w:cs="Arial"/>
          <w:szCs w:val="24"/>
        </w:rPr>
        <w:t xml:space="preserve">  </w:t>
      </w:r>
    </w:p>
    <w:p w14:paraId="2BFD262B" w14:textId="77777777" w:rsidR="003C4E6B" w:rsidRDefault="003C4E6B" w:rsidP="00A97289">
      <w:pPr>
        <w:autoSpaceDE w:val="0"/>
        <w:autoSpaceDN w:val="0"/>
        <w:adjustRightInd w:val="0"/>
        <w:jc w:val="both"/>
        <w:rPr>
          <w:rFonts w:cs="Arial"/>
          <w:szCs w:val="24"/>
        </w:rPr>
      </w:pPr>
    </w:p>
    <w:p w14:paraId="29AE023C" w14:textId="77777777" w:rsidR="00A97289" w:rsidRPr="001578EE" w:rsidRDefault="00AD0816" w:rsidP="00A97289">
      <w:pPr>
        <w:autoSpaceDE w:val="0"/>
        <w:autoSpaceDN w:val="0"/>
        <w:adjustRightInd w:val="0"/>
        <w:jc w:val="both"/>
        <w:rPr>
          <w:rFonts w:cs="Arial"/>
          <w:b/>
          <w:szCs w:val="24"/>
        </w:rPr>
      </w:pPr>
      <w:r w:rsidRPr="001578EE">
        <w:rPr>
          <w:rFonts w:cs="Arial"/>
          <w:b/>
          <w:szCs w:val="24"/>
        </w:rPr>
        <w:t xml:space="preserve">Procurement </w:t>
      </w:r>
    </w:p>
    <w:p w14:paraId="13987DA2" w14:textId="77777777" w:rsidR="00A97289" w:rsidRPr="001578EE" w:rsidRDefault="00A97289" w:rsidP="00A97289">
      <w:pPr>
        <w:autoSpaceDE w:val="0"/>
        <w:autoSpaceDN w:val="0"/>
        <w:adjustRightInd w:val="0"/>
        <w:jc w:val="both"/>
        <w:rPr>
          <w:rFonts w:cs="Arial"/>
          <w:b/>
          <w:szCs w:val="24"/>
        </w:rPr>
      </w:pPr>
    </w:p>
    <w:p w14:paraId="5C186E6A" w14:textId="77777777" w:rsidR="00A97289" w:rsidRDefault="00AD0816" w:rsidP="00A97289">
      <w:pPr>
        <w:autoSpaceDE w:val="0"/>
        <w:autoSpaceDN w:val="0"/>
        <w:adjustRightInd w:val="0"/>
        <w:jc w:val="both"/>
        <w:rPr>
          <w:rFonts w:cs="Arial"/>
          <w:szCs w:val="24"/>
        </w:rPr>
      </w:pPr>
      <w:r w:rsidRPr="00035AD8">
        <w:rPr>
          <w:rFonts w:cs="Arial"/>
          <w:szCs w:val="24"/>
        </w:rPr>
        <w:t>The selection of contractors to undertake the capital works will be carried out in full</w:t>
      </w:r>
      <w:r>
        <w:rPr>
          <w:rFonts w:cs="Arial"/>
          <w:szCs w:val="24"/>
        </w:rPr>
        <w:t xml:space="preserve"> </w:t>
      </w:r>
      <w:r w:rsidRPr="00035AD8">
        <w:rPr>
          <w:rFonts w:cs="Arial"/>
          <w:szCs w:val="24"/>
        </w:rPr>
        <w:t xml:space="preserve">compliance with the Public Contract Regulations 2015, either </w:t>
      </w:r>
      <w:proofErr w:type="gramStart"/>
      <w:r w:rsidRPr="00035AD8">
        <w:rPr>
          <w:rFonts w:cs="Arial"/>
          <w:szCs w:val="24"/>
        </w:rPr>
        <w:t>through the use of</w:t>
      </w:r>
      <w:proofErr w:type="gramEnd"/>
      <w:r w:rsidRPr="00035AD8">
        <w:rPr>
          <w:rFonts w:cs="Arial"/>
          <w:szCs w:val="24"/>
        </w:rPr>
        <w:t xml:space="preserve"> </w:t>
      </w:r>
      <w:r>
        <w:rPr>
          <w:rFonts w:cs="Arial"/>
          <w:szCs w:val="24"/>
        </w:rPr>
        <w:t>e</w:t>
      </w:r>
      <w:r w:rsidRPr="00035AD8">
        <w:rPr>
          <w:rFonts w:cs="Arial"/>
          <w:szCs w:val="24"/>
        </w:rPr>
        <w:t>stablished framework</w:t>
      </w:r>
      <w:r>
        <w:rPr>
          <w:rFonts w:cs="Arial"/>
          <w:szCs w:val="24"/>
        </w:rPr>
        <w:t>s</w:t>
      </w:r>
      <w:r w:rsidRPr="00035AD8">
        <w:rPr>
          <w:rFonts w:cs="Arial"/>
          <w:szCs w:val="24"/>
        </w:rPr>
        <w:t xml:space="preserve"> or through undertaking a compliant procurement exercise </w:t>
      </w:r>
      <w:r>
        <w:rPr>
          <w:rFonts w:cs="Arial"/>
          <w:szCs w:val="24"/>
        </w:rPr>
        <w:t xml:space="preserve">following the </w:t>
      </w:r>
      <w:r w:rsidR="00CB2E9A">
        <w:rPr>
          <w:rFonts w:cs="Arial"/>
          <w:szCs w:val="24"/>
        </w:rPr>
        <w:t xml:space="preserve">county </w:t>
      </w:r>
      <w:r>
        <w:rPr>
          <w:rFonts w:cs="Arial"/>
          <w:szCs w:val="24"/>
        </w:rPr>
        <w:t>council's Procurement Rules</w:t>
      </w:r>
      <w:r w:rsidR="00CB2E9A">
        <w:rPr>
          <w:rFonts w:cs="Arial"/>
          <w:szCs w:val="24"/>
        </w:rPr>
        <w:t>,</w:t>
      </w:r>
      <w:r>
        <w:rPr>
          <w:rFonts w:cs="Arial"/>
          <w:szCs w:val="24"/>
        </w:rPr>
        <w:t xml:space="preserve"> </w:t>
      </w:r>
      <w:r w:rsidRPr="00035AD8">
        <w:rPr>
          <w:rFonts w:cs="Arial"/>
          <w:szCs w:val="24"/>
        </w:rPr>
        <w:t>where</w:t>
      </w:r>
      <w:r>
        <w:rPr>
          <w:rFonts w:cs="Arial"/>
          <w:szCs w:val="24"/>
        </w:rPr>
        <w:t xml:space="preserve"> a</w:t>
      </w:r>
      <w:r w:rsidRPr="00035AD8">
        <w:rPr>
          <w:rFonts w:cs="Arial"/>
          <w:szCs w:val="24"/>
        </w:rPr>
        <w:t>ppropriate.</w:t>
      </w:r>
    </w:p>
    <w:p w14:paraId="3050CC0C" w14:textId="77777777" w:rsidR="00E5514B" w:rsidRDefault="00E5514B"/>
    <w:p w14:paraId="26B0C5A6" w14:textId="77777777" w:rsidR="00E5514B" w:rsidRDefault="00AD0816">
      <w:pPr>
        <w:pStyle w:val="Heading5"/>
        <w:rPr>
          <w:rFonts w:ascii="Arial" w:hAnsi="Arial"/>
          <w:u w:val="none"/>
        </w:rPr>
      </w:pPr>
      <w:r>
        <w:rPr>
          <w:rFonts w:ascii="Arial" w:hAnsi="Arial"/>
          <w:u w:val="none"/>
        </w:rPr>
        <w:lastRenderedPageBreak/>
        <w:t>List of Background Papers</w:t>
      </w:r>
    </w:p>
    <w:tbl>
      <w:tblPr>
        <w:tblW w:w="0" w:type="auto"/>
        <w:tblLayout w:type="fixed"/>
        <w:tblLook w:val="0000" w:firstRow="0" w:lastRow="0" w:firstColumn="0" w:lastColumn="0" w:noHBand="0" w:noVBand="0"/>
      </w:tblPr>
      <w:tblGrid>
        <w:gridCol w:w="3227"/>
        <w:gridCol w:w="2775"/>
        <w:gridCol w:w="3178"/>
      </w:tblGrid>
      <w:tr w:rsidR="000F7BDB" w14:paraId="71A737EA" w14:textId="77777777">
        <w:trPr>
          <w:trHeight w:val="113"/>
        </w:trPr>
        <w:tc>
          <w:tcPr>
            <w:tcW w:w="3227" w:type="dxa"/>
          </w:tcPr>
          <w:p w14:paraId="669B2A40" w14:textId="77777777" w:rsidR="00A97289" w:rsidRDefault="00A97289" w:rsidP="00CB2E9A">
            <w:pPr>
              <w:pStyle w:val="Heading7"/>
              <w:ind w:left="-108"/>
              <w:rPr>
                <w:rFonts w:ascii="Arial" w:hAnsi="Arial"/>
                <w:u w:val="none"/>
              </w:rPr>
            </w:pPr>
          </w:p>
          <w:p w14:paraId="69B0B4E3" w14:textId="77777777" w:rsidR="00E5514B" w:rsidRDefault="00AD0816" w:rsidP="00CB2E9A">
            <w:pPr>
              <w:pStyle w:val="Heading7"/>
              <w:ind w:left="-108"/>
              <w:rPr>
                <w:rFonts w:ascii="Arial" w:hAnsi="Arial"/>
                <w:u w:val="none"/>
              </w:rPr>
            </w:pPr>
            <w:r>
              <w:rPr>
                <w:rFonts w:ascii="Arial" w:hAnsi="Arial"/>
                <w:u w:val="none"/>
              </w:rPr>
              <w:t>Paper</w:t>
            </w:r>
          </w:p>
        </w:tc>
        <w:tc>
          <w:tcPr>
            <w:tcW w:w="2775" w:type="dxa"/>
          </w:tcPr>
          <w:p w14:paraId="3B1847ED" w14:textId="77777777" w:rsidR="00E5514B" w:rsidRDefault="00AD0816">
            <w:pPr>
              <w:pStyle w:val="Heading7"/>
              <w:rPr>
                <w:rFonts w:ascii="Arial" w:hAnsi="Arial"/>
                <w:u w:val="none"/>
              </w:rPr>
            </w:pPr>
            <w:r>
              <w:rPr>
                <w:rFonts w:ascii="Arial" w:hAnsi="Arial"/>
                <w:u w:val="none"/>
              </w:rPr>
              <w:t>Date</w:t>
            </w:r>
          </w:p>
        </w:tc>
        <w:tc>
          <w:tcPr>
            <w:tcW w:w="3178" w:type="dxa"/>
          </w:tcPr>
          <w:p w14:paraId="2D8C124F" w14:textId="77777777" w:rsidR="00E5514B" w:rsidRDefault="00AD0816" w:rsidP="00707981">
            <w:pPr>
              <w:pStyle w:val="Heading7"/>
              <w:rPr>
                <w:rFonts w:ascii="Arial" w:hAnsi="Arial"/>
                <w:u w:val="none"/>
              </w:rPr>
            </w:pPr>
            <w:r>
              <w:rPr>
                <w:rFonts w:ascii="Arial" w:hAnsi="Arial"/>
                <w:u w:val="none"/>
              </w:rPr>
              <w:t>Contact/</w:t>
            </w:r>
            <w:r w:rsidR="00FC04A2">
              <w:rPr>
                <w:rFonts w:ascii="Arial" w:hAnsi="Arial"/>
                <w:u w:val="none"/>
              </w:rPr>
              <w:t>Tel</w:t>
            </w:r>
          </w:p>
        </w:tc>
      </w:tr>
      <w:tr w:rsidR="000F7BDB" w14:paraId="1A409938" w14:textId="77777777">
        <w:tc>
          <w:tcPr>
            <w:tcW w:w="3227" w:type="dxa"/>
          </w:tcPr>
          <w:p w14:paraId="3718F655" w14:textId="77777777" w:rsidR="00E5514B" w:rsidRDefault="00E5514B" w:rsidP="00CB2E9A">
            <w:pPr>
              <w:pStyle w:val="Heading7"/>
              <w:ind w:left="-108"/>
              <w:rPr>
                <w:rFonts w:ascii="Arial" w:hAnsi="Arial"/>
              </w:rPr>
            </w:pPr>
          </w:p>
          <w:p w14:paraId="53AEEB20" w14:textId="77777777" w:rsidR="00E5514B" w:rsidRDefault="00AD0816" w:rsidP="00CB2E9A">
            <w:pPr>
              <w:ind w:left="-108"/>
            </w:pPr>
            <w:r>
              <w:t>None</w:t>
            </w:r>
          </w:p>
        </w:tc>
        <w:tc>
          <w:tcPr>
            <w:tcW w:w="2775" w:type="dxa"/>
          </w:tcPr>
          <w:p w14:paraId="787F1911" w14:textId="77777777" w:rsidR="00E5514B" w:rsidRDefault="00E5514B">
            <w:pPr>
              <w:pStyle w:val="Heading7"/>
              <w:rPr>
                <w:rFonts w:ascii="Arial" w:hAnsi="Arial"/>
              </w:rPr>
            </w:pPr>
          </w:p>
          <w:p w14:paraId="3EF19757" w14:textId="77777777" w:rsidR="00E5514B" w:rsidRDefault="00E5514B"/>
        </w:tc>
        <w:tc>
          <w:tcPr>
            <w:tcW w:w="3178" w:type="dxa"/>
          </w:tcPr>
          <w:p w14:paraId="5547A950" w14:textId="77777777" w:rsidR="00E5514B" w:rsidRDefault="00E5514B">
            <w:pPr>
              <w:rPr>
                <w:u w:val="single"/>
              </w:rPr>
            </w:pPr>
          </w:p>
          <w:p w14:paraId="3937518E" w14:textId="77777777" w:rsidR="00E5514B" w:rsidRDefault="00AD0816">
            <w:r>
              <w:t xml:space="preserve"> </w:t>
            </w:r>
          </w:p>
        </w:tc>
      </w:tr>
      <w:tr w:rsidR="000F7BDB" w14:paraId="48537E71" w14:textId="77777777">
        <w:tc>
          <w:tcPr>
            <w:tcW w:w="9180" w:type="dxa"/>
            <w:gridSpan w:val="3"/>
          </w:tcPr>
          <w:p w14:paraId="3B42AAA6" w14:textId="77777777" w:rsidR="00E5514B" w:rsidRDefault="00E5514B" w:rsidP="00CB2E9A">
            <w:pPr>
              <w:pStyle w:val="Heading7"/>
              <w:ind w:left="-108"/>
              <w:rPr>
                <w:rFonts w:ascii="Arial" w:hAnsi="Arial"/>
                <w:u w:val="none"/>
              </w:rPr>
            </w:pPr>
          </w:p>
          <w:p w14:paraId="079969B7" w14:textId="77777777" w:rsidR="00E5514B" w:rsidRDefault="00AD0816" w:rsidP="00CB2E9A">
            <w:pPr>
              <w:pStyle w:val="Heading7"/>
              <w:ind w:left="-108"/>
              <w:rPr>
                <w:rFonts w:ascii="Arial" w:hAnsi="Arial"/>
                <w:u w:val="none"/>
              </w:rPr>
            </w:pPr>
            <w:r>
              <w:rPr>
                <w:rFonts w:ascii="Arial" w:hAnsi="Arial"/>
                <w:u w:val="none"/>
              </w:rPr>
              <w:t>Reason for inclusion in Part II, if appropriate</w:t>
            </w:r>
          </w:p>
          <w:p w14:paraId="237948EE" w14:textId="77777777" w:rsidR="00E5514B" w:rsidRDefault="00E5514B" w:rsidP="00CB2E9A">
            <w:pPr>
              <w:ind w:left="-108"/>
            </w:pPr>
          </w:p>
          <w:p w14:paraId="7EEF95D1" w14:textId="77777777" w:rsidR="00E5514B" w:rsidRDefault="00AD0816" w:rsidP="00CB2E9A">
            <w:pPr>
              <w:autoSpaceDE w:val="0"/>
              <w:autoSpaceDN w:val="0"/>
              <w:adjustRightInd w:val="0"/>
              <w:ind w:left="-108"/>
              <w:contextualSpacing/>
              <w:jc w:val="both"/>
            </w:pPr>
            <w:r>
              <w:rPr>
                <w:rFonts w:cs="Arial"/>
                <w:iCs/>
                <w:szCs w:val="24"/>
              </w:rPr>
              <w:t xml:space="preserve">Appendix 'A' - Exempt information as defined in Paragraph 3 of Part 1 of Schedule 12A to the Local Government Act 1972. Appendix 'A' contains </w:t>
            </w:r>
            <w:r>
              <w:rPr>
                <w:rFonts w:cs="Arial"/>
                <w:szCs w:val="24"/>
              </w:rPr>
              <w:t xml:space="preserve">information </w:t>
            </w:r>
            <w:r>
              <w:rPr>
                <w:rFonts w:cs="Arial"/>
                <w:iCs/>
                <w:color w:val="000000"/>
                <w:szCs w:val="24"/>
              </w:rPr>
              <w:t>relating to</w:t>
            </w:r>
            <w:r>
              <w:rPr>
                <w:rFonts w:cs="Arial"/>
                <w:iCs/>
                <w:szCs w:val="24"/>
              </w:rPr>
              <w:t xml:space="preserve"> the financial or business affairs of any </w:t>
            </w:r>
            <w:proofErr w:type="gramStart"/>
            <w:r>
              <w:rPr>
                <w:rFonts w:cs="Arial"/>
                <w:iCs/>
                <w:szCs w:val="24"/>
              </w:rPr>
              <w:t>particular person</w:t>
            </w:r>
            <w:proofErr w:type="gramEnd"/>
            <w:r>
              <w:rPr>
                <w:rFonts w:cs="Arial"/>
                <w:iCs/>
                <w:szCs w:val="24"/>
              </w:rPr>
              <w:t xml:space="preserve"> (including the authority holding that information). It is considered that in all the circumstances of the case the public interest in maintaining the exemption outweighs the public interest in disclosing the information.</w:t>
            </w:r>
          </w:p>
        </w:tc>
      </w:tr>
    </w:tbl>
    <w:p w14:paraId="46269748" w14:textId="77777777" w:rsidR="00E5514B" w:rsidRDefault="00E5514B"/>
    <w:p w14:paraId="51868404" w14:textId="77777777" w:rsidR="00401E99" w:rsidRDefault="00401E99"/>
    <w:p w14:paraId="308365A5" w14:textId="77777777" w:rsidR="00401E99" w:rsidRDefault="00401E99"/>
    <w:p w14:paraId="3BDF3CC4" w14:textId="77777777" w:rsidR="00401E99" w:rsidRDefault="00401E99"/>
    <w:p w14:paraId="7E2AEC2A" w14:textId="77777777" w:rsidR="00401E99" w:rsidRDefault="00401E99"/>
    <w:sectPr w:rsidR="00401E99" w:rsidSect="000F5AB6">
      <w:footerReference w:type="default" r:id="rId8"/>
      <w:headerReference w:type="first" r:id="rId9"/>
      <w:footerReference w:type="first" r:id="rId10"/>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8FA8" w14:textId="77777777" w:rsidR="00414046" w:rsidRDefault="00AD0816">
      <w:r>
        <w:separator/>
      </w:r>
    </w:p>
  </w:endnote>
  <w:endnote w:type="continuationSeparator" w:id="0">
    <w:p w14:paraId="7AFE3FA6" w14:textId="77777777" w:rsidR="00414046" w:rsidRDefault="00AD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F7BDB" w14:paraId="27BF0AC7" w14:textId="77777777">
      <w:tc>
        <w:tcPr>
          <w:tcW w:w="9243" w:type="dxa"/>
          <w:tcBorders>
            <w:top w:val="nil"/>
            <w:left w:val="nil"/>
            <w:bottom w:val="nil"/>
            <w:right w:val="nil"/>
          </w:tcBorders>
        </w:tcPr>
        <w:p w14:paraId="5BE97F21" w14:textId="77777777" w:rsidR="00DF043B" w:rsidRDefault="00AD0816">
          <w:pPr>
            <w:pStyle w:val="Footer"/>
            <w:tabs>
              <w:tab w:val="clear" w:pos="4153"/>
            </w:tabs>
            <w:ind w:right="-45"/>
            <w:jc w:val="right"/>
          </w:pPr>
          <w:r>
            <w:rPr>
              <w:noProof/>
            </w:rPr>
            <w:drawing>
              <wp:anchor distT="0" distB="0" distL="114300" distR="114300" simplePos="0" relativeHeight="251658240" behindDoc="1" locked="0" layoutInCell="1" allowOverlap="1" wp14:anchorId="30F97E5D" wp14:editId="6E71770C">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6790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0D3C72" w14:textId="77777777" w:rsidR="00DF043B" w:rsidRDefault="00AD0816">
    <w:pPr>
      <w:pStyle w:val="Footer"/>
      <w:tabs>
        <w:tab w:val="clear" w:pos="4153"/>
      </w:tabs>
      <w:ind w:right="-45"/>
      <w:jc w:val="right"/>
      <w:rPr>
        <w:sz w:val="16"/>
      </w:rPr>
    </w:pPr>
    <w:r>
      <w:rPr>
        <w:noProof/>
      </w:rPr>
      <w:drawing>
        <wp:anchor distT="0" distB="0" distL="114300" distR="114300" simplePos="0" relativeHeight="251661312" behindDoc="1" locked="0" layoutInCell="1" allowOverlap="1" wp14:anchorId="11F0E938" wp14:editId="622FC582">
          <wp:simplePos x="0" y="0"/>
          <wp:positionH relativeFrom="column">
            <wp:posOffset>-914400</wp:posOffset>
          </wp:positionH>
          <wp:positionV relativeFrom="paragraph">
            <wp:posOffset>-328930</wp:posOffset>
          </wp:positionV>
          <wp:extent cx="7548245" cy="62103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3704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F7BDB" w14:paraId="0C570CDD" w14:textId="77777777">
      <w:tc>
        <w:tcPr>
          <w:tcW w:w="9243" w:type="dxa"/>
          <w:tcBorders>
            <w:top w:val="nil"/>
            <w:left w:val="nil"/>
            <w:bottom w:val="nil"/>
            <w:right w:val="nil"/>
          </w:tcBorders>
        </w:tcPr>
        <w:p w14:paraId="059A5261" w14:textId="77777777" w:rsidR="0036487C" w:rsidRDefault="0036487C" w:rsidP="004D419B">
          <w:pPr>
            <w:pStyle w:val="Footer"/>
            <w:tabs>
              <w:tab w:val="clear" w:pos="4153"/>
            </w:tabs>
            <w:ind w:right="-45"/>
            <w:jc w:val="right"/>
          </w:pPr>
        </w:p>
      </w:tc>
    </w:tr>
  </w:tbl>
  <w:p w14:paraId="0295218D" w14:textId="77777777" w:rsidR="00DF043B" w:rsidRPr="0036487C" w:rsidRDefault="00AD0816" w:rsidP="0036487C">
    <w:pPr>
      <w:pStyle w:val="Footer"/>
    </w:pPr>
    <w:r>
      <w:rPr>
        <w:noProof/>
      </w:rPr>
      <w:drawing>
        <wp:anchor distT="0" distB="0" distL="114300" distR="114300" simplePos="0" relativeHeight="251659264" behindDoc="1" locked="0" layoutInCell="1" allowOverlap="1" wp14:anchorId="044A533A" wp14:editId="32678AF3">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8234"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F39A" w14:textId="77777777" w:rsidR="00414046" w:rsidRDefault="00AD0816">
      <w:r>
        <w:separator/>
      </w:r>
    </w:p>
  </w:footnote>
  <w:footnote w:type="continuationSeparator" w:id="0">
    <w:p w14:paraId="4E13A93D" w14:textId="77777777" w:rsidR="00414046" w:rsidRDefault="00AD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615F" w14:textId="77777777" w:rsidR="00841033" w:rsidRDefault="00AD0816">
    <w:pPr>
      <w:pStyle w:val="Header"/>
    </w:pPr>
    <w:r>
      <w:rPr>
        <w:noProof/>
      </w:rPr>
      <w:drawing>
        <wp:anchor distT="0" distB="0" distL="114300" distR="114300" simplePos="0" relativeHeight="251660288" behindDoc="1" locked="0" layoutInCell="1" allowOverlap="1" wp14:anchorId="5DB906F5" wp14:editId="1E4CD313">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891266"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515" cy="2004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22A4"/>
    <w:multiLevelType w:val="hybridMultilevel"/>
    <w:tmpl w:val="6F966786"/>
    <w:lvl w:ilvl="0" w:tplc="CE3C8B50">
      <w:start w:val="1"/>
      <w:numFmt w:val="bullet"/>
      <w:lvlText w:val=""/>
      <w:lvlJc w:val="left"/>
      <w:pPr>
        <w:ind w:left="720" w:hanging="360"/>
      </w:pPr>
      <w:rPr>
        <w:rFonts w:ascii="Symbol" w:hAnsi="Symbol" w:hint="default"/>
      </w:rPr>
    </w:lvl>
    <w:lvl w:ilvl="1" w:tplc="FEEEA506" w:tentative="1">
      <w:start w:val="1"/>
      <w:numFmt w:val="bullet"/>
      <w:lvlText w:val="o"/>
      <w:lvlJc w:val="left"/>
      <w:pPr>
        <w:ind w:left="1440" w:hanging="360"/>
      </w:pPr>
      <w:rPr>
        <w:rFonts w:ascii="Courier New" w:hAnsi="Courier New" w:cs="Courier New" w:hint="default"/>
      </w:rPr>
    </w:lvl>
    <w:lvl w:ilvl="2" w:tplc="649631B8" w:tentative="1">
      <w:start w:val="1"/>
      <w:numFmt w:val="bullet"/>
      <w:lvlText w:val=""/>
      <w:lvlJc w:val="left"/>
      <w:pPr>
        <w:ind w:left="2160" w:hanging="360"/>
      </w:pPr>
      <w:rPr>
        <w:rFonts w:ascii="Wingdings" w:hAnsi="Wingdings" w:hint="default"/>
      </w:rPr>
    </w:lvl>
    <w:lvl w:ilvl="3" w:tplc="EA5440F8" w:tentative="1">
      <w:start w:val="1"/>
      <w:numFmt w:val="bullet"/>
      <w:lvlText w:val=""/>
      <w:lvlJc w:val="left"/>
      <w:pPr>
        <w:ind w:left="2880" w:hanging="360"/>
      </w:pPr>
      <w:rPr>
        <w:rFonts w:ascii="Symbol" w:hAnsi="Symbol" w:hint="default"/>
      </w:rPr>
    </w:lvl>
    <w:lvl w:ilvl="4" w:tplc="DEB6A3B6" w:tentative="1">
      <w:start w:val="1"/>
      <w:numFmt w:val="bullet"/>
      <w:lvlText w:val="o"/>
      <w:lvlJc w:val="left"/>
      <w:pPr>
        <w:ind w:left="3600" w:hanging="360"/>
      </w:pPr>
      <w:rPr>
        <w:rFonts w:ascii="Courier New" w:hAnsi="Courier New" w:cs="Courier New" w:hint="default"/>
      </w:rPr>
    </w:lvl>
    <w:lvl w:ilvl="5" w:tplc="15D28118" w:tentative="1">
      <w:start w:val="1"/>
      <w:numFmt w:val="bullet"/>
      <w:lvlText w:val=""/>
      <w:lvlJc w:val="left"/>
      <w:pPr>
        <w:ind w:left="4320" w:hanging="360"/>
      </w:pPr>
      <w:rPr>
        <w:rFonts w:ascii="Wingdings" w:hAnsi="Wingdings" w:hint="default"/>
      </w:rPr>
    </w:lvl>
    <w:lvl w:ilvl="6" w:tplc="087AA942" w:tentative="1">
      <w:start w:val="1"/>
      <w:numFmt w:val="bullet"/>
      <w:lvlText w:val=""/>
      <w:lvlJc w:val="left"/>
      <w:pPr>
        <w:ind w:left="5040" w:hanging="360"/>
      </w:pPr>
      <w:rPr>
        <w:rFonts w:ascii="Symbol" w:hAnsi="Symbol" w:hint="default"/>
      </w:rPr>
    </w:lvl>
    <w:lvl w:ilvl="7" w:tplc="CFFE01C0" w:tentative="1">
      <w:start w:val="1"/>
      <w:numFmt w:val="bullet"/>
      <w:lvlText w:val="o"/>
      <w:lvlJc w:val="left"/>
      <w:pPr>
        <w:ind w:left="5760" w:hanging="360"/>
      </w:pPr>
      <w:rPr>
        <w:rFonts w:ascii="Courier New" w:hAnsi="Courier New" w:cs="Courier New" w:hint="default"/>
      </w:rPr>
    </w:lvl>
    <w:lvl w:ilvl="8" w:tplc="786C27CA" w:tentative="1">
      <w:start w:val="1"/>
      <w:numFmt w:val="bullet"/>
      <w:lvlText w:val=""/>
      <w:lvlJc w:val="left"/>
      <w:pPr>
        <w:ind w:left="6480" w:hanging="360"/>
      </w:pPr>
      <w:rPr>
        <w:rFonts w:ascii="Wingdings" w:hAnsi="Wingdings" w:hint="default"/>
      </w:rPr>
    </w:lvl>
  </w:abstractNum>
  <w:abstractNum w:abstractNumId="1" w15:restartNumberingAfterBreak="0">
    <w:nsid w:val="43C47AD1"/>
    <w:multiLevelType w:val="hybridMultilevel"/>
    <w:tmpl w:val="C7942454"/>
    <w:lvl w:ilvl="0" w:tplc="4EF20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66249"/>
    <w:multiLevelType w:val="hybridMultilevel"/>
    <w:tmpl w:val="E63657C6"/>
    <w:lvl w:ilvl="0" w:tplc="DC868FD8">
      <w:start w:val="1"/>
      <w:numFmt w:val="lowerRoman"/>
      <w:lvlText w:val="(%1)"/>
      <w:lvlJc w:val="left"/>
      <w:pPr>
        <w:ind w:left="720" w:hanging="360"/>
      </w:pPr>
      <w:rPr>
        <w:rFonts w:hint="default"/>
      </w:rPr>
    </w:lvl>
    <w:lvl w:ilvl="1" w:tplc="D370F716" w:tentative="1">
      <w:start w:val="1"/>
      <w:numFmt w:val="lowerLetter"/>
      <w:lvlText w:val="%2."/>
      <w:lvlJc w:val="left"/>
      <w:pPr>
        <w:ind w:left="1440" w:hanging="360"/>
      </w:pPr>
    </w:lvl>
    <w:lvl w:ilvl="2" w:tplc="BB2AF25A" w:tentative="1">
      <w:start w:val="1"/>
      <w:numFmt w:val="lowerRoman"/>
      <w:lvlText w:val="%3."/>
      <w:lvlJc w:val="right"/>
      <w:pPr>
        <w:ind w:left="2160" w:hanging="180"/>
      </w:pPr>
    </w:lvl>
    <w:lvl w:ilvl="3" w:tplc="ED880D60" w:tentative="1">
      <w:start w:val="1"/>
      <w:numFmt w:val="decimal"/>
      <w:lvlText w:val="%4."/>
      <w:lvlJc w:val="left"/>
      <w:pPr>
        <w:ind w:left="2880" w:hanging="360"/>
      </w:pPr>
    </w:lvl>
    <w:lvl w:ilvl="4" w:tplc="9BDCCD2A" w:tentative="1">
      <w:start w:val="1"/>
      <w:numFmt w:val="lowerLetter"/>
      <w:lvlText w:val="%5."/>
      <w:lvlJc w:val="left"/>
      <w:pPr>
        <w:ind w:left="3600" w:hanging="360"/>
      </w:pPr>
    </w:lvl>
    <w:lvl w:ilvl="5" w:tplc="72FA5192" w:tentative="1">
      <w:start w:val="1"/>
      <w:numFmt w:val="lowerRoman"/>
      <w:lvlText w:val="%6."/>
      <w:lvlJc w:val="right"/>
      <w:pPr>
        <w:ind w:left="4320" w:hanging="180"/>
      </w:pPr>
    </w:lvl>
    <w:lvl w:ilvl="6" w:tplc="C952C8C2" w:tentative="1">
      <w:start w:val="1"/>
      <w:numFmt w:val="decimal"/>
      <w:lvlText w:val="%7."/>
      <w:lvlJc w:val="left"/>
      <w:pPr>
        <w:ind w:left="5040" w:hanging="360"/>
      </w:pPr>
    </w:lvl>
    <w:lvl w:ilvl="7" w:tplc="5BCADF3A" w:tentative="1">
      <w:start w:val="1"/>
      <w:numFmt w:val="lowerLetter"/>
      <w:lvlText w:val="%8."/>
      <w:lvlJc w:val="left"/>
      <w:pPr>
        <w:ind w:left="5760" w:hanging="360"/>
      </w:pPr>
    </w:lvl>
    <w:lvl w:ilvl="8" w:tplc="66A8D61A"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15D06"/>
    <w:rsid w:val="00035394"/>
    <w:rsid w:val="00035AD8"/>
    <w:rsid w:val="0005633D"/>
    <w:rsid w:val="00083F4F"/>
    <w:rsid w:val="00092B2F"/>
    <w:rsid w:val="000955FB"/>
    <w:rsid w:val="000E24D7"/>
    <w:rsid w:val="000F1303"/>
    <w:rsid w:val="000F5AB6"/>
    <w:rsid w:val="000F6EDF"/>
    <w:rsid w:val="000F7BDB"/>
    <w:rsid w:val="00136344"/>
    <w:rsid w:val="001578EE"/>
    <w:rsid w:val="00192EE0"/>
    <w:rsid w:val="00193B8F"/>
    <w:rsid w:val="001954FF"/>
    <w:rsid w:val="001A3AC7"/>
    <w:rsid w:val="001A5AA9"/>
    <w:rsid w:val="001B69BC"/>
    <w:rsid w:val="001F5441"/>
    <w:rsid w:val="00226D77"/>
    <w:rsid w:val="00245237"/>
    <w:rsid w:val="002A44DA"/>
    <w:rsid w:val="002B01EB"/>
    <w:rsid w:val="002B4700"/>
    <w:rsid w:val="002B7F8E"/>
    <w:rsid w:val="00302223"/>
    <w:rsid w:val="003209AD"/>
    <w:rsid w:val="003254F5"/>
    <w:rsid w:val="0036387E"/>
    <w:rsid w:val="0036487C"/>
    <w:rsid w:val="003673AB"/>
    <w:rsid w:val="00372CCD"/>
    <w:rsid w:val="003A0AFD"/>
    <w:rsid w:val="003C4E6B"/>
    <w:rsid w:val="003D5983"/>
    <w:rsid w:val="003D651A"/>
    <w:rsid w:val="003F4F4E"/>
    <w:rsid w:val="00401E99"/>
    <w:rsid w:val="00414046"/>
    <w:rsid w:val="004227B7"/>
    <w:rsid w:val="004305C0"/>
    <w:rsid w:val="0048685D"/>
    <w:rsid w:val="00492A91"/>
    <w:rsid w:val="004B0C65"/>
    <w:rsid w:val="004B4931"/>
    <w:rsid w:val="004D419B"/>
    <w:rsid w:val="004E138E"/>
    <w:rsid w:val="004E54CA"/>
    <w:rsid w:val="004F0E44"/>
    <w:rsid w:val="005058AE"/>
    <w:rsid w:val="00525A8D"/>
    <w:rsid w:val="00563D9E"/>
    <w:rsid w:val="0058034B"/>
    <w:rsid w:val="005A217A"/>
    <w:rsid w:val="005B5F15"/>
    <w:rsid w:val="005D54B4"/>
    <w:rsid w:val="0060036F"/>
    <w:rsid w:val="00600F84"/>
    <w:rsid w:val="0061354A"/>
    <w:rsid w:val="00626F7D"/>
    <w:rsid w:val="00655131"/>
    <w:rsid w:val="00670BC1"/>
    <w:rsid w:val="006F0238"/>
    <w:rsid w:val="00701D64"/>
    <w:rsid w:val="00707981"/>
    <w:rsid w:val="00777E5E"/>
    <w:rsid w:val="00782B20"/>
    <w:rsid w:val="007B3059"/>
    <w:rsid w:val="007B3E83"/>
    <w:rsid w:val="007B5200"/>
    <w:rsid w:val="00841033"/>
    <w:rsid w:val="00846540"/>
    <w:rsid w:val="00864579"/>
    <w:rsid w:val="0088697C"/>
    <w:rsid w:val="008B0D7D"/>
    <w:rsid w:val="008B1D24"/>
    <w:rsid w:val="008D176B"/>
    <w:rsid w:val="008E3BC3"/>
    <w:rsid w:val="00911715"/>
    <w:rsid w:val="00940DA5"/>
    <w:rsid w:val="009E4DBA"/>
    <w:rsid w:val="00A16C21"/>
    <w:rsid w:val="00A2745C"/>
    <w:rsid w:val="00A71CC6"/>
    <w:rsid w:val="00A828E3"/>
    <w:rsid w:val="00A97289"/>
    <w:rsid w:val="00AD0816"/>
    <w:rsid w:val="00AE2DB8"/>
    <w:rsid w:val="00AE4BA8"/>
    <w:rsid w:val="00AF3C5C"/>
    <w:rsid w:val="00B51A14"/>
    <w:rsid w:val="00B52950"/>
    <w:rsid w:val="00B56AD1"/>
    <w:rsid w:val="00B85E48"/>
    <w:rsid w:val="00BA5465"/>
    <w:rsid w:val="00BC6390"/>
    <w:rsid w:val="00BD1F4E"/>
    <w:rsid w:val="00BE239A"/>
    <w:rsid w:val="00BF36A4"/>
    <w:rsid w:val="00BF6E79"/>
    <w:rsid w:val="00C10693"/>
    <w:rsid w:val="00C22C1C"/>
    <w:rsid w:val="00C34DF0"/>
    <w:rsid w:val="00C45BF7"/>
    <w:rsid w:val="00C520A5"/>
    <w:rsid w:val="00C5457F"/>
    <w:rsid w:val="00C743B0"/>
    <w:rsid w:val="00CB2E9A"/>
    <w:rsid w:val="00CC567C"/>
    <w:rsid w:val="00CE2C12"/>
    <w:rsid w:val="00CF7BC0"/>
    <w:rsid w:val="00D002CC"/>
    <w:rsid w:val="00D516A7"/>
    <w:rsid w:val="00D648E4"/>
    <w:rsid w:val="00D7521D"/>
    <w:rsid w:val="00D7557F"/>
    <w:rsid w:val="00D910B4"/>
    <w:rsid w:val="00DA6F1A"/>
    <w:rsid w:val="00DC5683"/>
    <w:rsid w:val="00DE0BB2"/>
    <w:rsid w:val="00DF043B"/>
    <w:rsid w:val="00DF2594"/>
    <w:rsid w:val="00E20250"/>
    <w:rsid w:val="00E22B82"/>
    <w:rsid w:val="00E5006F"/>
    <w:rsid w:val="00E5514B"/>
    <w:rsid w:val="00F448FE"/>
    <w:rsid w:val="00F56C53"/>
    <w:rsid w:val="00F57435"/>
    <w:rsid w:val="00FB0AA1"/>
    <w:rsid w:val="00FB0C96"/>
    <w:rsid w:val="00FC04A2"/>
    <w:rsid w:val="00FD59A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2AAC"/>
  <w15:chartTrackingRefBased/>
  <w15:docId w15:val="{C8EA883C-CECB-4086-A8D8-0B9FE133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7289"/>
    <w:rPr>
      <w:color w:val="0563C1"/>
      <w:u w:val="single"/>
    </w:rPr>
  </w:style>
  <w:style w:type="character" w:customStyle="1" w:styleId="UnresolvedMention1">
    <w:name w:val="Unresolved Mention1"/>
    <w:uiPriority w:val="99"/>
    <w:semiHidden/>
    <w:unhideWhenUsed/>
    <w:rsid w:val="00A97289"/>
    <w:rPr>
      <w:color w:val="605E5C"/>
      <w:shd w:val="clear" w:color="auto" w:fill="E1DFDD"/>
    </w:rPr>
  </w:style>
  <w:style w:type="paragraph" w:customStyle="1" w:styleId="Default">
    <w:name w:val="Default"/>
    <w:rsid w:val="00A972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7289"/>
    <w:pPr>
      <w:ind w:left="720"/>
    </w:pPr>
  </w:style>
  <w:style w:type="character" w:styleId="CommentReference">
    <w:name w:val="annotation reference"/>
    <w:uiPriority w:val="99"/>
    <w:semiHidden/>
    <w:unhideWhenUsed/>
    <w:rsid w:val="002B4700"/>
    <w:rPr>
      <w:sz w:val="16"/>
      <w:szCs w:val="16"/>
    </w:rPr>
  </w:style>
  <w:style w:type="paragraph" w:styleId="CommentText">
    <w:name w:val="annotation text"/>
    <w:basedOn w:val="Normal"/>
    <w:link w:val="CommentTextChar"/>
    <w:uiPriority w:val="99"/>
    <w:semiHidden/>
    <w:unhideWhenUsed/>
    <w:rsid w:val="002B4700"/>
    <w:rPr>
      <w:sz w:val="20"/>
    </w:rPr>
  </w:style>
  <w:style w:type="character" w:customStyle="1" w:styleId="CommentTextChar">
    <w:name w:val="Comment Text Char"/>
    <w:link w:val="CommentText"/>
    <w:uiPriority w:val="99"/>
    <w:semiHidden/>
    <w:rsid w:val="002B4700"/>
    <w:rPr>
      <w:rFonts w:ascii="Arial" w:hAnsi="Arial"/>
    </w:rPr>
  </w:style>
  <w:style w:type="paragraph" w:styleId="CommentSubject">
    <w:name w:val="annotation subject"/>
    <w:basedOn w:val="CommentText"/>
    <w:next w:val="CommentText"/>
    <w:link w:val="CommentSubjectChar"/>
    <w:uiPriority w:val="99"/>
    <w:semiHidden/>
    <w:unhideWhenUsed/>
    <w:rsid w:val="002B4700"/>
    <w:rPr>
      <w:b/>
      <w:bCs/>
    </w:rPr>
  </w:style>
  <w:style w:type="character" w:customStyle="1" w:styleId="CommentSubjectChar">
    <w:name w:val="Comment Subject Char"/>
    <w:link w:val="CommentSubject"/>
    <w:uiPriority w:val="99"/>
    <w:semiHidden/>
    <w:rsid w:val="002B4700"/>
    <w:rPr>
      <w:rFonts w:ascii="Arial" w:hAnsi="Arial"/>
      <w:b/>
      <w:bCs/>
    </w:rPr>
  </w:style>
  <w:style w:type="paragraph" w:styleId="Revision">
    <w:name w:val="Revision"/>
    <w:hidden/>
    <w:uiPriority w:val="99"/>
    <w:semiHidden/>
    <w:rsid w:val="0061354A"/>
    <w:rPr>
      <w:rFonts w:ascii="Arial" w:hAnsi="Arial"/>
      <w:sz w:val="24"/>
    </w:rPr>
  </w:style>
  <w:style w:type="character" w:customStyle="1" w:styleId="UnresolvedMention2">
    <w:name w:val="Unresolved Mention2"/>
    <w:basedOn w:val="DefaultParagraphFont"/>
    <w:uiPriority w:val="99"/>
    <w:rsid w:val="00BF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84E1-45F5-4A8E-8A3B-7F78F55B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80</TotalTime>
  <Pages>6</Pages>
  <Words>1705</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Peppin, Michael</dc:creator>
  <cp:lastModifiedBy>Alker, Craig</cp:lastModifiedBy>
  <cp:revision>11</cp:revision>
  <cp:lastPrinted>2002-06-26T11:27:00Z</cp:lastPrinted>
  <dcterms:created xsi:type="dcterms:W3CDTF">2023-01-18T19:01:00Z</dcterms:created>
  <dcterms:modified xsi:type="dcterms:W3CDTF">2023-01-20T15:34:00Z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Capital Strategy for Schools – Condition Led Capital Investment Programme 2023/24</vt:lpwstr>
  </property>
  <property fmtid="{D5CDD505-2E9C-101B-9397-08002B2CF9AE}" pid="5" name="LeadDirector">
    <vt:lpwstr>Director of Strategy and Performance</vt:lpwstr>
  </property>
  <property fmtid="{D5CDD505-2E9C-101B-9397-08002B2CF9AE}" pid="6" name="LeadOfficer">
    <vt:lpwstr>Michael Peppin, Simon Smith</vt:lpwstr>
  </property>
  <property fmtid="{D5CDD505-2E9C-101B-9397-08002B2CF9AE}" pid="7" name="LeadOfficerEmail">
    <vt:lpwstr>michael.peppin@lancashire.gov.uk, simon.smith@lancashire.gov.uk</vt:lpwstr>
  </property>
  <property fmtid="{D5CDD505-2E9C-101B-9397-08002B2CF9AE}" pid="8" name="LeadOfficerTel">
    <vt:lpwstr>Tel: 01772 535467</vt:lpwstr>
  </property>
  <property fmtid="{D5CDD505-2E9C-101B-9397-08002B2CF9AE}" pid="9" name="MeetingDate">
    <vt:lpwstr>Thursday, 2 February 2023</vt:lpwstr>
  </property>
  <property fmtid="{D5CDD505-2E9C-101B-9397-08002B2CF9AE}" pid="10" name="priority">
    <vt:lpwstr>Delivering better services;</vt:lpwstr>
  </property>
  <property fmtid="{D5CDD505-2E9C-101B-9397-08002B2CF9AE}" pid="11" name="Wards">
    <vt:lpwstr>(All Divisions);</vt:lpwstr>
  </property>
</Properties>
</file>