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F69" w:rsidRDefault="00F863F2" w:rsidP="00F863F2">
      <w:pPr>
        <w:rPr>
          <w:b/>
        </w:rPr>
      </w:pPr>
      <w:r>
        <w:rPr>
          <w:b/>
        </w:rPr>
        <w:t>Cabinet Committee on Perfo</w:t>
      </w:r>
      <w:r w:rsidR="00241DD7">
        <w:rPr>
          <w:b/>
        </w:rPr>
        <w:t>rmance Improvement</w:t>
      </w:r>
    </w:p>
    <w:p w:rsidR="00F863F2" w:rsidRDefault="00F02C19" w:rsidP="00F863F2">
      <w:pPr>
        <w:rPr>
          <w:b/>
        </w:rPr>
      </w:pPr>
      <w:r>
        <w:rPr>
          <w:b/>
        </w:rPr>
        <w:t>10</w:t>
      </w:r>
      <w:r w:rsidR="000E6E79">
        <w:rPr>
          <w:b/>
        </w:rPr>
        <w:t xml:space="preserve"> </w:t>
      </w:r>
      <w:r>
        <w:rPr>
          <w:b/>
        </w:rPr>
        <w:t>December</w:t>
      </w:r>
      <w:r w:rsidR="00304A47">
        <w:rPr>
          <w:b/>
        </w:rPr>
        <w:t xml:space="preserve"> </w:t>
      </w:r>
      <w:r w:rsidR="00D64F69">
        <w:rPr>
          <w:b/>
        </w:rPr>
        <w:t>201</w:t>
      </w:r>
      <w:r w:rsidR="000E6E79">
        <w:rPr>
          <w:b/>
        </w:rPr>
        <w:t>5</w:t>
      </w:r>
    </w:p>
    <w:p w:rsidR="00F863F2" w:rsidRDefault="00F863F2" w:rsidP="00F863F2"/>
    <w:p w:rsidR="00F863F2" w:rsidRDefault="00826154" w:rsidP="00F863F2">
      <w:pPr>
        <w:rPr>
          <w:b/>
        </w:rPr>
      </w:pPr>
      <w:r>
        <w:rPr>
          <w:b/>
        </w:rPr>
        <w:t>Report of the Chief Executive</w:t>
      </w:r>
    </w:p>
    <w:p w:rsidR="003E6A45" w:rsidRDefault="003E6A45">
      <w:pPr>
        <w:pStyle w:val="arial11"/>
      </w:pP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</w:tblGrid>
      <w:tr w:rsidR="003E6A45">
        <w:tc>
          <w:tcPr>
            <w:tcW w:w="3260" w:type="dxa"/>
          </w:tcPr>
          <w:p w:rsidR="003E6A45" w:rsidRDefault="003E6A45" w:rsidP="00541605">
            <w:r>
              <w:rPr>
                <w:b/>
                <w:sz w:val="28"/>
              </w:rPr>
              <w:t xml:space="preserve">Part </w:t>
            </w:r>
            <w:r w:rsidR="00F863F2">
              <w:rPr>
                <w:b/>
                <w:sz w:val="28"/>
              </w:rPr>
              <w:t xml:space="preserve">I </w:t>
            </w:r>
            <w:bookmarkStart w:id="0" w:name="_GoBack"/>
            <w:bookmarkEnd w:id="0"/>
          </w:p>
        </w:tc>
      </w:tr>
    </w:tbl>
    <w:p w:rsidR="003E6A45" w:rsidRDefault="003E6A45"/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</w:tblGrid>
      <w:tr w:rsidR="003E6A45">
        <w:tc>
          <w:tcPr>
            <w:tcW w:w="3260" w:type="dxa"/>
          </w:tcPr>
          <w:p w:rsidR="003E6A45" w:rsidRDefault="003E6A45">
            <w:pPr>
              <w:pStyle w:val="BodyText"/>
            </w:pPr>
            <w:r>
              <w:t>Electoral Division affected:</w:t>
            </w:r>
          </w:p>
          <w:p w:rsidR="003E6A45" w:rsidRPr="00F863F2" w:rsidRDefault="00F863F2">
            <w:r w:rsidRPr="00F863F2">
              <w:t>All</w:t>
            </w:r>
          </w:p>
        </w:tc>
      </w:tr>
    </w:tbl>
    <w:p w:rsidR="003E6A45" w:rsidRDefault="003E6A45">
      <w:pPr>
        <w:rPr>
          <w:u w:val="single"/>
        </w:rPr>
      </w:pPr>
    </w:p>
    <w:p w:rsidR="00F863F2" w:rsidRDefault="00AA7963" w:rsidP="00F863F2">
      <w:pPr>
        <w:rPr>
          <w:b/>
        </w:rPr>
      </w:pPr>
      <w:r>
        <w:rPr>
          <w:b/>
        </w:rPr>
        <w:t xml:space="preserve">Corporate </w:t>
      </w:r>
      <w:r w:rsidR="00CB7827">
        <w:rPr>
          <w:b/>
        </w:rPr>
        <w:t>Human Resource</w:t>
      </w:r>
      <w:r w:rsidR="001D78D1">
        <w:rPr>
          <w:b/>
        </w:rPr>
        <w:t>s</w:t>
      </w:r>
      <w:r w:rsidR="00CB7827">
        <w:rPr>
          <w:b/>
        </w:rPr>
        <w:t xml:space="preserve"> </w:t>
      </w:r>
      <w:r w:rsidR="001D78D1">
        <w:rPr>
          <w:b/>
        </w:rPr>
        <w:t xml:space="preserve">– Health Check </w:t>
      </w:r>
      <w:r w:rsidR="006247C6">
        <w:rPr>
          <w:b/>
        </w:rPr>
        <w:t>Report</w:t>
      </w:r>
    </w:p>
    <w:p w:rsidR="00F863F2" w:rsidRPr="005577F8" w:rsidRDefault="00F863F2" w:rsidP="00F863F2">
      <w:r w:rsidRPr="005577F8">
        <w:t>(Appendix 'A' refers)</w:t>
      </w:r>
    </w:p>
    <w:p w:rsidR="003E6A45" w:rsidRPr="005819C8" w:rsidRDefault="003E6A45"/>
    <w:p w:rsidR="003E6A45" w:rsidRDefault="003E6A45">
      <w:r>
        <w:t>Contact for further information:</w:t>
      </w:r>
    </w:p>
    <w:p w:rsidR="00F863F2" w:rsidRDefault="006F680C" w:rsidP="00F863F2">
      <w:pPr>
        <w:ind w:right="-873"/>
      </w:pPr>
      <w:r>
        <w:t>Katie Dunne</w:t>
      </w:r>
      <w:r w:rsidR="00826154">
        <w:t>, 01772 53</w:t>
      </w:r>
      <w:r w:rsidR="00CB7827">
        <w:t>5</w:t>
      </w:r>
      <w:r>
        <w:t>787</w:t>
      </w:r>
      <w:r w:rsidR="00826154">
        <w:t xml:space="preserve">, </w:t>
      </w:r>
      <w:r w:rsidR="00CB7827">
        <w:t>Human Resource</w:t>
      </w:r>
      <w:r w:rsidR="008756F1">
        <w:t>s Service, Corporate Services</w:t>
      </w:r>
    </w:p>
    <w:p w:rsidR="00CB7827" w:rsidRDefault="00541605" w:rsidP="00F863F2">
      <w:pPr>
        <w:ind w:right="-873"/>
      </w:pPr>
      <w:hyperlink r:id="rId8" w:history="1">
        <w:r w:rsidR="006F680C" w:rsidRPr="00D973E8">
          <w:rPr>
            <w:rStyle w:val="Hyperlink"/>
          </w:rPr>
          <w:t>Katie.Dunne@lancashire.gov.uk</w:t>
        </w:r>
      </w:hyperlink>
    </w:p>
    <w:p w:rsidR="005F5DCD" w:rsidRDefault="005F5DCD" w:rsidP="00F863F2">
      <w:pPr>
        <w:ind w:right="-873"/>
      </w:pPr>
    </w:p>
    <w:tbl>
      <w:tblPr>
        <w:tblpPr w:leftFromText="180" w:rightFromText="180" w:vertAnchor="text" w:horzAnchor="margin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F046B1" w:rsidTr="00F046B1">
        <w:tc>
          <w:tcPr>
            <w:tcW w:w="9180" w:type="dxa"/>
          </w:tcPr>
          <w:p w:rsidR="00F046B1" w:rsidRDefault="00F046B1" w:rsidP="005F5DCD">
            <w:pPr>
              <w:pStyle w:val="Heading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Executive Summary</w:t>
            </w:r>
          </w:p>
          <w:p w:rsidR="00F046B1" w:rsidRDefault="00F046B1" w:rsidP="005F5DCD">
            <w:pPr>
              <w:jc w:val="both"/>
            </w:pPr>
          </w:p>
          <w:p w:rsidR="007F0113" w:rsidRDefault="007F0113" w:rsidP="005F5DCD">
            <w:pPr>
              <w:jc w:val="both"/>
            </w:pPr>
            <w:r>
              <w:t xml:space="preserve">This </w:t>
            </w:r>
            <w:r w:rsidR="00B65066">
              <w:t>Corporate Human R</w:t>
            </w:r>
            <w:r w:rsidR="001470EC">
              <w:t>esources</w:t>
            </w:r>
            <w:r w:rsidR="00D605A5">
              <w:t xml:space="preserve"> (HR)</w:t>
            </w:r>
            <w:r w:rsidR="001470EC">
              <w:t xml:space="preserve"> 'Health Check' </w:t>
            </w:r>
            <w:r>
              <w:t xml:space="preserve">report </w:t>
            </w:r>
            <w:r w:rsidR="001470EC">
              <w:t xml:space="preserve">provides information across the authority against </w:t>
            </w:r>
            <w:r>
              <w:t xml:space="preserve">key metrics regarding workforce information for </w:t>
            </w:r>
            <w:r w:rsidR="0038284C">
              <w:t>the</w:t>
            </w:r>
            <w:r w:rsidR="00AA43FD">
              <w:t xml:space="preserve"> </w:t>
            </w:r>
            <w:r w:rsidR="000C05D6">
              <w:t>2</w:t>
            </w:r>
            <w:r w:rsidR="000C05D6" w:rsidRPr="000C05D6">
              <w:rPr>
                <w:vertAlign w:val="superscript"/>
              </w:rPr>
              <w:t>nd</w:t>
            </w:r>
            <w:r w:rsidR="000C05D6">
              <w:t xml:space="preserve"> </w:t>
            </w:r>
            <w:r w:rsidR="00006E67">
              <w:t>quarter</w:t>
            </w:r>
            <w:r w:rsidR="00426D61">
              <w:t xml:space="preserve"> </w:t>
            </w:r>
            <w:r w:rsidR="008B641D">
              <w:t xml:space="preserve">in </w:t>
            </w:r>
            <w:r w:rsidR="00426D61">
              <w:t xml:space="preserve">year </w:t>
            </w:r>
            <w:r>
              <w:t>201</w:t>
            </w:r>
            <w:r w:rsidR="001C79E8">
              <w:t>5</w:t>
            </w:r>
            <w:r>
              <w:t>/1</w:t>
            </w:r>
            <w:r w:rsidR="001C79E8">
              <w:t>6</w:t>
            </w:r>
            <w:r>
              <w:t>.</w:t>
            </w:r>
          </w:p>
          <w:p w:rsidR="00C15F61" w:rsidRDefault="00C15F61" w:rsidP="005F5DCD">
            <w:pPr>
              <w:jc w:val="both"/>
            </w:pPr>
          </w:p>
          <w:p w:rsidR="001470EC" w:rsidRDefault="00B65066" w:rsidP="005F5DCD">
            <w:pPr>
              <w:jc w:val="both"/>
            </w:pPr>
            <w:r>
              <w:t>The C</w:t>
            </w:r>
            <w:r w:rsidR="001470EC">
              <w:t xml:space="preserve">orporate </w:t>
            </w:r>
            <w:r>
              <w:t>Human R</w:t>
            </w:r>
            <w:r w:rsidR="001470EC">
              <w:t>esources key metrics r</w:t>
            </w:r>
            <w:r w:rsidR="00A16B11">
              <w:t>egularly</w:t>
            </w:r>
            <w:r w:rsidR="001470EC">
              <w:t xml:space="preserve"> </w:t>
            </w:r>
            <w:r>
              <w:t>monitor</w:t>
            </w:r>
            <w:r w:rsidR="001470EC">
              <w:t xml:space="preserve"> </w:t>
            </w:r>
            <w:r>
              <w:t>and report</w:t>
            </w:r>
            <w:r w:rsidR="001470EC">
              <w:t xml:space="preserve"> </w:t>
            </w:r>
            <w:r>
              <w:t xml:space="preserve">against </w:t>
            </w:r>
            <w:r w:rsidR="003D6B66">
              <w:t xml:space="preserve">workforce data </w:t>
            </w:r>
            <w:r w:rsidR="001470EC">
              <w:t>includ</w:t>
            </w:r>
            <w:r w:rsidR="003D6B66">
              <w:t>ing:</w:t>
            </w:r>
            <w:r w:rsidR="001470EC">
              <w:t xml:space="preserve"> </w:t>
            </w:r>
            <w:r w:rsidR="008B641D">
              <w:t xml:space="preserve">sickness absence; </w:t>
            </w:r>
            <w:r w:rsidR="001470EC">
              <w:t>the numbers of starters and leavers; reasons for leaving;</w:t>
            </w:r>
            <w:r>
              <w:t xml:space="preserve"> </w:t>
            </w:r>
            <w:r w:rsidR="001470EC">
              <w:t>redeployment activity; vacancy numbers and recruitment costs.</w:t>
            </w:r>
          </w:p>
          <w:p w:rsidR="001470EC" w:rsidRDefault="001470EC" w:rsidP="005F5DCD">
            <w:pPr>
              <w:jc w:val="both"/>
            </w:pPr>
          </w:p>
          <w:p w:rsidR="007F0113" w:rsidRDefault="007F0113" w:rsidP="005F5DCD">
            <w:pPr>
              <w:jc w:val="both"/>
            </w:pPr>
            <w:r>
              <w:t xml:space="preserve">The </w:t>
            </w:r>
            <w:r w:rsidR="00A27A80">
              <w:t>data</w:t>
            </w:r>
            <w:r>
              <w:t xml:space="preserve"> </w:t>
            </w:r>
            <w:r w:rsidR="001470EC">
              <w:t xml:space="preserve">highlights </w:t>
            </w:r>
            <w:r>
              <w:t>that</w:t>
            </w:r>
            <w:r w:rsidR="003D6B66">
              <w:t xml:space="preserve"> in the </w:t>
            </w:r>
            <w:r w:rsidR="000C05D6">
              <w:t>2</w:t>
            </w:r>
            <w:r w:rsidR="000C05D6" w:rsidRPr="000C05D6">
              <w:rPr>
                <w:vertAlign w:val="superscript"/>
              </w:rPr>
              <w:t>nd</w:t>
            </w:r>
            <w:r w:rsidR="000C05D6">
              <w:t xml:space="preserve"> </w:t>
            </w:r>
            <w:r w:rsidR="003D6B66">
              <w:t xml:space="preserve">quarter </w:t>
            </w:r>
            <w:r w:rsidR="000C05D6">
              <w:t>(Q2</w:t>
            </w:r>
            <w:r w:rsidR="008B641D">
              <w:t xml:space="preserve">) </w:t>
            </w:r>
            <w:r w:rsidR="003D6B66">
              <w:t>of 201</w:t>
            </w:r>
            <w:r w:rsidR="001C79E8">
              <w:t>5</w:t>
            </w:r>
            <w:r w:rsidR="003D6B66">
              <w:t>/1</w:t>
            </w:r>
            <w:r w:rsidR="001C79E8">
              <w:t>6</w:t>
            </w:r>
            <w:r w:rsidR="007B3FFE">
              <w:t>:</w:t>
            </w:r>
          </w:p>
          <w:p w:rsidR="007F0113" w:rsidRDefault="007F0113" w:rsidP="005F5DCD">
            <w:pPr>
              <w:jc w:val="both"/>
            </w:pPr>
          </w:p>
          <w:p w:rsidR="008B641D" w:rsidRPr="00551F3D" w:rsidRDefault="008B641D" w:rsidP="00EA2564">
            <w:pPr>
              <w:pStyle w:val="ListParagraph"/>
              <w:numPr>
                <w:ilvl w:val="0"/>
                <w:numId w:val="25"/>
              </w:numPr>
              <w:jc w:val="both"/>
              <w:rPr>
                <w:rFonts w:cs="Arial"/>
              </w:rPr>
            </w:pPr>
            <w:r w:rsidRPr="00551F3D">
              <w:rPr>
                <w:rFonts w:cs="Arial"/>
              </w:rPr>
              <w:t xml:space="preserve">The number of FTE days lost per employee due to sickness absence was </w:t>
            </w:r>
            <w:r w:rsidR="006A5ADC">
              <w:rPr>
                <w:rFonts w:cs="Arial"/>
              </w:rPr>
              <w:t>2.47</w:t>
            </w:r>
            <w:r w:rsidRPr="00551F3D">
              <w:rPr>
                <w:rFonts w:cs="Arial"/>
              </w:rPr>
              <w:t>.</w:t>
            </w:r>
          </w:p>
          <w:p w:rsidR="00AA43FD" w:rsidRPr="00551F3D" w:rsidRDefault="00AA43FD" w:rsidP="00EA2564">
            <w:pPr>
              <w:pStyle w:val="ListParagraph"/>
              <w:numPr>
                <w:ilvl w:val="0"/>
                <w:numId w:val="25"/>
              </w:numPr>
              <w:jc w:val="both"/>
              <w:rPr>
                <w:rFonts w:cs="Arial"/>
              </w:rPr>
            </w:pPr>
            <w:r w:rsidRPr="00551F3D">
              <w:rPr>
                <w:rFonts w:cs="Arial"/>
              </w:rPr>
              <w:t xml:space="preserve">The number of starters </w:t>
            </w:r>
            <w:r w:rsidR="00C82317" w:rsidRPr="00551F3D">
              <w:rPr>
                <w:rFonts w:cs="Arial"/>
              </w:rPr>
              <w:t>de</w:t>
            </w:r>
            <w:r w:rsidR="0024410B" w:rsidRPr="00551F3D">
              <w:rPr>
                <w:rFonts w:cs="Arial"/>
              </w:rPr>
              <w:t>creased</w:t>
            </w:r>
            <w:r w:rsidRPr="00551F3D">
              <w:rPr>
                <w:rFonts w:cs="Arial"/>
              </w:rPr>
              <w:t xml:space="preserve"> by </w:t>
            </w:r>
            <w:r w:rsidR="006A5ADC">
              <w:rPr>
                <w:rFonts w:cs="Arial"/>
              </w:rPr>
              <w:t>17.4</w:t>
            </w:r>
            <w:r w:rsidR="00EC5E33" w:rsidRPr="00551F3D">
              <w:rPr>
                <w:rFonts w:cs="Arial"/>
              </w:rPr>
              <w:t xml:space="preserve">% in </w:t>
            </w:r>
            <w:r w:rsidR="008B641D" w:rsidRPr="00551F3D">
              <w:rPr>
                <w:rFonts w:cs="Arial"/>
              </w:rPr>
              <w:t>Q</w:t>
            </w:r>
            <w:r w:rsidR="000C05D6">
              <w:rPr>
                <w:rFonts w:cs="Arial"/>
              </w:rPr>
              <w:t>2</w:t>
            </w:r>
            <w:r w:rsidR="00872253" w:rsidRPr="00551F3D">
              <w:rPr>
                <w:rFonts w:cs="Arial"/>
              </w:rPr>
              <w:t xml:space="preserve"> of 201</w:t>
            </w:r>
            <w:r w:rsidR="00575E3B" w:rsidRPr="00551F3D">
              <w:rPr>
                <w:rFonts w:cs="Arial"/>
              </w:rPr>
              <w:t>5</w:t>
            </w:r>
            <w:r w:rsidRPr="00551F3D">
              <w:rPr>
                <w:rFonts w:cs="Arial"/>
              </w:rPr>
              <w:t>/1</w:t>
            </w:r>
            <w:r w:rsidR="00575E3B" w:rsidRPr="00551F3D">
              <w:rPr>
                <w:rFonts w:cs="Arial"/>
              </w:rPr>
              <w:t>6</w:t>
            </w:r>
            <w:r w:rsidRPr="00551F3D">
              <w:rPr>
                <w:rFonts w:cs="Arial"/>
              </w:rPr>
              <w:t xml:space="preserve"> compared with </w:t>
            </w:r>
            <w:r w:rsidR="008B641D" w:rsidRPr="00551F3D">
              <w:rPr>
                <w:rFonts w:cs="Arial"/>
              </w:rPr>
              <w:t>Q</w:t>
            </w:r>
            <w:r w:rsidR="000C05D6">
              <w:rPr>
                <w:rFonts w:cs="Arial"/>
              </w:rPr>
              <w:t>2</w:t>
            </w:r>
            <w:r w:rsidR="00EA2564" w:rsidRPr="00551F3D">
              <w:rPr>
                <w:rFonts w:cs="Arial"/>
              </w:rPr>
              <w:t xml:space="preserve"> of </w:t>
            </w:r>
            <w:r w:rsidRPr="00551F3D">
              <w:rPr>
                <w:rFonts w:cs="Arial"/>
              </w:rPr>
              <w:t>201</w:t>
            </w:r>
            <w:r w:rsidR="00575E3B" w:rsidRPr="00551F3D">
              <w:rPr>
                <w:rFonts w:cs="Arial"/>
              </w:rPr>
              <w:t>4</w:t>
            </w:r>
            <w:r w:rsidRPr="00551F3D">
              <w:rPr>
                <w:rFonts w:cs="Arial"/>
              </w:rPr>
              <w:t>/1</w:t>
            </w:r>
            <w:r w:rsidR="00575E3B" w:rsidRPr="00551F3D">
              <w:rPr>
                <w:rFonts w:cs="Arial"/>
              </w:rPr>
              <w:t>5</w:t>
            </w:r>
            <w:r w:rsidRPr="00551F3D">
              <w:rPr>
                <w:rFonts w:cs="Arial"/>
              </w:rPr>
              <w:t>.</w:t>
            </w:r>
          </w:p>
          <w:p w:rsidR="00C1452D" w:rsidRPr="00551F3D" w:rsidRDefault="00AA43FD" w:rsidP="00EA2564">
            <w:pPr>
              <w:pStyle w:val="ListParagraph"/>
              <w:numPr>
                <w:ilvl w:val="0"/>
                <w:numId w:val="25"/>
              </w:numPr>
              <w:jc w:val="both"/>
              <w:rPr>
                <w:rFonts w:cs="Arial"/>
              </w:rPr>
            </w:pPr>
            <w:r w:rsidRPr="00551F3D">
              <w:rPr>
                <w:rFonts w:cs="Arial"/>
              </w:rPr>
              <w:t xml:space="preserve">The number of leavers </w:t>
            </w:r>
            <w:r w:rsidR="008209D7" w:rsidRPr="00551F3D">
              <w:rPr>
                <w:rFonts w:cs="Arial"/>
              </w:rPr>
              <w:t>wa</w:t>
            </w:r>
            <w:r w:rsidR="00EA2564" w:rsidRPr="00551F3D">
              <w:rPr>
                <w:rFonts w:cs="Arial"/>
              </w:rPr>
              <w:t xml:space="preserve">s </w:t>
            </w:r>
            <w:r w:rsidR="00C82317" w:rsidRPr="00551F3D">
              <w:rPr>
                <w:rFonts w:cs="Arial"/>
              </w:rPr>
              <w:t>up</w:t>
            </w:r>
            <w:r w:rsidR="00EA2564" w:rsidRPr="00551F3D">
              <w:rPr>
                <w:rFonts w:cs="Arial"/>
              </w:rPr>
              <w:t xml:space="preserve"> by </w:t>
            </w:r>
            <w:r w:rsidR="00F02C19">
              <w:rPr>
                <w:rFonts w:cs="Arial"/>
              </w:rPr>
              <w:t>33</w:t>
            </w:r>
            <w:r w:rsidRPr="00551F3D">
              <w:rPr>
                <w:rFonts w:cs="Arial"/>
              </w:rPr>
              <w:t xml:space="preserve">% in </w:t>
            </w:r>
            <w:r w:rsidR="008B641D" w:rsidRPr="00551F3D">
              <w:rPr>
                <w:rFonts w:cs="Arial"/>
              </w:rPr>
              <w:t>Q</w:t>
            </w:r>
            <w:r w:rsidR="000C05D6">
              <w:rPr>
                <w:rFonts w:cs="Arial"/>
              </w:rPr>
              <w:t>2</w:t>
            </w:r>
            <w:r w:rsidR="00872253" w:rsidRPr="00551F3D">
              <w:rPr>
                <w:rFonts w:cs="Arial"/>
              </w:rPr>
              <w:t xml:space="preserve"> of </w:t>
            </w:r>
            <w:r w:rsidRPr="00551F3D">
              <w:rPr>
                <w:rFonts w:cs="Arial"/>
              </w:rPr>
              <w:t>201</w:t>
            </w:r>
            <w:r w:rsidR="00575E3B" w:rsidRPr="00551F3D">
              <w:rPr>
                <w:rFonts w:cs="Arial"/>
              </w:rPr>
              <w:t>5</w:t>
            </w:r>
            <w:r w:rsidRPr="00551F3D">
              <w:rPr>
                <w:rFonts w:cs="Arial"/>
              </w:rPr>
              <w:t>/1</w:t>
            </w:r>
            <w:r w:rsidR="00575E3B" w:rsidRPr="00551F3D">
              <w:rPr>
                <w:rFonts w:cs="Arial"/>
              </w:rPr>
              <w:t>6</w:t>
            </w:r>
            <w:r w:rsidRPr="00551F3D">
              <w:rPr>
                <w:rFonts w:cs="Arial"/>
              </w:rPr>
              <w:t xml:space="preserve"> compared with </w:t>
            </w:r>
            <w:r w:rsidR="008B641D" w:rsidRPr="00551F3D">
              <w:rPr>
                <w:rFonts w:cs="Arial"/>
              </w:rPr>
              <w:t>Q</w:t>
            </w:r>
            <w:r w:rsidR="000C05D6">
              <w:rPr>
                <w:rFonts w:cs="Arial"/>
              </w:rPr>
              <w:t>2</w:t>
            </w:r>
            <w:r w:rsidR="00EA2564" w:rsidRPr="00551F3D">
              <w:rPr>
                <w:rFonts w:cs="Arial"/>
              </w:rPr>
              <w:t xml:space="preserve"> of </w:t>
            </w:r>
            <w:r w:rsidRPr="00551F3D">
              <w:rPr>
                <w:rFonts w:cs="Arial"/>
              </w:rPr>
              <w:t>201</w:t>
            </w:r>
            <w:r w:rsidR="00C82317" w:rsidRPr="00551F3D">
              <w:rPr>
                <w:rFonts w:cs="Arial"/>
              </w:rPr>
              <w:t>4</w:t>
            </w:r>
            <w:r w:rsidRPr="00551F3D">
              <w:rPr>
                <w:rFonts w:cs="Arial"/>
              </w:rPr>
              <w:t>/1</w:t>
            </w:r>
            <w:r w:rsidR="00C82317" w:rsidRPr="00551F3D">
              <w:rPr>
                <w:rFonts w:cs="Arial"/>
              </w:rPr>
              <w:t>5</w:t>
            </w:r>
            <w:r w:rsidRPr="00551F3D">
              <w:rPr>
                <w:rFonts w:cs="Arial"/>
              </w:rPr>
              <w:t>.</w:t>
            </w:r>
          </w:p>
          <w:p w:rsidR="00C843EF" w:rsidRPr="00551F3D" w:rsidRDefault="00C843EF" w:rsidP="00EA2564">
            <w:pPr>
              <w:pStyle w:val="ListParagraph"/>
              <w:numPr>
                <w:ilvl w:val="0"/>
                <w:numId w:val="25"/>
              </w:numPr>
              <w:jc w:val="both"/>
              <w:rPr>
                <w:rFonts w:cs="Arial"/>
              </w:rPr>
            </w:pPr>
            <w:r w:rsidRPr="00551F3D">
              <w:rPr>
                <w:rFonts w:cs="Arial"/>
              </w:rPr>
              <w:t xml:space="preserve">Turnover </w:t>
            </w:r>
            <w:r w:rsidR="00B231F3">
              <w:rPr>
                <w:rFonts w:cs="Arial"/>
              </w:rPr>
              <w:t>in</w:t>
            </w:r>
            <w:r w:rsidR="00FB692A" w:rsidRPr="00551F3D">
              <w:rPr>
                <w:rFonts w:cs="Arial"/>
              </w:rPr>
              <w:t>creased</w:t>
            </w:r>
            <w:r w:rsidRPr="00551F3D">
              <w:rPr>
                <w:rFonts w:cs="Arial"/>
              </w:rPr>
              <w:t xml:space="preserve"> from </w:t>
            </w:r>
            <w:r w:rsidR="00B231F3">
              <w:rPr>
                <w:rFonts w:cs="Arial"/>
              </w:rPr>
              <w:t>3</w:t>
            </w:r>
            <w:r w:rsidRPr="00551F3D">
              <w:rPr>
                <w:rFonts w:cs="Arial"/>
              </w:rPr>
              <w:t xml:space="preserve">% in </w:t>
            </w:r>
            <w:r w:rsidR="008B641D" w:rsidRPr="00551F3D">
              <w:rPr>
                <w:rFonts w:cs="Arial"/>
              </w:rPr>
              <w:t>Q</w:t>
            </w:r>
            <w:r w:rsidR="000C05D6">
              <w:rPr>
                <w:rFonts w:cs="Arial"/>
              </w:rPr>
              <w:t>2</w:t>
            </w:r>
            <w:r w:rsidR="002851AE" w:rsidRPr="00551F3D">
              <w:rPr>
                <w:rFonts w:cs="Arial"/>
              </w:rPr>
              <w:t xml:space="preserve"> of 2014/15</w:t>
            </w:r>
            <w:r w:rsidR="008209D7" w:rsidRPr="00551F3D">
              <w:rPr>
                <w:rFonts w:cs="Arial"/>
              </w:rPr>
              <w:t xml:space="preserve"> </w:t>
            </w:r>
            <w:r w:rsidRPr="00551F3D">
              <w:rPr>
                <w:rFonts w:cs="Arial"/>
              </w:rPr>
              <w:t xml:space="preserve">to </w:t>
            </w:r>
            <w:r w:rsidR="00B231F3">
              <w:rPr>
                <w:rFonts w:cs="Arial"/>
              </w:rPr>
              <w:t>4</w:t>
            </w:r>
            <w:r w:rsidRPr="00551F3D">
              <w:rPr>
                <w:rFonts w:cs="Arial"/>
              </w:rPr>
              <w:t xml:space="preserve">% in </w:t>
            </w:r>
            <w:r w:rsidR="008B641D" w:rsidRPr="00551F3D">
              <w:rPr>
                <w:rFonts w:cs="Arial"/>
              </w:rPr>
              <w:t>Q</w:t>
            </w:r>
            <w:r w:rsidR="000C05D6">
              <w:rPr>
                <w:rFonts w:cs="Arial"/>
              </w:rPr>
              <w:t>2</w:t>
            </w:r>
            <w:r w:rsidR="00EA2564" w:rsidRPr="00551F3D">
              <w:rPr>
                <w:rFonts w:cs="Arial"/>
              </w:rPr>
              <w:t xml:space="preserve"> </w:t>
            </w:r>
            <w:r w:rsidRPr="00551F3D">
              <w:rPr>
                <w:rFonts w:cs="Arial"/>
              </w:rPr>
              <w:t>of 201</w:t>
            </w:r>
            <w:r w:rsidR="00C82317" w:rsidRPr="00551F3D">
              <w:rPr>
                <w:rFonts w:cs="Arial"/>
              </w:rPr>
              <w:t>5</w:t>
            </w:r>
            <w:r w:rsidRPr="00551F3D">
              <w:rPr>
                <w:rFonts w:cs="Arial"/>
              </w:rPr>
              <w:t>/1</w:t>
            </w:r>
            <w:r w:rsidR="00C82317" w:rsidRPr="00551F3D">
              <w:rPr>
                <w:rFonts w:cs="Arial"/>
              </w:rPr>
              <w:t>6</w:t>
            </w:r>
            <w:r w:rsidRPr="00551F3D">
              <w:rPr>
                <w:rFonts w:cs="Arial"/>
              </w:rPr>
              <w:t>.</w:t>
            </w:r>
          </w:p>
          <w:p w:rsidR="007B3FFE" w:rsidRPr="00551F3D" w:rsidRDefault="00C1452D" w:rsidP="00EA2564">
            <w:pPr>
              <w:pStyle w:val="ListParagraph"/>
              <w:numPr>
                <w:ilvl w:val="0"/>
                <w:numId w:val="25"/>
              </w:numPr>
              <w:jc w:val="both"/>
              <w:rPr>
                <w:rFonts w:cs="Arial"/>
              </w:rPr>
            </w:pPr>
            <w:r w:rsidRPr="00551F3D">
              <w:rPr>
                <w:rFonts w:cs="Arial"/>
              </w:rPr>
              <w:t xml:space="preserve">The number of recruitment adverts </w:t>
            </w:r>
            <w:r w:rsidR="00C82B3E" w:rsidRPr="00551F3D">
              <w:rPr>
                <w:rFonts w:cs="Arial"/>
              </w:rPr>
              <w:t xml:space="preserve">decreased by </w:t>
            </w:r>
            <w:r w:rsidR="003D1BEC">
              <w:rPr>
                <w:rFonts w:cs="Arial"/>
              </w:rPr>
              <w:t>23.93</w:t>
            </w:r>
            <w:r w:rsidR="00696324" w:rsidRPr="00551F3D">
              <w:rPr>
                <w:rFonts w:cs="Arial"/>
              </w:rPr>
              <w:t>%</w:t>
            </w:r>
            <w:r w:rsidRPr="00551F3D">
              <w:rPr>
                <w:rFonts w:cs="Arial"/>
              </w:rPr>
              <w:t xml:space="preserve"> in</w:t>
            </w:r>
            <w:r w:rsidR="006E38F3" w:rsidRPr="00551F3D">
              <w:rPr>
                <w:rFonts w:cs="Arial"/>
              </w:rPr>
              <w:t xml:space="preserve"> </w:t>
            </w:r>
            <w:r w:rsidR="008B641D" w:rsidRPr="00551F3D">
              <w:rPr>
                <w:rFonts w:cs="Arial"/>
              </w:rPr>
              <w:t>Q</w:t>
            </w:r>
            <w:r w:rsidR="000C05D6">
              <w:rPr>
                <w:rFonts w:cs="Arial"/>
              </w:rPr>
              <w:t>2</w:t>
            </w:r>
            <w:r w:rsidR="00872253" w:rsidRPr="00551F3D">
              <w:rPr>
                <w:rFonts w:cs="Arial"/>
              </w:rPr>
              <w:t xml:space="preserve"> of</w:t>
            </w:r>
            <w:r w:rsidRPr="00551F3D">
              <w:rPr>
                <w:rFonts w:cs="Arial"/>
              </w:rPr>
              <w:t xml:space="preserve"> 201</w:t>
            </w:r>
            <w:r w:rsidR="00C82317" w:rsidRPr="00551F3D">
              <w:rPr>
                <w:rFonts w:cs="Arial"/>
              </w:rPr>
              <w:t>5</w:t>
            </w:r>
            <w:r w:rsidRPr="00551F3D">
              <w:rPr>
                <w:rFonts w:cs="Arial"/>
              </w:rPr>
              <w:t>/1</w:t>
            </w:r>
            <w:r w:rsidR="00C82317" w:rsidRPr="00551F3D">
              <w:rPr>
                <w:rFonts w:cs="Arial"/>
              </w:rPr>
              <w:t>6</w:t>
            </w:r>
            <w:r w:rsidR="00C82B3E" w:rsidRPr="00551F3D">
              <w:rPr>
                <w:rFonts w:cs="Arial"/>
              </w:rPr>
              <w:t xml:space="preserve"> compared </w:t>
            </w:r>
            <w:r w:rsidRPr="00551F3D">
              <w:rPr>
                <w:rFonts w:cs="Arial"/>
              </w:rPr>
              <w:t>with</w:t>
            </w:r>
            <w:r w:rsidR="00C82B3E" w:rsidRPr="00551F3D">
              <w:rPr>
                <w:rFonts w:cs="Arial"/>
              </w:rPr>
              <w:t xml:space="preserve"> Q</w:t>
            </w:r>
            <w:r w:rsidR="000C05D6">
              <w:rPr>
                <w:rFonts w:cs="Arial"/>
              </w:rPr>
              <w:t>2</w:t>
            </w:r>
            <w:r w:rsidR="00C82B3E" w:rsidRPr="00551F3D">
              <w:rPr>
                <w:rFonts w:cs="Arial"/>
              </w:rPr>
              <w:t xml:space="preserve"> of</w:t>
            </w:r>
            <w:r w:rsidRPr="00551F3D">
              <w:rPr>
                <w:rFonts w:cs="Arial"/>
              </w:rPr>
              <w:t xml:space="preserve"> 201</w:t>
            </w:r>
            <w:r w:rsidR="00C82317" w:rsidRPr="00551F3D">
              <w:rPr>
                <w:rFonts w:cs="Arial"/>
              </w:rPr>
              <w:t>4</w:t>
            </w:r>
            <w:r w:rsidRPr="00551F3D">
              <w:rPr>
                <w:rFonts w:cs="Arial"/>
              </w:rPr>
              <w:t>/1</w:t>
            </w:r>
            <w:r w:rsidR="00C82317" w:rsidRPr="00551F3D">
              <w:rPr>
                <w:rFonts w:cs="Arial"/>
              </w:rPr>
              <w:t>5</w:t>
            </w:r>
            <w:r w:rsidRPr="00551F3D">
              <w:rPr>
                <w:rFonts w:cs="Arial"/>
              </w:rPr>
              <w:t>.</w:t>
            </w:r>
          </w:p>
          <w:p w:rsidR="00EA2564" w:rsidRPr="005171AA" w:rsidRDefault="00EA2564" w:rsidP="00EA2564">
            <w:pPr>
              <w:jc w:val="both"/>
              <w:rPr>
                <w:rFonts w:cs="Arial"/>
                <w:szCs w:val="24"/>
              </w:rPr>
            </w:pPr>
          </w:p>
          <w:p w:rsidR="00F046B1" w:rsidRDefault="00F046B1" w:rsidP="005F5DCD">
            <w:pPr>
              <w:pStyle w:val="Heading5"/>
              <w:jc w:val="both"/>
              <w:rPr>
                <w:rFonts w:ascii="Arial" w:hAnsi="Arial"/>
                <w:b w:val="0"/>
                <w:u w:val="none"/>
              </w:rPr>
            </w:pPr>
            <w:r>
              <w:rPr>
                <w:rFonts w:ascii="Arial" w:hAnsi="Arial"/>
                <w:u w:val="none"/>
              </w:rPr>
              <w:t>Recommendation</w:t>
            </w:r>
          </w:p>
          <w:p w:rsidR="00F046B1" w:rsidRDefault="00F046B1" w:rsidP="005F5DCD">
            <w:pPr>
              <w:jc w:val="both"/>
            </w:pPr>
          </w:p>
          <w:p w:rsidR="00F046B1" w:rsidRDefault="00AD4C49" w:rsidP="005F5DCD">
            <w:pPr>
              <w:jc w:val="both"/>
            </w:pPr>
            <w:r>
              <w:t xml:space="preserve">The Cabinet Committee </w:t>
            </w:r>
            <w:r w:rsidR="00D605A5">
              <w:t>is</w:t>
            </w:r>
            <w:r w:rsidR="00346E87" w:rsidRPr="00346E87">
              <w:t xml:space="preserve"> asked to</w:t>
            </w:r>
            <w:r w:rsidR="007F0113">
              <w:t xml:space="preserve"> </w:t>
            </w:r>
            <w:r w:rsidR="001470EC">
              <w:t>comment on</w:t>
            </w:r>
            <w:r w:rsidR="008C165A">
              <w:t>,</w:t>
            </w:r>
            <w:r w:rsidR="001470EC">
              <w:t xml:space="preserve"> and </w:t>
            </w:r>
            <w:r w:rsidR="00586FD4">
              <w:t>note</w:t>
            </w:r>
            <w:r w:rsidR="008C165A">
              <w:t>,</w:t>
            </w:r>
            <w:r w:rsidR="001D78D1">
              <w:t xml:space="preserve"> </w:t>
            </w:r>
            <w:r w:rsidR="00870097">
              <w:t xml:space="preserve">the </w:t>
            </w:r>
            <w:r w:rsidR="00586FD4">
              <w:t>content of the report and</w:t>
            </w:r>
            <w:r w:rsidR="00D605A5">
              <w:t xml:space="preserve"> the detailed information at </w:t>
            </w:r>
            <w:r w:rsidR="00586FD4">
              <w:t xml:space="preserve">Appendix </w:t>
            </w:r>
            <w:r w:rsidR="00D605A5">
              <w:t>'</w:t>
            </w:r>
            <w:r w:rsidR="00586FD4">
              <w:t>A</w:t>
            </w:r>
            <w:r w:rsidR="00D605A5">
              <w:t>'</w:t>
            </w:r>
            <w:r w:rsidR="008A1241">
              <w:t>.</w:t>
            </w:r>
          </w:p>
          <w:p w:rsidR="00F046B1" w:rsidRDefault="00F046B1" w:rsidP="00F046B1"/>
        </w:tc>
      </w:tr>
    </w:tbl>
    <w:p w:rsidR="008A1241" w:rsidRDefault="008A1241" w:rsidP="007B3FFE">
      <w:pPr>
        <w:rPr>
          <w:b/>
        </w:rPr>
      </w:pPr>
    </w:p>
    <w:p w:rsidR="002F1A68" w:rsidRDefault="002F1A68">
      <w:pPr>
        <w:rPr>
          <w:b/>
        </w:rPr>
      </w:pPr>
      <w:r>
        <w:rPr>
          <w:b/>
        </w:rPr>
        <w:br w:type="page"/>
      </w:r>
    </w:p>
    <w:p w:rsidR="00EB50C9" w:rsidRDefault="00EB50C9" w:rsidP="007B3FFE">
      <w:pPr>
        <w:rPr>
          <w:b/>
        </w:rPr>
      </w:pPr>
    </w:p>
    <w:p w:rsidR="00772BBA" w:rsidRDefault="002F1A68" w:rsidP="007B3FFE">
      <w:pPr>
        <w:rPr>
          <w:b/>
        </w:rPr>
      </w:pPr>
      <w:r>
        <w:rPr>
          <w:b/>
        </w:rPr>
        <w:t>B</w:t>
      </w:r>
      <w:r w:rsidR="00772BBA">
        <w:rPr>
          <w:b/>
        </w:rPr>
        <w:t xml:space="preserve">ackground and Advice </w:t>
      </w:r>
    </w:p>
    <w:p w:rsidR="00412930" w:rsidRDefault="00412930" w:rsidP="00412930">
      <w:pPr>
        <w:jc w:val="both"/>
        <w:rPr>
          <w:rFonts w:cs="Arial"/>
          <w:szCs w:val="22"/>
        </w:rPr>
      </w:pPr>
    </w:p>
    <w:p w:rsidR="002851AE" w:rsidRDefault="002851AE" w:rsidP="002851AE">
      <w:pPr>
        <w:jc w:val="both"/>
      </w:pPr>
      <w:r>
        <w:t xml:space="preserve">This report provides a summary of key human resource activity within the </w:t>
      </w:r>
      <w:r w:rsidR="00D605A5">
        <w:t xml:space="preserve">County </w:t>
      </w:r>
      <w:r>
        <w:t xml:space="preserve">Council for the </w:t>
      </w:r>
      <w:r w:rsidR="00B86969">
        <w:t>second</w:t>
      </w:r>
      <w:r>
        <w:t xml:space="preserve"> quarter (Q</w:t>
      </w:r>
      <w:r w:rsidR="000C05D6">
        <w:t>2</w:t>
      </w:r>
      <w:r>
        <w:t xml:space="preserve">) of 2015/16 and for the same period in 2014/15 for comparative purposes. The detailed information is shown at Appendix </w:t>
      </w:r>
      <w:r w:rsidR="00D605A5">
        <w:t>'</w:t>
      </w:r>
      <w:r>
        <w:t>A</w:t>
      </w:r>
      <w:r w:rsidR="00D605A5">
        <w:t>'</w:t>
      </w:r>
      <w:r>
        <w:t>.</w:t>
      </w:r>
    </w:p>
    <w:p w:rsidR="009771BF" w:rsidRDefault="009771BF" w:rsidP="002851AE">
      <w:pPr>
        <w:jc w:val="both"/>
      </w:pPr>
    </w:p>
    <w:p w:rsidR="009771BF" w:rsidRDefault="009771BF" w:rsidP="002851AE">
      <w:pPr>
        <w:jc w:val="both"/>
      </w:pPr>
      <w:r>
        <w:t xml:space="preserve">This is the first time that the HR 'Health Check' data has been presented following implementation of Phase 1 of the </w:t>
      </w:r>
      <w:r w:rsidR="00D605A5">
        <w:t xml:space="preserve">County </w:t>
      </w:r>
      <w:r>
        <w:t xml:space="preserve">Council's Transformation. The data has been aligned, wherever possible, to the </w:t>
      </w:r>
      <w:r w:rsidR="00D605A5">
        <w:t xml:space="preserve">County </w:t>
      </w:r>
      <w:r>
        <w:t xml:space="preserve">Council's new structure, i.e., to the new Service Block structure rather than Directorates. Unfortunately, </w:t>
      </w:r>
      <w:r w:rsidR="00F1241D">
        <w:t xml:space="preserve">we are </w:t>
      </w:r>
      <w:r w:rsidR="00D605A5">
        <w:t>un</w:t>
      </w:r>
      <w:r w:rsidR="00F1241D">
        <w:t>able to present accurate information against all service block</w:t>
      </w:r>
      <w:r w:rsidR="00D605A5">
        <w:t>s</w:t>
      </w:r>
      <w:r w:rsidR="00F1241D">
        <w:t xml:space="preserve"> for quarter 2, however we should be able to </w:t>
      </w:r>
      <w:r w:rsidR="00D605A5">
        <w:t xml:space="preserve">do </w:t>
      </w:r>
      <w:r w:rsidR="00F1241D">
        <w:t>so from quarter 3 (January 2016) onwards. In addition</w:t>
      </w:r>
      <w:r>
        <w:t xml:space="preserve"> it is not possible to compare Service Block performance to Directorate performance in the previous year, although it is still possible to compare overall </w:t>
      </w:r>
      <w:r w:rsidR="00D605A5">
        <w:t xml:space="preserve">County </w:t>
      </w:r>
      <w:r>
        <w:t>Council performance</w:t>
      </w:r>
      <w:r w:rsidR="001717DA">
        <w:t xml:space="preserve"> and this is reflected in the detail below</w:t>
      </w:r>
      <w:r>
        <w:t>.</w:t>
      </w:r>
    </w:p>
    <w:p w:rsidR="002851AE" w:rsidRDefault="002851AE" w:rsidP="00412930">
      <w:pPr>
        <w:jc w:val="both"/>
        <w:rPr>
          <w:rFonts w:cs="Arial"/>
          <w:szCs w:val="22"/>
        </w:rPr>
      </w:pPr>
    </w:p>
    <w:p w:rsidR="008B641D" w:rsidRPr="00D605A5" w:rsidRDefault="008B641D" w:rsidP="00412930">
      <w:pPr>
        <w:jc w:val="both"/>
        <w:rPr>
          <w:rFonts w:cs="Arial"/>
          <w:b/>
          <w:szCs w:val="22"/>
        </w:rPr>
      </w:pPr>
      <w:r w:rsidRPr="00D605A5">
        <w:rPr>
          <w:rFonts w:cs="Arial"/>
          <w:b/>
          <w:szCs w:val="22"/>
        </w:rPr>
        <w:t>Sickness Absence</w:t>
      </w:r>
    </w:p>
    <w:p w:rsidR="008B641D" w:rsidRDefault="008B641D" w:rsidP="00412930">
      <w:pPr>
        <w:jc w:val="both"/>
        <w:rPr>
          <w:rFonts w:cs="Arial"/>
          <w:szCs w:val="22"/>
        </w:rPr>
      </w:pPr>
    </w:p>
    <w:p w:rsidR="009771BF" w:rsidRDefault="00412930" w:rsidP="00CB72AA">
      <w:pPr>
        <w:jc w:val="both"/>
        <w:rPr>
          <w:rFonts w:cs="Arial"/>
          <w:szCs w:val="22"/>
        </w:rPr>
      </w:pPr>
      <w:r w:rsidRPr="00A60B39">
        <w:rPr>
          <w:rFonts w:cs="Arial"/>
          <w:szCs w:val="22"/>
        </w:rPr>
        <w:t xml:space="preserve">The </w:t>
      </w:r>
      <w:r w:rsidR="009771BF">
        <w:rPr>
          <w:rFonts w:cs="Arial"/>
          <w:szCs w:val="22"/>
        </w:rPr>
        <w:t xml:space="preserve">overall </w:t>
      </w:r>
      <w:r w:rsidRPr="00A60B39">
        <w:rPr>
          <w:rFonts w:cs="Arial"/>
          <w:szCs w:val="22"/>
        </w:rPr>
        <w:t>sickness absence out</w:t>
      </w:r>
      <w:r w:rsidR="00F958DB">
        <w:rPr>
          <w:rFonts w:cs="Arial"/>
          <w:szCs w:val="22"/>
        </w:rPr>
        <w:t xml:space="preserve"> </w:t>
      </w:r>
      <w:r w:rsidRPr="00A60B39">
        <w:rPr>
          <w:rFonts w:cs="Arial"/>
          <w:szCs w:val="22"/>
        </w:rPr>
        <w:t xml:space="preserve">turn figure for </w:t>
      </w:r>
      <w:r w:rsidR="00AA124E" w:rsidRPr="00A60B39">
        <w:rPr>
          <w:rFonts w:cs="Arial"/>
          <w:szCs w:val="22"/>
        </w:rPr>
        <w:t>Q</w:t>
      </w:r>
      <w:r w:rsidR="000C05D6">
        <w:rPr>
          <w:rFonts w:cs="Arial"/>
          <w:szCs w:val="22"/>
        </w:rPr>
        <w:t>2</w:t>
      </w:r>
      <w:r w:rsidR="00AA124E" w:rsidRPr="00A60B39">
        <w:rPr>
          <w:rFonts w:cs="Arial"/>
          <w:szCs w:val="22"/>
        </w:rPr>
        <w:t xml:space="preserve"> </w:t>
      </w:r>
      <w:r w:rsidRPr="00A60B39">
        <w:rPr>
          <w:rFonts w:cs="Arial"/>
          <w:szCs w:val="22"/>
        </w:rPr>
        <w:t>201</w:t>
      </w:r>
      <w:r w:rsidR="00CB72AA">
        <w:rPr>
          <w:rFonts w:cs="Arial"/>
          <w:szCs w:val="22"/>
        </w:rPr>
        <w:t>5</w:t>
      </w:r>
      <w:r w:rsidRPr="00A60B39">
        <w:rPr>
          <w:rFonts w:cs="Arial"/>
          <w:szCs w:val="22"/>
        </w:rPr>
        <w:t>/1</w:t>
      </w:r>
      <w:r w:rsidR="00CB72AA">
        <w:rPr>
          <w:rFonts w:cs="Arial"/>
          <w:szCs w:val="22"/>
        </w:rPr>
        <w:t>6</w:t>
      </w:r>
      <w:r w:rsidRPr="00A60B39">
        <w:rPr>
          <w:rFonts w:cs="Arial"/>
          <w:szCs w:val="22"/>
        </w:rPr>
        <w:t xml:space="preserve"> </w:t>
      </w:r>
      <w:r w:rsidR="00D14CF7">
        <w:rPr>
          <w:rFonts w:cs="Arial"/>
          <w:szCs w:val="22"/>
        </w:rPr>
        <w:t>wa</w:t>
      </w:r>
      <w:r w:rsidR="00A60B39" w:rsidRPr="00A60B39">
        <w:rPr>
          <w:rFonts w:cs="Arial"/>
          <w:szCs w:val="22"/>
        </w:rPr>
        <w:t xml:space="preserve">s </w:t>
      </w:r>
      <w:r w:rsidR="00B231F3">
        <w:rPr>
          <w:rFonts w:cs="Arial"/>
          <w:szCs w:val="22"/>
        </w:rPr>
        <w:t>2.47</w:t>
      </w:r>
      <w:r w:rsidR="00B86969">
        <w:rPr>
          <w:rFonts w:cs="Arial"/>
          <w:szCs w:val="22"/>
        </w:rPr>
        <w:t xml:space="preserve"> </w:t>
      </w:r>
      <w:r w:rsidRPr="00A60B39">
        <w:rPr>
          <w:rFonts w:cs="Arial"/>
          <w:szCs w:val="22"/>
        </w:rPr>
        <w:t xml:space="preserve">days </w:t>
      </w:r>
      <w:r w:rsidR="00F958DB">
        <w:rPr>
          <w:rFonts w:cs="Arial"/>
          <w:szCs w:val="22"/>
        </w:rPr>
        <w:t xml:space="preserve">lost </w:t>
      </w:r>
      <w:r w:rsidRPr="00A60B39">
        <w:rPr>
          <w:rFonts w:cs="Arial"/>
          <w:szCs w:val="22"/>
        </w:rPr>
        <w:t>per employee</w:t>
      </w:r>
      <w:r w:rsidR="00F02C19">
        <w:rPr>
          <w:rFonts w:cs="Arial"/>
          <w:szCs w:val="22"/>
        </w:rPr>
        <w:t xml:space="preserve"> (excluding schools)</w:t>
      </w:r>
      <w:r w:rsidR="00470952">
        <w:rPr>
          <w:rFonts w:cs="Arial"/>
          <w:szCs w:val="22"/>
        </w:rPr>
        <w:t xml:space="preserve">. </w:t>
      </w:r>
      <w:r w:rsidR="009771BF">
        <w:rPr>
          <w:rFonts w:cs="Arial"/>
          <w:szCs w:val="22"/>
        </w:rPr>
        <w:t>Th</w:t>
      </w:r>
      <w:r w:rsidR="00F02C19">
        <w:rPr>
          <w:rFonts w:cs="Arial"/>
          <w:szCs w:val="22"/>
        </w:rPr>
        <w:t>e figure for Q2 2014/15 was.2.44</w:t>
      </w:r>
      <w:r w:rsidR="009771BF">
        <w:rPr>
          <w:rFonts w:cs="Arial"/>
          <w:szCs w:val="22"/>
        </w:rPr>
        <w:t>.</w:t>
      </w:r>
    </w:p>
    <w:p w:rsidR="009771BF" w:rsidRDefault="009771BF" w:rsidP="00CB72AA">
      <w:pPr>
        <w:jc w:val="both"/>
        <w:rPr>
          <w:rFonts w:cs="Arial"/>
          <w:szCs w:val="22"/>
        </w:rPr>
      </w:pPr>
    </w:p>
    <w:p w:rsidR="00CB72AA" w:rsidRDefault="00E5011F" w:rsidP="00CB72AA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T</w:t>
      </w:r>
      <w:r w:rsidR="00CB72AA" w:rsidRPr="00B6777B">
        <w:rPr>
          <w:rFonts w:cs="Arial"/>
          <w:szCs w:val="22"/>
        </w:rPr>
        <w:t xml:space="preserve">he top reason for absence due to sickness was </w:t>
      </w:r>
      <w:r w:rsidR="00B231F3">
        <w:rPr>
          <w:rFonts w:cs="Arial"/>
          <w:szCs w:val="22"/>
        </w:rPr>
        <w:t>Mental Health</w:t>
      </w:r>
      <w:r>
        <w:rPr>
          <w:rFonts w:cs="Arial"/>
          <w:szCs w:val="22"/>
        </w:rPr>
        <w:t xml:space="preserve"> which accounted for 29% of all absence</w:t>
      </w:r>
      <w:r w:rsidR="00CB72AA" w:rsidRPr="00B6777B">
        <w:rPr>
          <w:rFonts w:cs="Arial"/>
          <w:szCs w:val="22"/>
        </w:rPr>
        <w:t>.</w:t>
      </w:r>
      <w:r w:rsidR="009771BF">
        <w:rPr>
          <w:rFonts w:cs="Arial"/>
          <w:szCs w:val="22"/>
        </w:rPr>
        <w:t xml:space="preserve"> The top reason for absence in the same period 20</w:t>
      </w:r>
      <w:r w:rsidR="00F02C19">
        <w:rPr>
          <w:rFonts w:cs="Arial"/>
          <w:szCs w:val="22"/>
        </w:rPr>
        <w:t>14/15 was also Mental Health (27</w:t>
      </w:r>
      <w:r w:rsidR="009771BF">
        <w:rPr>
          <w:rFonts w:cs="Arial"/>
          <w:szCs w:val="22"/>
        </w:rPr>
        <w:t xml:space="preserve">%). </w:t>
      </w:r>
    </w:p>
    <w:p w:rsidR="00F958DB" w:rsidRDefault="00F958DB" w:rsidP="00412930">
      <w:pPr>
        <w:jc w:val="both"/>
        <w:rPr>
          <w:rFonts w:cs="Arial"/>
          <w:szCs w:val="22"/>
        </w:rPr>
      </w:pPr>
    </w:p>
    <w:p w:rsidR="008A1241" w:rsidRPr="00D605A5" w:rsidRDefault="008A1241" w:rsidP="008A1241">
      <w:pPr>
        <w:jc w:val="both"/>
        <w:rPr>
          <w:b/>
        </w:rPr>
      </w:pPr>
      <w:r w:rsidRPr="00D605A5">
        <w:rPr>
          <w:b/>
        </w:rPr>
        <w:t>Starters/Leavers</w:t>
      </w:r>
    </w:p>
    <w:p w:rsidR="008A1241" w:rsidRDefault="008A1241" w:rsidP="00586FD4">
      <w:pPr>
        <w:jc w:val="both"/>
      </w:pPr>
    </w:p>
    <w:p w:rsidR="00450823" w:rsidRDefault="00450823" w:rsidP="00586FD4">
      <w:pPr>
        <w:jc w:val="both"/>
      </w:pPr>
      <w:r>
        <w:t xml:space="preserve">The data shows that the number of new starters </w:t>
      </w:r>
      <w:r w:rsidR="00AA124E">
        <w:t>in Q</w:t>
      </w:r>
      <w:r w:rsidR="000C05D6">
        <w:t>2</w:t>
      </w:r>
      <w:r w:rsidR="00AA124E">
        <w:t xml:space="preserve"> </w:t>
      </w:r>
      <w:r>
        <w:t>in 201</w:t>
      </w:r>
      <w:r w:rsidR="00CB72AA">
        <w:t>5</w:t>
      </w:r>
      <w:r>
        <w:t>/1</w:t>
      </w:r>
      <w:r w:rsidR="00CB72AA">
        <w:t>6</w:t>
      </w:r>
      <w:r>
        <w:t xml:space="preserve"> has </w:t>
      </w:r>
      <w:r w:rsidR="00CB72AA">
        <w:t>de</w:t>
      </w:r>
      <w:r w:rsidR="00F507B8">
        <w:t xml:space="preserve">creased by </w:t>
      </w:r>
      <w:r w:rsidR="00E5011F">
        <w:t>17.4</w:t>
      </w:r>
      <w:r w:rsidRPr="00287BD4">
        <w:t xml:space="preserve">% </w:t>
      </w:r>
      <w:r w:rsidR="00D16832" w:rsidRPr="00287BD4">
        <w:t xml:space="preserve">to </w:t>
      </w:r>
      <w:r w:rsidR="00E5011F">
        <w:t>237</w:t>
      </w:r>
      <w:r w:rsidR="00D16832" w:rsidRPr="00287BD4">
        <w:t xml:space="preserve"> </w:t>
      </w:r>
      <w:r w:rsidRPr="00287BD4">
        <w:t xml:space="preserve">compared with </w:t>
      </w:r>
      <w:r w:rsidR="00E5011F">
        <w:t>287</w:t>
      </w:r>
      <w:r w:rsidR="00D16832" w:rsidRPr="00287BD4">
        <w:t xml:space="preserve"> in</w:t>
      </w:r>
      <w:r w:rsidR="00DC09B5" w:rsidRPr="00287BD4">
        <w:t xml:space="preserve"> </w:t>
      </w:r>
      <w:r w:rsidR="00AA124E">
        <w:t>Q</w:t>
      </w:r>
      <w:r w:rsidR="000C05D6">
        <w:t>2</w:t>
      </w:r>
      <w:r w:rsidR="00AA124E">
        <w:t xml:space="preserve"> </w:t>
      </w:r>
      <w:r w:rsidR="00DC09B5" w:rsidRPr="00287BD4">
        <w:t>of</w:t>
      </w:r>
      <w:r w:rsidR="00D16832" w:rsidRPr="00287BD4">
        <w:t xml:space="preserve"> </w:t>
      </w:r>
      <w:r w:rsidRPr="00287BD4">
        <w:t>201</w:t>
      </w:r>
      <w:r w:rsidR="00696324">
        <w:t>4</w:t>
      </w:r>
      <w:r w:rsidRPr="00287BD4">
        <w:t>/1</w:t>
      </w:r>
      <w:r w:rsidR="00696324">
        <w:t>5</w:t>
      </w:r>
      <w:r w:rsidRPr="00287BD4">
        <w:t>.</w:t>
      </w:r>
      <w:r>
        <w:t xml:space="preserve"> </w:t>
      </w:r>
      <w:r w:rsidR="00696324">
        <w:t>T</w:t>
      </w:r>
      <w:r>
        <w:t xml:space="preserve">he number of leavers </w:t>
      </w:r>
      <w:r w:rsidR="00AA124E">
        <w:t>in Q</w:t>
      </w:r>
      <w:r w:rsidR="000C05D6">
        <w:t>2</w:t>
      </w:r>
      <w:r w:rsidR="00AA124E">
        <w:t xml:space="preserve"> </w:t>
      </w:r>
      <w:r>
        <w:t>in 201</w:t>
      </w:r>
      <w:r w:rsidR="00696324">
        <w:t>5</w:t>
      </w:r>
      <w:r>
        <w:t>/1</w:t>
      </w:r>
      <w:r w:rsidR="00696324">
        <w:t>6</w:t>
      </w:r>
      <w:r>
        <w:t xml:space="preserve"> </w:t>
      </w:r>
      <w:r w:rsidR="00DC09B5">
        <w:t xml:space="preserve">has </w:t>
      </w:r>
      <w:r w:rsidR="00696324">
        <w:t>in</w:t>
      </w:r>
      <w:r w:rsidR="00DC09B5">
        <w:t>creased b</w:t>
      </w:r>
      <w:r>
        <w:t xml:space="preserve">y </w:t>
      </w:r>
      <w:r w:rsidR="00F02C19">
        <w:t>33</w:t>
      </w:r>
      <w:r>
        <w:t xml:space="preserve">% </w:t>
      </w:r>
      <w:r w:rsidR="00D16832">
        <w:t xml:space="preserve">to </w:t>
      </w:r>
      <w:r w:rsidR="00E5011F">
        <w:t>536</w:t>
      </w:r>
      <w:r w:rsidR="00D16832">
        <w:t xml:space="preserve"> </w:t>
      </w:r>
      <w:r>
        <w:t xml:space="preserve">compared with </w:t>
      </w:r>
      <w:r w:rsidR="00E5011F">
        <w:t>402</w:t>
      </w:r>
      <w:r w:rsidR="00D16832">
        <w:t xml:space="preserve"> in</w:t>
      </w:r>
      <w:r w:rsidR="00DC09B5">
        <w:t xml:space="preserve"> </w:t>
      </w:r>
      <w:r w:rsidR="00F507B8">
        <w:t>Q</w:t>
      </w:r>
      <w:r w:rsidR="000C05D6">
        <w:t>2</w:t>
      </w:r>
      <w:r w:rsidR="00F507B8">
        <w:t xml:space="preserve"> </w:t>
      </w:r>
      <w:r w:rsidR="00DC09B5">
        <w:t>of</w:t>
      </w:r>
      <w:r w:rsidR="00D16832">
        <w:t xml:space="preserve"> </w:t>
      </w:r>
      <w:r>
        <w:t>201</w:t>
      </w:r>
      <w:r w:rsidR="00696324">
        <w:t>4</w:t>
      </w:r>
      <w:r>
        <w:t>/1</w:t>
      </w:r>
      <w:r w:rsidR="00696324">
        <w:t>5</w:t>
      </w:r>
      <w:r w:rsidR="00DE5298">
        <w:t xml:space="preserve">. This </w:t>
      </w:r>
      <w:r w:rsidR="00F02C19">
        <w:t>i</w:t>
      </w:r>
      <w:r w:rsidR="00696324">
        <w:t>s to be expec</w:t>
      </w:r>
      <w:r w:rsidR="000F2829">
        <w:t>ted due to the ongoing Council T</w:t>
      </w:r>
      <w:r w:rsidR="00696324">
        <w:t>ransformation</w:t>
      </w:r>
      <w:r w:rsidR="00F46EAF">
        <w:t>.</w:t>
      </w:r>
      <w:r w:rsidR="00DD36AA">
        <w:t xml:space="preserve"> </w:t>
      </w:r>
      <w:r w:rsidR="00696324">
        <w:t xml:space="preserve">Voluntary resignation accounted for more than </w:t>
      </w:r>
      <w:r w:rsidR="00E5011F">
        <w:t>4</w:t>
      </w:r>
      <w:r w:rsidR="00DE5298">
        <w:t>7</w:t>
      </w:r>
      <w:r w:rsidR="00696324">
        <w:t>% of the total leavers</w:t>
      </w:r>
      <w:r w:rsidR="00094809">
        <w:t xml:space="preserve"> in Q</w:t>
      </w:r>
      <w:r w:rsidR="000C05D6">
        <w:t>2</w:t>
      </w:r>
      <w:r w:rsidR="00094809">
        <w:t>.</w:t>
      </w:r>
      <w:r w:rsidR="00DE5298">
        <w:t xml:space="preserve"> Voluntary redundancies accounted for just less than 20%.</w:t>
      </w:r>
    </w:p>
    <w:p w:rsidR="007832AC" w:rsidRDefault="007832AC" w:rsidP="00586FD4">
      <w:pPr>
        <w:jc w:val="both"/>
      </w:pPr>
    </w:p>
    <w:p w:rsidR="007832AC" w:rsidRDefault="007832AC" w:rsidP="00586FD4">
      <w:pPr>
        <w:jc w:val="both"/>
      </w:pPr>
      <w:r>
        <w:t>Q2 turnover was 4%.</w:t>
      </w:r>
    </w:p>
    <w:p w:rsidR="004243E9" w:rsidRDefault="004243E9" w:rsidP="00586FD4">
      <w:pPr>
        <w:jc w:val="both"/>
      </w:pPr>
    </w:p>
    <w:p w:rsidR="008B641D" w:rsidRPr="00D605A5" w:rsidRDefault="008A1241" w:rsidP="00586FD4">
      <w:pPr>
        <w:jc w:val="both"/>
        <w:rPr>
          <w:b/>
        </w:rPr>
      </w:pPr>
      <w:r w:rsidRPr="00D605A5">
        <w:rPr>
          <w:b/>
        </w:rPr>
        <w:t>Recruitment Activity</w:t>
      </w:r>
    </w:p>
    <w:p w:rsidR="008A1241" w:rsidRPr="00D605A5" w:rsidRDefault="008A1241" w:rsidP="00586FD4">
      <w:pPr>
        <w:jc w:val="both"/>
        <w:rPr>
          <w:b/>
        </w:rPr>
      </w:pPr>
    </w:p>
    <w:p w:rsidR="00DD36AA" w:rsidRDefault="001D78D1" w:rsidP="00586FD4">
      <w:pPr>
        <w:jc w:val="both"/>
        <w:rPr>
          <w:bCs/>
          <w:szCs w:val="24"/>
        </w:rPr>
      </w:pPr>
      <w:r>
        <w:rPr>
          <w:bCs/>
          <w:szCs w:val="24"/>
        </w:rPr>
        <w:t xml:space="preserve">The </w:t>
      </w:r>
      <w:r w:rsidR="007D4473">
        <w:rPr>
          <w:bCs/>
          <w:szCs w:val="24"/>
        </w:rPr>
        <w:t>data</w:t>
      </w:r>
      <w:r>
        <w:rPr>
          <w:bCs/>
          <w:szCs w:val="24"/>
        </w:rPr>
        <w:t xml:space="preserve"> provides </w:t>
      </w:r>
      <w:r w:rsidR="00A8480D">
        <w:rPr>
          <w:bCs/>
          <w:szCs w:val="24"/>
        </w:rPr>
        <w:t xml:space="preserve">combined </w:t>
      </w:r>
      <w:r w:rsidR="002F4A5E">
        <w:rPr>
          <w:bCs/>
          <w:szCs w:val="24"/>
        </w:rPr>
        <w:t>detail</w:t>
      </w:r>
      <w:r>
        <w:rPr>
          <w:bCs/>
          <w:szCs w:val="24"/>
        </w:rPr>
        <w:t xml:space="preserve"> on</w:t>
      </w:r>
      <w:r w:rsidR="002F4A5E">
        <w:rPr>
          <w:bCs/>
          <w:szCs w:val="24"/>
        </w:rPr>
        <w:t xml:space="preserve"> both the number of </w:t>
      </w:r>
      <w:r w:rsidR="00D16832">
        <w:rPr>
          <w:bCs/>
          <w:szCs w:val="24"/>
        </w:rPr>
        <w:t xml:space="preserve">recruitment </w:t>
      </w:r>
      <w:r w:rsidR="002F4A5E">
        <w:rPr>
          <w:bCs/>
          <w:szCs w:val="24"/>
        </w:rPr>
        <w:t xml:space="preserve">adverts placed </w:t>
      </w:r>
      <w:r w:rsidR="008D1AD6">
        <w:rPr>
          <w:bCs/>
          <w:szCs w:val="24"/>
        </w:rPr>
        <w:t xml:space="preserve">both internally and externally, </w:t>
      </w:r>
      <w:r w:rsidR="002F4A5E">
        <w:rPr>
          <w:bCs/>
          <w:szCs w:val="24"/>
        </w:rPr>
        <w:t>and the number of positions advertised</w:t>
      </w:r>
      <w:r w:rsidR="007B3FFE">
        <w:rPr>
          <w:bCs/>
          <w:szCs w:val="24"/>
        </w:rPr>
        <w:t>,</w:t>
      </w:r>
      <w:r w:rsidR="002F4A5E">
        <w:rPr>
          <w:bCs/>
          <w:szCs w:val="24"/>
        </w:rPr>
        <w:t xml:space="preserve"> as some adverts include multiple positions</w:t>
      </w:r>
      <w:r w:rsidR="008D1AD6">
        <w:rPr>
          <w:bCs/>
          <w:szCs w:val="24"/>
        </w:rPr>
        <w:t>.</w:t>
      </w:r>
      <w:r w:rsidR="004243E9">
        <w:rPr>
          <w:bCs/>
          <w:szCs w:val="24"/>
        </w:rPr>
        <w:t xml:space="preserve"> </w:t>
      </w:r>
      <w:r w:rsidR="00EC7B78">
        <w:rPr>
          <w:bCs/>
          <w:szCs w:val="24"/>
        </w:rPr>
        <w:t xml:space="preserve">The number of adverts has </w:t>
      </w:r>
      <w:r w:rsidR="00094809">
        <w:rPr>
          <w:bCs/>
          <w:szCs w:val="24"/>
        </w:rPr>
        <w:t>decreased in</w:t>
      </w:r>
      <w:r w:rsidR="00981129">
        <w:rPr>
          <w:bCs/>
          <w:szCs w:val="24"/>
        </w:rPr>
        <w:t xml:space="preserve"> </w:t>
      </w:r>
      <w:r w:rsidR="006E2101">
        <w:rPr>
          <w:bCs/>
          <w:szCs w:val="24"/>
        </w:rPr>
        <w:t>Q</w:t>
      </w:r>
      <w:r w:rsidR="0093361C">
        <w:rPr>
          <w:bCs/>
          <w:szCs w:val="24"/>
        </w:rPr>
        <w:t>2</w:t>
      </w:r>
      <w:r w:rsidR="006E2101">
        <w:rPr>
          <w:bCs/>
          <w:szCs w:val="24"/>
        </w:rPr>
        <w:t xml:space="preserve"> of </w:t>
      </w:r>
      <w:r w:rsidR="00EC7B78">
        <w:rPr>
          <w:bCs/>
          <w:szCs w:val="24"/>
        </w:rPr>
        <w:t>201</w:t>
      </w:r>
      <w:r w:rsidR="00094809">
        <w:rPr>
          <w:bCs/>
          <w:szCs w:val="24"/>
        </w:rPr>
        <w:t>5</w:t>
      </w:r>
      <w:r w:rsidR="00EC7B78">
        <w:rPr>
          <w:bCs/>
          <w:szCs w:val="24"/>
        </w:rPr>
        <w:t>/1</w:t>
      </w:r>
      <w:r w:rsidR="00094809">
        <w:rPr>
          <w:bCs/>
          <w:szCs w:val="24"/>
        </w:rPr>
        <w:t>6</w:t>
      </w:r>
      <w:r w:rsidR="00EC7B78">
        <w:rPr>
          <w:bCs/>
          <w:szCs w:val="24"/>
        </w:rPr>
        <w:t xml:space="preserve"> </w:t>
      </w:r>
      <w:r w:rsidR="00094809">
        <w:rPr>
          <w:bCs/>
          <w:szCs w:val="24"/>
        </w:rPr>
        <w:t xml:space="preserve">to </w:t>
      </w:r>
      <w:r w:rsidR="003D1BEC">
        <w:rPr>
          <w:bCs/>
          <w:szCs w:val="24"/>
        </w:rPr>
        <w:t>410</w:t>
      </w:r>
      <w:r w:rsidR="00094809">
        <w:rPr>
          <w:bCs/>
          <w:szCs w:val="24"/>
        </w:rPr>
        <w:t xml:space="preserve"> </w:t>
      </w:r>
      <w:r w:rsidR="00EC7B78">
        <w:rPr>
          <w:bCs/>
          <w:szCs w:val="24"/>
        </w:rPr>
        <w:t>compared with</w:t>
      </w:r>
      <w:r w:rsidR="00981129">
        <w:rPr>
          <w:bCs/>
          <w:szCs w:val="24"/>
        </w:rPr>
        <w:t xml:space="preserve"> </w:t>
      </w:r>
      <w:r w:rsidR="003D1BEC">
        <w:rPr>
          <w:bCs/>
          <w:szCs w:val="24"/>
        </w:rPr>
        <w:t>539</w:t>
      </w:r>
      <w:r w:rsidR="00094809">
        <w:rPr>
          <w:bCs/>
          <w:szCs w:val="24"/>
        </w:rPr>
        <w:t xml:space="preserve"> in Q</w:t>
      </w:r>
      <w:r w:rsidR="0093361C">
        <w:rPr>
          <w:bCs/>
          <w:szCs w:val="24"/>
        </w:rPr>
        <w:t>2</w:t>
      </w:r>
      <w:r w:rsidR="00981129">
        <w:rPr>
          <w:bCs/>
          <w:szCs w:val="24"/>
        </w:rPr>
        <w:t xml:space="preserve"> of</w:t>
      </w:r>
      <w:r w:rsidR="00EC7B78">
        <w:rPr>
          <w:bCs/>
          <w:szCs w:val="24"/>
        </w:rPr>
        <w:t xml:space="preserve"> 201</w:t>
      </w:r>
      <w:r w:rsidR="00094809">
        <w:rPr>
          <w:bCs/>
          <w:szCs w:val="24"/>
        </w:rPr>
        <w:t>4</w:t>
      </w:r>
      <w:r w:rsidR="00EC7B78">
        <w:rPr>
          <w:bCs/>
          <w:szCs w:val="24"/>
        </w:rPr>
        <w:t>/1</w:t>
      </w:r>
      <w:r w:rsidR="00094809">
        <w:rPr>
          <w:bCs/>
          <w:szCs w:val="24"/>
        </w:rPr>
        <w:t>5</w:t>
      </w:r>
      <w:r w:rsidR="00DD36AA">
        <w:rPr>
          <w:bCs/>
          <w:szCs w:val="24"/>
        </w:rPr>
        <w:t>, t</w:t>
      </w:r>
      <w:r w:rsidR="00EE4192">
        <w:rPr>
          <w:bCs/>
          <w:szCs w:val="24"/>
        </w:rPr>
        <w:t>he number of positions</w:t>
      </w:r>
      <w:r w:rsidR="007B5959">
        <w:rPr>
          <w:bCs/>
          <w:szCs w:val="24"/>
        </w:rPr>
        <w:t xml:space="preserve"> advertised</w:t>
      </w:r>
      <w:r w:rsidR="00EE4192">
        <w:rPr>
          <w:bCs/>
          <w:szCs w:val="24"/>
        </w:rPr>
        <w:t xml:space="preserve"> has </w:t>
      </w:r>
      <w:r w:rsidR="008A0D8E">
        <w:rPr>
          <w:bCs/>
          <w:szCs w:val="24"/>
        </w:rPr>
        <w:t xml:space="preserve">decreased </w:t>
      </w:r>
      <w:r w:rsidR="00981129">
        <w:rPr>
          <w:bCs/>
          <w:szCs w:val="24"/>
        </w:rPr>
        <w:t xml:space="preserve">by </w:t>
      </w:r>
      <w:r w:rsidR="00F02C19">
        <w:rPr>
          <w:bCs/>
          <w:szCs w:val="24"/>
        </w:rPr>
        <w:t>24</w:t>
      </w:r>
      <w:r w:rsidR="00D16832">
        <w:rPr>
          <w:bCs/>
          <w:szCs w:val="24"/>
        </w:rPr>
        <w:t>%.</w:t>
      </w:r>
      <w:r w:rsidR="00981129">
        <w:rPr>
          <w:bCs/>
          <w:szCs w:val="24"/>
        </w:rPr>
        <w:t xml:space="preserve"> </w:t>
      </w:r>
    </w:p>
    <w:p w:rsidR="00DD36AA" w:rsidRDefault="00DD36AA" w:rsidP="00586FD4">
      <w:pPr>
        <w:jc w:val="both"/>
        <w:rPr>
          <w:bCs/>
          <w:szCs w:val="24"/>
        </w:rPr>
      </w:pPr>
    </w:p>
    <w:p w:rsidR="001F19AC" w:rsidRDefault="008D1AD6" w:rsidP="00586FD4">
      <w:pPr>
        <w:jc w:val="both"/>
        <w:rPr>
          <w:bCs/>
          <w:szCs w:val="24"/>
        </w:rPr>
      </w:pPr>
      <w:r>
        <w:rPr>
          <w:bCs/>
          <w:szCs w:val="24"/>
        </w:rPr>
        <w:t>Requests for e</w:t>
      </w:r>
      <w:r w:rsidR="00497324">
        <w:rPr>
          <w:bCs/>
          <w:szCs w:val="24"/>
        </w:rPr>
        <w:t xml:space="preserve">xternal recruitment advertising </w:t>
      </w:r>
      <w:r>
        <w:rPr>
          <w:bCs/>
          <w:szCs w:val="24"/>
        </w:rPr>
        <w:t>are</w:t>
      </w:r>
      <w:r w:rsidR="00497324">
        <w:rPr>
          <w:bCs/>
          <w:szCs w:val="24"/>
        </w:rPr>
        <w:t xml:space="preserve"> </w:t>
      </w:r>
      <w:r w:rsidR="00DD36AA">
        <w:rPr>
          <w:bCs/>
          <w:szCs w:val="24"/>
        </w:rPr>
        <w:t>still being closely scrutinised</w:t>
      </w:r>
      <w:r w:rsidR="00EC7B78">
        <w:rPr>
          <w:bCs/>
          <w:szCs w:val="24"/>
        </w:rPr>
        <w:t xml:space="preserve">. </w:t>
      </w:r>
    </w:p>
    <w:p w:rsidR="00E209CD" w:rsidRDefault="00E209CD" w:rsidP="00586FD4">
      <w:pPr>
        <w:jc w:val="both"/>
        <w:rPr>
          <w:bCs/>
          <w:szCs w:val="24"/>
        </w:rPr>
      </w:pPr>
    </w:p>
    <w:p w:rsidR="00EB50C9" w:rsidRDefault="00EB50C9" w:rsidP="008A0D8E">
      <w:pPr>
        <w:jc w:val="both"/>
        <w:rPr>
          <w:b/>
          <w:bCs/>
        </w:rPr>
      </w:pPr>
    </w:p>
    <w:p w:rsidR="00EB50C9" w:rsidRDefault="00EB50C9" w:rsidP="008A0D8E">
      <w:pPr>
        <w:jc w:val="both"/>
        <w:rPr>
          <w:b/>
          <w:bCs/>
        </w:rPr>
      </w:pPr>
    </w:p>
    <w:p w:rsidR="00EB50C9" w:rsidRDefault="00EB50C9" w:rsidP="008A0D8E">
      <w:pPr>
        <w:jc w:val="both"/>
        <w:rPr>
          <w:b/>
          <w:bCs/>
        </w:rPr>
      </w:pPr>
    </w:p>
    <w:p w:rsidR="00EB50C9" w:rsidRDefault="00EB50C9" w:rsidP="008A0D8E">
      <w:pPr>
        <w:jc w:val="both"/>
        <w:rPr>
          <w:b/>
          <w:bCs/>
        </w:rPr>
      </w:pPr>
    </w:p>
    <w:p w:rsidR="008A0D8E" w:rsidRPr="00D605A5" w:rsidRDefault="008A1241" w:rsidP="008A0D8E">
      <w:pPr>
        <w:jc w:val="both"/>
        <w:rPr>
          <w:b/>
          <w:bCs/>
        </w:rPr>
      </w:pPr>
      <w:r w:rsidRPr="00D605A5">
        <w:rPr>
          <w:b/>
          <w:bCs/>
        </w:rPr>
        <w:t>Employment Programmes</w:t>
      </w:r>
    </w:p>
    <w:p w:rsidR="008A1241" w:rsidRPr="008A0D8E" w:rsidRDefault="008A1241" w:rsidP="008A0D8E">
      <w:pPr>
        <w:jc w:val="both"/>
        <w:rPr>
          <w:bCs/>
        </w:rPr>
      </w:pPr>
    </w:p>
    <w:p w:rsidR="00192B9E" w:rsidRDefault="00741CFC" w:rsidP="005F5DCD">
      <w:pPr>
        <w:jc w:val="both"/>
        <w:rPr>
          <w:rFonts w:cs="Arial"/>
          <w:szCs w:val="22"/>
        </w:rPr>
      </w:pPr>
      <w:r w:rsidRPr="00DA4ACD">
        <w:rPr>
          <w:rFonts w:cs="Arial"/>
          <w:szCs w:val="22"/>
        </w:rPr>
        <w:t xml:space="preserve">The Employment and Support Team </w:t>
      </w:r>
      <w:r w:rsidR="00DC09B5" w:rsidRPr="00DA4ACD">
        <w:rPr>
          <w:rFonts w:cs="Arial"/>
          <w:szCs w:val="22"/>
        </w:rPr>
        <w:t xml:space="preserve">have </w:t>
      </w:r>
      <w:r w:rsidRPr="00DA4ACD">
        <w:rPr>
          <w:rFonts w:cs="Arial"/>
          <w:szCs w:val="22"/>
        </w:rPr>
        <w:t xml:space="preserve">delivered </w:t>
      </w:r>
      <w:r w:rsidR="003D0214">
        <w:rPr>
          <w:rFonts w:cs="Arial"/>
          <w:szCs w:val="22"/>
        </w:rPr>
        <w:t>252</w:t>
      </w:r>
      <w:r w:rsidR="00437C53" w:rsidRPr="00DA4ACD">
        <w:rPr>
          <w:rFonts w:cs="Arial"/>
          <w:szCs w:val="22"/>
        </w:rPr>
        <w:t xml:space="preserve"> </w:t>
      </w:r>
      <w:r w:rsidR="00192B9E" w:rsidRPr="00DA4ACD">
        <w:rPr>
          <w:rFonts w:cs="Arial"/>
          <w:szCs w:val="22"/>
        </w:rPr>
        <w:t xml:space="preserve">new starts onto employment programmes </w:t>
      </w:r>
      <w:r w:rsidR="00AA124E" w:rsidRPr="00DA4ACD">
        <w:rPr>
          <w:rFonts w:cs="Arial"/>
          <w:szCs w:val="22"/>
        </w:rPr>
        <w:t xml:space="preserve">in </w:t>
      </w:r>
      <w:r w:rsidR="00551F3D">
        <w:rPr>
          <w:rFonts w:cs="Arial"/>
          <w:szCs w:val="22"/>
        </w:rPr>
        <w:t>Q</w:t>
      </w:r>
      <w:r w:rsidR="0093361C">
        <w:rPr>
          <w:rFonts w:cs="Arial"/>
          <w:szCs w:val="22"/>
        </w:rPr>
        <w:t>2</w:t>
      </w:r>
      <w:r w:rsidR="00551F3D">
        <w:rPr>
          <w:rFonts w:cs="Arial"/>
          <w:szCs w:val="22"/>
        </w:rPr>
        <w:t xml:space="preserve"> of </w:t>
      </w:r>
      <w:r w:rsidR="00192B9E" w:rsidRPr="00DA4ACD">
        <w:rPr>
          <w:rFonts w:cs="Arial"/>
          <w:szCs w:val="22"/>
        </w:rPr>
        <w:t>201</w:t>
      </w:r>
      <w:r w:rsidR="00551F3D">
        <w:rPr>
          <w:rFonts w:cs="Arial"/>
          <w:szCs w:val="22"/>
        </w:rPr>
        <w:t>5</w:t>
      </w:r>
      <w:r w:rsidR="00192B9E" w:rsidRPr="00DA4ACD">
        <w:rPr>
          <w:rFonts w:cs="Arial"/>
          <w:szCs w:val="22"/>
        </w:rPr>
        <w:t>/1</w:t>
      </w:r>
      <w:r w:rsidR="00551F3D">
        <w:rPr>
          <w:rFonts w:cs="Arial"/>
          <w:szCs w:val="22"/>
        </w:rPr>
        <w:t xml:space="preserve">6 compared to </w:t>
      </w:r>
      <w:r w:rsidR="003D0214">
        <w:rPr>
          <w:rFonts w:cs="Arial"/>
          <w:szCs w:val="22"/>
        </w:rPr>
        <w:t>261</w:t>
      </w:r>
      <w:r w:rsidR="00551F3D">
        <w:rPr>
          <w:rFonts w:cs="Arial"/>
          <w:szCs w:val="22"/>
        </w:rPr>
        <w:t xml:space="preserve"> in Q</w:t>
      </w:r>
      <w:r w:rsidR="0093361C">
        <w:rPr>
          <w:rFonts w:cs="Arial"/>
          <w:szCs w:val="22"/>
        </w:rPr>
        <w:t>2</w:t>
      </w:r>
      <w:r w:rsidR="00551F3D">
        <w:rPr>
          <w:rFonts w:cs="Arial"/>
          <w:szCs w:val="22"/>
        </w:rPr>
        <w:t xml:space="preserve"> of 2014/15</w:t>
      </w:r>
      <w:r w:rsidR="00437C53" w:rsidRPr="00DA4ACD">
        <w:rPr>
          <w:rFonts w:cs="Arial"/>
          <w:szCs w:val="22"/>
        </w:rPr>
        <w:t>.</w:t>
      </w:r>
      <w:r w:rsidR="00192B9E">
        <w:rPr>
          <w:rFonts w:cs="Arial"/>
          <w:szCs w:val="22"/>
        </w:rPr>
        <w:t xml:space="preserve"> </w:t>
      </w:r>
    </w:p>
    <w:p w:rsidR="00412930" w:rsidRPr="00741CFC" w:rsidRDefault="00412930" w:rsidP="005F5DCD">
      <w:pPr>
        <w:jc w:val="both"/>
        <w:rPr>
          <w:rFonts w:cs="Arial"/>
        </w:rPr>
      </w:pPr>
    </w:p>
    <w:p w:rsidR="003E6A45" w:rsidRDefault="003E6A45">
      <w:pPr>
        <w:pStyle w:val="Heading1"/>
      </w:pPr>
      <w:r>
        <w:t>Consultations</w:t>
      </w:r>
    </w:p>
    <w:p w:rsidR="000957D1" w:rsidRPr="000957D1" w:rsidRDefault="000957D1" w:rsidP="000957D1"/>
    <w:p w:rsidR="001D78D1" w:rsidRDefault="007F0113">
      <w:r>
        <w:t>N</w:t>
      </w:r>
      <w:r w:rsidR="00D605A5">
        <w:t>/A</w:t>
      </w:r>
    </w:p>
    <w:p w:rsidR="00412930" w:rsidRDefault="00412930"/>
    <w:p w:rsidR="00772BBA" w:rsidRDefault="003E6A45" w:rsidP="00772BBA">
      <w:r>
        <w:rPr>
          <w:b/>
        </w:rPr>
        <w:t>Implications</w:t>
      </w:r>
      <w:r>
        <w:t xml:space="preserve">: </w:t>
      </w:r>
    </w:p>
    <w:p w:rsidR="00772BBA" w:rsidRDefault="00772BBA" w:rsidP="00772BBA"/>
    <w:p w:rsidR="00772BBA" w:rsidRDefault="00772BBA" w:rsidP="00772BBA">
      <w:r>
        <w:t>This item has the following implications, as indicated:</w:t>
      </w:r>
    </w:p>
    <w:p w:rsidR="00412930" w:rsidRDefault="00412930" w:rsidP="00772BBA"/>
    <w:p w:rsidR="00772BBA" w:rsidRPr="00092B2F" w:rsidRDefault="00772BBA" w:rsidP="00772BBA">
      <w:pPr>
        <w:rPr>
          <w:b/>
        </w:rPr>
      </w:pPr>
      <w:r w:rsidRPr="00092B2F">
        <w:rPr>
          <w:b/>
        </w:rPr>
        <w:t>Risk management</w:t>
      </w:r>
    </w:p>
    <w:p w:rsidR="00F863F2" w:rsidRDefault="00F863F2" w:rsidP="00F863F2"/>
    <w:p w:rsidR="00F863F2" w:rsidRDefault="00F863F2" w:rsidP="00F863F2">
      <w:pPr>
        <w:jc w:val="both"/>
      </w:pPr>
      <w:r>
        <w:t>No significant risks have been identified in relation to the proposals contained within this report.</w:t>
      </w:r>
    </w:p>
    <w:p w:rsidR="001D78D1" w:rsidRDefault="001D78D1" w:rsidP="001D78D1"/>
    <w:p w:rsidR="003E6A45" w:rsidRDefault="003E6A45">
      <w:pPr>
        <w:pStyle w:val="Heading5"/>
        <w:rPr>
          <w:rFonts w:ascii="Arial" w:hAnsi="Arial"/>
          <w:u w:val="none"/>
        </w:rPr>
      </w:pPr>
      <w:r>
        <w:rPr>
          <w:rFonts w:ascii="Arial" w:hAnsi="Arial"/>
          <w:u w:val="none"/>
        </w:rPr>
        <w:t>Local Government (Access to Information) Act 1985</w:t>
      </w:r>
    </w:p>
    <w:p w:rsidR="003E6A45" w:rsidRPr="00EB37C2" w:rsidRDefault="003E6A45" w:rsidP="00EB37C2">
      <w:pPr>
        <w:pStyle w:val="Heading5"/>
        <w:rPr>
          <w:rFonts w:ascii="Arial" w:hAnsi="Arial"/>
          <w:u w:val="none"/>
        </w:rPr>
      </w:pPr>
      <w:r>
        <w:rPr>
          <w:rFonts w:ascii="Arial" w:hAnsi="Arial"/>
          <w:u w:val="none"/>
        </w:rPr>
        <w:t>List of Background Papers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6435AC" w:rsidRPr="00EB50C9" w:rsidTr="00EB50C9">
        <w:trPr>
          <w:trHeight w:val="693"/>
        </w:trPr>
        <w:tc>
          <w:tcPr>
            <w:tcW w:w="9180" w:type="dxa"/>
          </w:tcPr>
          <w:p w:rsidR="00EB50C9" w:rsidRDefault="00EB50C9" w:rsidP="00EB50C9">
            <w:pPr>
              <w:ind w:left="-108"/>
            </w:pPr>
          </w:p>
          <w:p w:rsidR="00EB50C9" w:rsidRDefault="00EB50C9" w:rsidP="00EB50C9">
            <w:pPr>
              <w:ind w:left="-108"/>
            </w:pPr>
            <w:r>
              <w:t>N/A</w:t>
            </w:r>
          </w:p>
          <w:p w:rsidR="00EB50C9" w:rsidRDefault="00EB50C9" w:rsidP="00EB50C9">
            <w:pPr>
              <w:ind w:left="-108"/>
            </w:pPr>
          </w:p>
          <w:p w:rsidR="006435AC" w:rsidRPr="00EB50C9" w:rsidRDefault="006435AC" w:rsidP="00EB50C9">
            <w:pPr>
              <w:ind w:left="-108"/>
            </w:pPr>
            <w:r w:rsidRPr="00EB50C9">
              <w:t>Reason for inclusion in Part II, if appropriate</w:t>
            </w:r>
          </w:p>
        </w:tc>
      </w:tr>
    </w:tbl>
    <w:p w:rsidR="003E6A45" w:rsidRDefault="003E6A45"/>
    <w:p w:rsidR="00EB50C9" w:rsidRPr="00EB50C9" w:rsidRDefault="00EB50C9">
      <w:r>
        <w:t>N/A</w:t>
      </w:r>
    </w:p>
    <w:sectPr w:rsidR="00EB50C9" w:rsidRPr="00EB50C9" w:rsidSect="000433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40" w:right="1440" w:bottom="1440" w:left="1440" w:header="720" w:footer="306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FBD" w:rsidRDefault="00A97FBD">
      <w:r>
        <w:separator/>
      </w:r>
    </w:p>
  </w:endnote>
  <w:endnote w:type="continuationSeparator" w:id="0">
    <w:p w:rsidR="00A97FBD" w:rsidRDefault="00A97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4F5" w:rsidRDefault="002D24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A97FBD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:rsidR="00A97FBD" w:rsidRDefault="00A97FBD">
          <w:pPr>
            <w:pStyle w:val="Footer"/>
            <w:tabs>
              <w:tab w:val="clear" w:pos="4153"/>
            </w:tabs>
            <w:ind w:right="-45"/>
            <w:jc w:val="right"/>
          </w:pPr>
        </w:p>
      </w:tc>
    </w:tr>
  </w:tbl>
  <w:p w:rsidR="00A97FBD" w:rsidRDefault="00A97FBD">
    <w:pPr>
      <w:pStyle w:val="Footer"/>
      <w:tabs>
        <w:tab w:val="clear" w:pos="4153"/>
      </w:tabs>
      <w:ind w:right="-4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A97FBD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:rsidR="00A97FBD" w:rsidRDefault="00A97FBD">
          <w:pPr>
            <w:pStyle w:val="Footer"/>
            <w:tabs>
              <w:tab w:val="clear" w:pos="4153"/>
            </w:tabs>
            <w:ind w:right="-45"/>
            <w:jc w:val="right"/>
          </w:pPr>
          <w:r>
            <w:rPr>
              <w:noProof/>
            </w:rPr>
            <w:drawing>
              <wp:inline distT="0" distB="0" distL="0" distR="0">
                <wp:extent cx="1257300" cy="628650"/>
                <wp:effectExtent l="19050" t="0" r="0" b="0"/>
                <wp:docPr id="1" name="Picture 2" descr="A4 65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4 65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97FBD" w:rsidRDefault="00A97FBD">
    <w:pPr>
      <w:pStyle w:val="Footer"/>
      <w:tabs>
        <w:tab w:val="clear" w:pos="4153"/>
      </w:tabs>
      <w:ind w:right="-4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FBD" w:rsidRDefault="00A97FBD">
      <w:r>
        <w:separator/>
      </w:r>
    </w:p>
  </w:footnote>
  <w:footnote w:type="continuationSeparator" w:id="0">
    <w:p w:rsidR="00A97FBD" w:rsidRDefault="00A97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4F5" w:rsidRDefault="002D24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FBD" w:rsidRDefault="00A97FBD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4F5" w:rsidRDefault="002D24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D4C08"/>
    <w:multiLevelType w:val="hybridMultilevel"/>
    <w:tmpl w:val="02945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40F0A"/>
    <w:multiLevelType w:val="hybridMultilevel"/>
    <w:tmpl w:val="52260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33410"/>
    <w:multiLevelType w:val="hybridMultilevel"/>
    <w:tmpl w:val="081C9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57F3A"/>
    <w:multiLevelType w:val="hybridMultilevel"/>
    <w:tmpl w:val="6FC07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C0486"/>
    <w:multiLevelType w:val="hybridMultilevel"/>
    <w:tmpl w:val="5E2C5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D3036"/>
    <w:multiLevelType w:val="hybridMultilevel"/>
    <w:tmpl w:val="A90A6E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D576B8"/>
    <w:multiLevelType w:val="hybridMultilevel"/>
    <w:tmpl w:val="9912B172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425625"/>
    <w:multiLevelType w:val="hybridMultilevel"/>
    <w:tmpl w:val="835A9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36CFC"/>
    <w:multiLevelType w:val="hybridMultilevel"/>
    <w:tmpl w:val="4CC8F9CC"/>
    <w:lvl w:ilvl="0" w:tplc="C5ACF8B8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E5340"/>
    <w:multiLevelType w:val="hybridMultilevel"/>
    <w:tmpl w:val="FDC663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E4443"/>
    <w:multiLevelType w:val="hybridMultilevel"/>
    <w:tmpl w:val="155E2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2025D"/>
    <w:multiLevelType w:val="hybridMultilevel"/>
    <w:tmpl w:val="F07A408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450F30"/>
    <w:multiLevelType w:val="hybridMultilevel"/>
    <w:tmpl w:val="B148A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90247"/>
    <w:multiLevelType w:val="hybridMultilevel"/>
    <w:tmpl w:val="FE4A1A3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44137"/>
    <w:multiLevelType w:val="hybridMultilevel"/>
    <w:tmpl w:val="1542C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02ECB"/>
    <w:multiLevelType w:val="hybridMultilevel"/>
    <w:tmpl w:val="A09899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7672D"/>
    <w:multiLevelType w:val="hybridMultilevel"/>
    <w:tmpl w:val="ADFAD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9109B"/>
    <w:multiLevelType w:val="hybridMultilevel"/>
    <w:tmpl w:val="BB38F76C"/>
    <w:lvl w:ilvl="0" w:tplc="DE9EF8B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50C3B"/>
    <w:multiLevelType w:val="hybridMultilevel"/>
    <w:tmpl w:val="A19673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882716"/>
    <w:multiLevelType w:val="hybridMultilevel"/>
    <w:tmpl w:val="08445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C48B5"/>
    <w:multiLevelType w:val="hybridMultilevel"/>
    <w:tmpl w:val="39CC9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F3F76"/>
    <w:multiLevelType w:val="hybridMultilevel"/>
    <w:tmpl w:val="C76E811A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0A25E9"/>
    <w:multiLevelType w:val="hybridMultilevel"/>
    <w:tmpl w:val="0C743CC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7716AC"/>
    <w:multiLevelType w:val="hybridMultilevel"/>
    <w:tmpl w:val="4560C6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B578A6"/>
    <w:multiLevelType w:val="hybridMultilevel"/>
    <w:tmpl w:val="43185A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24"/>
  </w:num>
  <w:num w:numId="4">
    <w:abstractNumId w:val="23"/>
  </w:num>
  <w:num w:numId="5">
    <w:abstractNumId w:val="20"/>
  </w:num>
  <w:num w:numId="6">
    <w:abstractNumId w:val="10"/>
  </w:num>
  <w:num w:numId="7">
    <w:abstractNumId w:val="9"/>
  </w:num>
  <w:num w:numId="8">
    <w:abstractNumId w:val="13"/>
  </w:num>
  <w:num w:numId="9">
    <w:abstractNumId w:val="21"/>
  </w:num>
  <w:num w:numId="10">
    <w:abstractNumId w:val="6"/>
  </w:num>
  <w:num w:numId="11">
    <w:abstractNumId w:val="22"/>
  </w:num>
  <w:num w:numId="12">
    <w:abstractNumId w:val="11"/>
  </w:num>
  <w:num w:numId="13">
    <w:abstractNumId w:val="7"/>
  </w:num>
  <w:num w:numId="14">
    <w:abstractNumId w:val="3"/>
  </w:num>
  <w:num w:numId="15">
    <w:abstractNumId w:val="8"/>
  </w:num>
  <w:num w:numId="16">
    <w:abstractNumId w:val="4"/>
  </w:num>
  <w:num w:numId="17">
    <w:abstractNumId w:val="2"/>
  </w:num>
  <w:num w:numId="18">
    <w:abstractNumId w:val="14"/>
  </w:num>
  <w:num w:numId="19">
    <w:abstractNumId w:val="19"/>
  </w:num>
  <w:num w:numId="20">
    <w:abstractNumId w:val="16"/>
  </w:num>
  <w:num w:numId="21">
    <w:abstractNumId w:val="1"/>
  </w:num>
  <w:num w:numId="22">
    <w:abstractNumId w:val="12"/>
  </w:num>
  <w:num w:numId="23">
    <w:abstractNumId w:val="17"/>
  </w:num>
  <w:num w:numId="24">
    <w:abstractNumId w:val="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45"/>
    <w:rsid w:val="0000340B"/>
    <w:rsid w:val="00006E67"/>
    <w:rsid w:val="000257A1"/>
    <w:rsid w:val="00031D63"/>
    <w:rsid w:val="00043385"/>
    <w:rsid w:val="000615A2"/>
    <w:rsid w:val="00061DF2"/>
    <w:rsid w:val="000708AF"/>
    <w:rsid w:val="00074E6C"/>
    <w:rsid w:val="00093B39"/>
    <w:rsid w:val="00094809"/>
    <w:rsid w:val="000957D1"/>
    <w:rsid w:val="00096496"/>
    <w:rsid w:val="00097773"/>
    <w:rsid w:val="000A3C46"/>
    <w:rsid w:val="000B2517"/>
    <w:rsid w:val="000C05D6"/>
    <w:rsid w:val="000D0D79"/>
    <w:rsid w:val="000D7301"/>
    <w:rsid w:val="000E4237"/>
    <w:rsid w:val="000E6E79"/>
    <w:rsid w:val="000F2829"/>
    <w:rsid w:val="000F2A26"/>
    <w:rsid w:val="001143D2"/>
    <w:rsid w:val="00127670"/>
    <w:rsid w:val="00137D44"/>
    <w:rsid w:val="001433C0"/>
    <w:rsid w:val="001470EC"/>
    <w:rsid w:val="00153088"/>
    <w:rsid w:val="001717DA"/>
    <w:rsid w:val="00173388"/>
    <w:rsid w:val="00180D70"/>
    <w:rsid w:val="001818BC"/>
    <w:rsid w:val="00183EEF"/>
    <w:rsid w:val="00190D4C"/>
    <w:rsid w:val="00192B9E"/>
    <w:rsid w:val="001A1CEF"/>
    <w:rsid w:val="001C0824"/>
    <w:rsid w:val="001C1ACF"/>
    <w:rsid w:val="001C79E8"/>
    <w:rsid w:val="001D59A7"/>
    <w:rsid w:val="001D6C9A"/>
    <w:rsid w:val="001D78D1"/>
    <w:rsid w:val="001F19AC"/>
    <w:rsid w:val="001F2402"/>
    <w:rsid w:val="001F49DB"/>
    <w:rsid w:val="00207A90"/>
    <w:rsid w:val="00224214"/>
    <w:rsid w:val="00231DC7"/>
    <w:rsid w:val="00236429"/>
    <w:rsid w:val="00240A4D"/>
    <w:rsid w:val="00241DD7"/>
    <w:rsid w:val="0024328C"/>
    <w:rsid w:val="0024410B"/>
    <w:rsid w:val="00244DF3"/>
    <w:rsid w:val="00261838"/>
    <w:rsid w:val="00263341"/>
    <w:rsid w:val="002719DC"/>
    <w:rsid w:val="0028461B"/>
    <w:rsid w:val="002851AE"/>
    <w:rsid w:val="00287BD4"/>
    <w:rsid w:val="002929ED"/>
    <w:rsid w:val="002B040C"/>
    <w:rsid w:val="002B11AF"/>
    <w:rsid w:val="002B2ABB"/>
    <w:rsid w:val="002C0BFB"/>
    <w:rsid w:val="002C5E40"/>
    <w:rsid w:val="002D24F5"/>
    <w:rsid w:val="002D2A77"/>
    <w:rsid w:val="002F1A68"/>
    <w:rsid w:val="002F4A5E"/>
    <w:rsid w:val="00304A47"/>
    <w:rsid w:val="00313DA6"/>
    <w:rsid w:val="00314477"/>
    <w:rsid w:val="00325E44"/>
    <w:rsid w:val="003425C2"/>
    <w:rsid w:val="00346E87"/>
    <w:rsid w:val="0035203C"/>
    <w:rsid w:val="00354CAC"/>
    <w:rsid w:val="00357954"/>
    <w:rsid w:val="00360625"/>
    <w:rsid w:val="00371ACC"/>
    <w:rsid w:val="0038284C"/>
    <w:rsid w:val="00385A08"/>
    <w:rsid w:val="00392EF9"/>
    <w:rsid w:val="00395B41"/>
    <w:rsid w:val="003A606D"/>
    <w:rsid w:val="003C73D0"/>
    <w:rsid w:val="003C7ABE"/>
    <w:rsid w:val="003D0214"/>
    <w:rsid w:val="003D1BEC"/>
    <w:rsid w:val="003D6B66"/>
    <w:rsid w:val="003E3835"/>
    <w:rsid w:val="003E6A45"/>
    <w:rsid w:val="003E6BC4"/>
    <w:rsid w:val="003F60D7"/>
    <w:rsid w:val="00404666"/>
    <w:rsid w:val="00410E9A"/>
    <w:rsid w:val="00412930"/>
    <w:rsid w:val="004149CE"/>
    <w:rsid w:val="00422A32"/>
    <w:rsid w:val="004243E9"/>
    <w:rsid w:val="00426D61"/>
    <w:rsid w:val="00437C53"/>
    <w:rsid w:val="0044710C"/>
    <w:rsid w:val="00450705"/>
    <w:rsid w:val="00450823"/>
    <w:rsid w:val="00470952"/>
    <w:rsid w:val="00471323"/>
    <w:rsid w:val="004772A2"/>
    <w:rsid w:val="00487AD6"/>
    <w:rsid w:val="004918F3"/>
    <w:rsid w:val="00494670"/>
    <w:rsid w:val="00497324"/>
    <w:rsid w:val="004B58BA"/>
    <w:rsid w:val="004C06D7"/>
    <w:rsid w:val="004D3346"/>
    <w:rsid w:val="004D65D7"/>
    <w:rsid w:val="004D7D68"/>
    <w:rsid w:val="004E176E"/>
    <w:rsid w:val="0050799C"/>
    <w:rsid w:val="005100FD"/>
    <w:rsid w:val="005102E6"/>
    <w:rsid w:val="005171AA"/>
    <w:rsid w:val="0052320E"/>
    <w:rsid w:val="00526AD4"/>
    <w:rsid w:val="0053214F"/>
    <w:rsid w:val="00535E79"/>
    <w:rsid w:val="00541605"/>
    <w:rsid w:val="00546428"/>
    <w:rsid w:val="00551F3D"/>
    <w:rsid w:val="00560DCA"/>
    <w:rsid w:val="00570FEB"/>
    <w:rsid w:val="00575E3B"/>
    <w:rsid w:val="005819C8"/>
    <w:rsid w:val="00586FD4"/>
    <w:rsid w:val="005A2424"/>
    <w:rsid w:val="005C18CC"/>
    <w:rsid w:val="005D1D16"/>
    <w:rsid w:val="005D4BD0"/>
    <w:rsid w:val="005E0F58"/>
    <w:rsid w:val="005F23C7"/>
    <w:rsid w:val="005F5DCD"/>
    <w:rsid w:val="005F63C6"/>
    <w:rsid w:val="0061339A"/>
    <w:rsid w:val="00615CEB"/>
    <w:rsid w:val="0062383A"/>
    <w:rsid w:val="006247C6"/>
    <w:rsid w:val="00642823"/>
    <w:rsid w:val="006435AC"/>
    <w:rsid w:val="00650F0A"/>
    <w:rsid w:val="00662B3E"/>
    <w:rsid w:val="00666178"/>
    <w:rsid w:val="00670344"/>
    <w:rsid w:val="006763C6"/>
    <w:rsid w:val="00677256"/>
    <w:rsid w:val="00691C06"/>
    <w:rsid w:val="00696324"/>
    <w:rsid w:val="006A45F6"/>
    <w:rsid w:val="006A5ADC"/>
    <w:rsid w:val="006A7EEF"/>
    <w:rsid w:val="006E055A"/>
    <w:rsid w:val="006E2101"/>
    <w:rsid w:val="006E2C41"/>
    <w:rsid w:val="006E38F3"/>
    <w:rsid w:val="006F10D3"/>
    <w:rsid w:val="006F680C"/>
    <w:rsid w:val="00711051"/>
    <w:rsid w:val="00711809"/>
    <w:rsid w:val="0071339A"/>
    <w:rsid w:val="00713FF8"/>
    <w:rsid w:val="0072119D"/>
    <w:rsid w:val="00721714"/>
    <w:rsid w:val="00741CFC"/>
    <w:rsid w:val="007470DD"/>
    <w:rsid w:val="007478B3"/>
    <w:rsid w:val="00756F1E"/>
    <w:rsid w:val="007652D3"/>
    <w:rsid w:val="00772BBA"/>
    <w:rsid w:val="007832AC"/>
    <w:rsid w:val="00791837"/>
    <w:rsid w:val="007A0E4D"/>
    <w:rsid w:val="007A1FDE"/>
    <w:rsid w:val="007B3FFE"/>
    <w:rsid w:val="007B5959"/>
    <w:rsid w:val="007D1C0A"/>
    <w:rsid w:val="007D2C90"/>
    <w:rsid w:val="007D4473"/>
    <w:rsid w:val="007D56A3"/>
    <w:rsid w:val="007D5C1A"/>
    <w:rsid w:val="007D6B3E"/>
    <w:rsid w:val="007E5A0C"/>
    <w:rsid w:val="007E7A9F"/>
    <w:rsid w:val="007F0113"/>
    <w:rsid w:val="00805A20"/>
    <w:rsid w:val="0081416E"/>
    <w:rsid w:val="008209D7"/>
    <w:rsid w:val="00826154"/>
    <w:rsid w:val="008517F2"/>
    <w:rsid w:val="00856EB8"/>
    <w:rsid w:val="0085778C"/>
    <w:rsid w:val="00857E45"/>
    <w:rsid w:val="00863EA3"/>
    <w:rsid w:val="00870097"/>
    <w:rsid w:val="00872253"/>
    <w:rsid w:val="008756F1"/>
    <w:rsid w:val="00890BBA"/>
    <w:rsid w:val="008A0D8E"/>
    <w:rsid w:val="008A1241"/>
    <w:rsid w:val="008A5E88"/>
    <w:rsid w:val="008A7BC3"/>
    <w:rsid w:val="008B341A"/>
    <w:rsid w:val="008B569B"/>
    <w:rsid w:val="008B58C6"/>
    <w:rsid w:val="008B641D"/>
    <w:rsid w:val="008C165A"/>
    <w:rsid w:val="008D1AD6"/>
    <w:rsid w:val="008D4F9C"/>
    <w:rsid w:val="008E4458"/>
    <w:rsid w:val="008E5C1C"/>
    <w:rsid w:val="008F0987"/>
    <w:rsid w:val="008F6FEE"/>
    <w:rsid w:val="009226E8"/>
    <w:rsid w:val="0092462D"/>
    <w:rsid w:val="0093361C"/>
    <w:rsid w:val="00933F25"/>
    <w:rsid w:val="00942447"/>
    <w:rsid w:val="00961658"/>
    <w:rsid w:val="009771BF"/>
    <w:rsid w:val="00981129"/>
    <w:rsid w:val="0099020C"/>
    <w:rsid w:val="00991E39"/>
    <w:rsid w:val="009E1972"/>
    <w:rsid w:val="009E3AE9"/>
    <w:rsid w:val="009E4631"/>
    <w:rsid w:val="009F4514"/>
    <w:rsid w:val="009F5A37"/>
    <w:rsid w:val="00A0184D"/>
    <w:rsid w:val="00A0225E"/>
    <w:rsid w:val="00A05FEF"/>
    <w:rsid w:val="00A10B44"/>
    <w:rsid w:val="00A16B11"/>
    <w:rsid w:val="00A25E38"/>
    <w:rsid w:val="00A2645B"/>
    <w:rsid w:val="00A27074"/>
    <w:rsid w:val="00A275E2"/>
    <w:rsid w:val="00A27A80"/>
    <w:rsid w:val="00A328A6"/>
    <w:rsid w:val="00A404E2"/>
    <w:rsid w:val="00A412CF"/>
    <w:rsid w:val="00A50DE1"/>
    <w:rsid w:val="00A60B39"/>
    <w:rsid w:val="00A76024"/>
    <w:rsid w:val="00A800AC"/>
    <w:rsid w:val="00A8480D"/>
    <w:rsid w:val="00A9322C"/>
    <w:rsid w:val="00A96549"/>
    <w:rsid w:val="00A97FBD"/>
    <w:rsid w:val="00AA124E"/>
    <w:rsid w:val="00AA43FD"/>
    <w:rsid w:val="00AA7963"/>
    <w:rsid w:val="00AB3574"/>
    <w:rsid w:val="00AC60FC"/>
    <w:rsid w:val="00AD1E79"/>
    <w:rsid w:val="00AD4C49"/>
    <w:rsid w:val="00AD7BC1"/>
    <w:rsid w:val="00AF2BFC"/>
    <w:rsid w:val="00B138CB"/>
    <w:rsid w:val="00B231F3"/>
    <w:rsid w:val="00B233DA"/>
    <w:rsid w:val="00B24366"/>
    <w:rsid w:val="00B32938"/>
    <w:rsid w:val="00B37910"/>
    <w:rsid w:val="00B37998"/>
    <w:rsid w:val="00B42562"/>
    <w:rsid w:val="00B65066"/>
    <w:rsid w:val="00B6777B"/>
    <w:rsid w:val="00B7517B"/>
    <w:rsid w:val="00B83FA9"/>
    <w:rsid w:val="00B86969"/>
    <w:rsid w:val="00B96A28"/>
    <w:rsid w:val="00BA25DD"/>
    <w:rsid w:val="00BA67B0"/>
    <w:rsid w:val="00BB08CC"/>
    <w:rsid w:val="00BB0D71"/>
    <w:rsid w:val="00BC04E0"/>
    <w:rsid w:val="00BE721E"/>
    <w:rsid w:val="00C04361"/>
    <w:rsid w:val="00C1452D"/>
    <w:rsid w:val="00C15F61"/>
    <w:rsid w:val="00C20DC0"/>
    <w:rsid w:val="00C62992"/>
    <w:rsid w:val="00C64281"/>
    <w:rsid w:val="00C776A1"/>
    <w:rsid w:val="00C814B5"/>
    <w:rsid w:val="00C81B42"/>
    <w:rsid w:val="00C82317"/>
    <w:rsid w:val="00C82B3E"/>
    <w:rsid w:val="00C843EF"/>
    <w:rsid w:val="00C94F7C"/>
    <w:rsid w:val="00C95795"/>
    <w:rsid w:val="00CA587E"/>
    <w:rsid w:val="00CB158A"/>
    <w:rsid w:val="00CB72AA"/>
    <w:rsid w:val="00CB7827"/>
    <w:rsid w:val="00CD0525"/>
    <w:rsid w:val="00CD5239"/>
    <w:rsid w:val="00CE71D5"/>
    <w:rsid w:val="00CF5D92"/>
    <w:rsid w:val="00D00EDD"/>
    <w:rsid w:val="00D109F7"/>
    <w:rsid w:val="00D12C8A"/>
    <w:rsid w:val="00D14CF7"/>
    <w:rsid w:val="00D159E2"/>
    <w:rsid w:val="00D16832"/>
    <w:rsid w:val="00D20C50"/>
    <w:rsid w:val="00D26158"/>
    <w:rsid w:val="00D30791"/>
    <w:rsid w:val="00D315BB"/>
    <w:rsid w:val="00D35A41"/>
    <w:rsid w:val="00D46B9B"/>
    <w:rsid w:val="00D53D2B"/>
    <w:rsid w:val="00D567C6"/>
    <w:rsid w:val="00D605A5"/>
    <w:rsid w:val="00D61638"/>
    <w:rsid w:val="00D64F69"/>
    <w:rsid w:val="00D87503"/>
    <w:rsid w:val="00D94699"/>
    <w:rsid w:val="00D9718A"/>
    <w:rsid w:val="00DA0705"/>
    <w:rsid w:val="00DA4ACD"/>
    <w:rsid w:val="00DC09B5"/>
    <w:rsid w:val="00DD36AA"/>
    <w:rsid w:val="00DE5298"/>
    <w:rsid w:val="00DF3103"/>
    <w:rsid w:val="00E06A34"/>
    <w:rsid w:val="00E101C2"/>
    <w:rsid w:val="00E14EA8"/>
    <w:rsid w:val="00E16D84"/>
    <w:rsid w:val="00E209CD"/>
    <w:rsid w:val="00E213B0"/>
    <w:rsid w:val="00E4134C"/>
    <w:rsid w:val="00E47DD2"/>
    <w:rsid w:val="00E5011F"/>
    <w:rsid w:val="00E63776"/>
    <w:rsid w:val="00E75E2D"/>
    <w:rsid w:val="00E830B9"/>
    <w:rsid w:val="00EA24AD"/>
    <w:rsid w:val="00EA2564"/>
    <w:rsid w:val="00EA45E5"/>
    <w:rsid w:val="00EA7843"/>
    <w:rsid w:val="00EB37C2"/>
    <w:rsid w:val="00EB50C9"/>
    <w:rsid w:val="00EC2B27"/>
    <w:rsid w:val="00EC4108"/>
    <w:rsid w:val="00EC5E33"/>
    <w:rsid w:val="00EC65B6"/>
    <w:rsid w:val="00EC7B78"/>
    <w:rsid w:val="00ED60E5"/>
    <w:rsid w:val="00ED62CD"/>
    <w:rsid w:val="00EE08CA"/>
    <w:rsid w:val="00EE3B7A"/>
    <w:rsid w:val="00EE4192"/>
    <w:rsid w:val="00F003A4"/>
    <w:rsid w:val="00F01C10"/>
    <w:rsid w:val="00F02C19"/>
    <w:rsid w:val="00F046B1"/>
    <w:rsid w:val="00F07140"/>
    <w:rsid w:val="00F1241D"/>
    <w:rsid w:val="00F1287C"/>
    <w:rsid w:val="00F20AA5"/>
    <w:rsid w:val="00F22A08"/>
    <w:rsid w:val="00F46EAF"/>
    <w:rsid w:val="00F507B8"/>
    <w:rsid w:val="00F73630"/>
    <w:rsid w:val="00F8379A"/>
    <w:rsid w:val="00F863F2"/>
    <w:rsid w:val="00F9337D"/>
    <w:rsid w:val="00F94205"/>
    <w:rsid w:val="00F958DB"/>
    <w:rsid w:val="00FA224A"/>
    <w:rsid w:val="00FB692A"/>
    <w:rsid w:val="00FC3BBF"/>
    <w:rsid w:val="00FE0633"/>
    <w:rsid w:val="00FE1EA0"/>
    <w:rsid w:val="00FE20D8"/>
    <w:rsid w:val="00FE41AD"/>
    <w:rsid w:val="00FE5DDC"/>
    <w:rsid w:val="00FF271F"/>
    <w:rsid w:val="00FF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5:docId w15:val="{2D125F2C-40D8-49E8-A548-8D4F364A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85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043385"/>
    <w:pPr>
      <w:keepNext/>
      <w:outlineLvl w:val="0"/>
    </w:pPr>
    <w:rPr>
      <w:b/>
    </w:rPr>
  </w:style>
  <w:style w:type="paragraph" w:styleId="Heading5">
    <w:name w:val="heading 5"/>
    <w:basedOn w:val="Normal"/>
    <w:next w:val="Normal"/>
    <w:qFormat/>
    <w:rsid w:val="00043385"/>
    <w:pPr>
      <w:keepNext/>
      <w:outlineLvl w:val="4"/>
    </w:pPr>
    <w:rPr>
      <w:rFonts w:ascii="Univers" w:hAnsi="Univers"/>
      <w:b/>
      <w:u w:val="single"/>
    </w:rPr>
  </w:style>
  <w:style w:type="paragraph" w:styleId="Heading6">
    <w:name w:val="heading 6"/>
    <w:basedOn w:val="Normal"/>
    <w:next w:val="Normal"/>
    <w:qFormat/>
    <w:rsid w:val="00043385"/>
    <w:pPr>
      <w:keepNext/>
      <w:outlineLvl w:val="5"/>
    </w:pPr>
    <w:rPr>
      <w:rFonts w:ascii="Univers" w:hAnsi="Univers"/>
      <w:b/>
    </w:rPr>
  </w:style>
  <w:style w:type="paragraph" w:styleId="Heading7">
    <w:name w:val="heading 7"/>
    <w:basedOn w:val="Normal"/>
    <w:next w:val="Normal"/>
    <w:qFormat/>
    <w:rsid w:val="00043385"/>
    <w:pPr>
      <w:keepNext/>
      <w:outlineLvl w:val="6"/>
    </w:pPr>
    <w:rPr>
      <w:rFonts w:ascii="Univers" w:hAnsi="Univer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3385"/>
  </w:style>
  <w:style w:type="paragraph" w:customStyle="1" w:styleId="arial11">
    <w:name w:val="arial11"/>
    <w:basedOn w:val="Normal"/>
    <w:rsid w:val="00043385"/>
  </w:style>
  <w:style w:type="paragraph" w:styleId="BodyText">
    <w:name w:val="Body Text"/>
    <w:basedOn w:val="Normal"/>
    <w:rsid w:val="00043385"/>
  </w:style>
  <w:style w:type="paragraph" w:styleId="Footer">
    <w:name w:val="footer"/>
    <w:basedOn w:val="Normal"/>
    <w:rsid w:val="0004338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43385"/>
  </w:style>
  <w:style w:type="paragraph" w:styleId="BalloonText">
    <w:name w:val="Balloon Text"/>
    <w:basedOn w:val="Normal"/>
    <w:semiHidden/>
    <w:rsid w:val="003579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863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2823"/>
    <w:pPr>
      <w:ind w:left="720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B0D71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7F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FB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FB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F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FBD"/>
    <w:rPr>
      <w:rFonts w:ascii="Arial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6E05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e.Dunne@lancashire.gov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hris\Toolkit%20templates\Annex%206b%20-%20Committee%20Report%20(Excluding%20Regulation%20%20Development%20Control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2FA37-EF7A-4B0B-8076-6E6F5A2B2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 6b - Committee Report (Excluding Regulation  Development Control).dot</Template>
  <TotalTime>15</TotalTime>
  <Pages>3</Pages>
  <Words>656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name of Committee</vt:lpstr>
    </vt:vector>
  </TitlesOfParts>
  <Company> </Company>
  <LinksUpToDate>false</LinksUpToDate>
  <CharactersWithSpaces>4256</CharactersWithSpaces>
  <SharedDoc>false</SharedDoc>
  <HLinks>
    <vt:vector size="6" baseType="variant">
      <vt:variant>
        <vt:i4>4587617</vt:i4>
      </vt:variant>
      <vt:variant>
        <vt:i4>0</vt:i4>
      </vt:variant>
      <vt:variant>
        <vt:i4>0</vt:i4>
      </vt:variant>
      <vt:variant>
        <vt:i4>5</vt:i4>
      </vt:variant>
      <vt:variant>
        <vt:lpwstr>mailto:Michael.Walder@lancashire.gov.uk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name of Committee</dc:title>
  <dc:subject/>
  <dc:creator>rdmcm</dc:creator>
  <cp:keywords/>
  <dc:description>August 2009</dc:description>
  <cp:lastModifiedBy>Mansfield, Joanne</cp:lastModifiedBy>
  <cp:revision>4</cp:revision>
  <cp:lastPrinted>2015-11-19T14:12:00Z</cp:lastPrinted>
  <dcterms:created xsi:type="dcterms:W3CDTF">2015-12-03T12:22:00Z</dcterms:created>
  <dcterms:modified xsi:type="dcterms:W3CDTF">2015-12-04T12:36:00Z</dcterms:modified>
</cp:coreProperties>
</file>