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60F7B" w14:textId="77777777" w:rsidR="008E28DF" w:rsidRDefault="00F863F2" w:rsidP="00F863F2">
      <w:pPr>
        <w:rPr>
          <w:b/>
        </w:rPr>
      </w:pPr>
      <w:r>
        <w:rPr>
          <w:b/>
        </w:rPr>
        <w:t>Cabinet Committee on Perfo</w:t>
      </w:r>
      <w:r w:rsidR="008E28DF">
        <w:rPr>
          <w:b/>
        </w:rPr>
        <w:t>rmance Improvement</w:t>
      </w:r>
    </w:p>
    <w:p w14:paraId="39D6D97E" w14:textId="5EEBFEBE" w:rsidR="00F863F2" w:rsidRDefault="008E28DF" w:rsidP="00F863F2">
      <w:r w:rsidRPr="008E28DF">
        <w:t xml:space="preserve">Meeting to be held on Tuesday, </w:t>
      </w:r>
      <w:r w:rsidR="009A7D57" w:rsidRPr="008E28DF">
        <w:t>25 October</w:t>
      </w:r>
      <w:r w:rsidR="000D0D79" w:rsidRPr="008E28DF">
        <w:t xml:space="preserve"> 201</w:t>
      </w:r>
      <w:r w:rsidR="002E0332" w:rsidRPr="008E28DF">
        <w:t>6</w:t>
      </w:r>
    </w:p>
    <w:p w14:paraId="1E98AAB3" w14:textId="77777777" w:rsidR="003D2A55" w:rsidRDefault="003D2A55" w:rsidP="00F863F2"/>
    <w:p w14:paraId="02627A96" w14:textId="77777777" w:rsidR="00F863F2" w:rsidRDefault="00826154" w:rsidP="00F863F2">
      <w:pPr>
        <w:rPr>
          <w:b/>
        </w:rPr>
      </w:pPr>
      <w:r>
        <w:rPr>
          <w:b/>
        </w:rPr>
        <w:t>Report of the Chief Executive</w:t>
      </w:r>
    </w:p>
    <w:p w14:paraId="17058EBB" w14:textId="77777777" w:rsidR="003E6A45" w:rsidRDefault="003E6A45">
      <w:pPr>
        <w:pStyle w:val="arial11"/>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14:paraId="26D7B20F" w14:textId="77777777">
        <w:tc>
          <w:tcPr>
            <w:tcW w:w="3260" w:type="dxa"/>
          </w:tcPr>
          <w:p w14:paraId="4B41654A" w14:textId="632BC18C" w:rsidR="003E6A45" w:rsidRDefault="003E6A45" w:rsidP="003D2A55">
            <w:r>
              <w:rPr>
                <w:b/>
                <w:sz w:val="28"/>
              </w:rPr>
              <w:t xml:space="preserve">Part </w:t>
            </w:r>
            <w:r w:rsidR="00F863F2">
              <w:rPr>
                <w:b/>
                <w:sz w:val="28"/>
              </w:rPr>
              <w:t>I</w:t>
            </w:r>
            <w:r>
              <w:rPr>
                <w:b/>
                <w:sz w:val="28"/>
              </w:rPr>
              <w:t xml:space="preserve"> </w:t>
            </w:r>
          </w:p>
        </w:tc>
      </w:tr>
    </w:tbl>
    <w:p w14:paraId="3BD6ABB0" w14:textId="77777777"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14:paraId="29082C2D" w14:textId="77777777">
        <w:tc>
          <w:tcPr>
            <w:tcW w:w="3260" w:type="dxa"/>
          </w:tcPr>
          <w:p w14:paraId="3585484B" w14:textId="77777777" w:rsidR="003E6A45" w:rsidRDefault="003E6A45">
            <w:pPr>
              <w:pStyle w:val="BodyText"/>
            </w:pPr>
            <w:r>
              <w:t>Electoral Division affected:</w:t>
            </w:r>
          </w:p>
          <w:p w14:paraId="5533386A" w14:textId="77777777" w:rsidR="003E6A45" w:rsidRPr="00F863F2" w:rsidRDefault="00F863F2">
            <w:r w:rsidRPr="00F863F2">
              <w:t>All</w:t>
            </w:r>
          </w:p>
        </w:tc>
      </w:tr>
    </w:tbl>
    <w:p w14:paraId="399382E1" w14:textId="77777777" w:rsidR="003E6A45" w:rsidRDefault="003E6A45">
      <w:pPr>
        <w:rPr>
          <w:u w:val="single"/>
        </w:rPr>
      </w:pPr>
    </w:p>
    <w:p w14:paraId="6B10C4FB" w14:textId="77777777" w:rsidR="00F863F2" w:rsidRDefault="001818BC" w:rsidP="00F863F2">
      <w:pPr>
        <w:rPr>
          <w:b/>
        </w:rPr>
      </w:pPr>
      <w:r>
        <w:rPr>
          <w:b/>
        </w:rPr>
        <w:t xml:space="preserve">Quarterly </w:t>
      </w:r>
      <w:r w:rsidR="00AA7963">
        <w:rPr>
          <w:b/>
        </w:rPr>
        <w:t xml:space="preserve">Corporate </w:t>
      </w:r>
      <w:r w:rsidR="00D567C6">
        <w:rPr>
          <w:b/>
        </w:rPr>
        <w:t>Perfor</w:t>
      </w:r>
      <w:r w:rsidR="002340F4">
        <w:rPr>
          <w:b/>
        </w:rPr>
        <w:t>mance Monitoring Report</w:t>
      </w:r>
      <w:r w:rsidR="00D567C6">
        <w:rPr>
          <w:b/>
        </w:rPr>
        <w:t xml:space="preserve"> </w:t>
      </w:r>
      <w:r w:rsidR="006247C6">
        <w:rPr>
          <w:b/>
        </w:rPr>
        <w:t xml:space="preserve">– </w:t>
      </w:r>
      <w:r w:rsidR="008560B4">
        <w:rPr>
          <w:b/>
        </w:rPr>
        <w:t xml:space="preserve">Quarter </w:t>
      </w:r>
      <w:r w:rsidR="00BB6FFC">
        <w:rPr>
          <w:b/>
        </w:rPr>
        <w:t>1</w:t>
      </w:r>
      <w:r w:rsidR="00EB771F">
        <w:rPr>
          <w:b/>
        </w:rPr>
        <w:t xml:space="preserve"> 201</w:t>
      </w:r>
      <w:r w:rsidR="00BB6FFC">
        <w:rPr>
          <w:b/>
        </w:rPr>
        <w:t>6</w:t>
      </w:r>
      <w:r w:rsidR="00EB771F">
        <w:rPr>
          <w:b/>
        </w:rPr>
        <w:t>/1</w:t>
      </w:r>
      <w:r w:rsidR="00BB6FFC">
        <w:rPr>
          <w:b/>
        </w:rPr>
        <w:t>7</w:t>
      </w:r>
    </w:p>
    <w:p w14:paraId="7D61C9D1" w14:textId="1C40EEA7" w:rsidR="00F863F2" w:rsidRPr="005577F8" w:rsidRDefault="00F863F2" w:rsidP="00F863F2">
      <w:r w:rsidRPr="005577F8">
        <w:t>(Appendi</w:t>
      </w:r>
      <w:r w:rsidR="002E4A4C">
        <w:t>ces</w:t>
      </w:r>
      <w:r w:rsidRPr="005577F8">
        <w:t xml:space="preserve"> 'A</w:t>
      </w:r>
      <w:r w:rsidR="002E4A4C">
        <w:t>' and '</w:t>
      </w:r>
      <w:r w:rsidR="001F3962">
        <w:t>B</w:t>
      </w:r>
      <w:r w:rsidR="008D2556">
        <w:t>'</w:t>
      </w:r>
      <w:r w:rsidR="008908DF">
        <w:t xml:space="preserve"> refer</w:t>
      </w:r>
      <w:r w:rsidR="008D2556">
        <w:t>s</w:t>
      </w:r>
      <w:r w:rsidRPr="005577F8">
        <w:t>)</w:t>
      </w:r>
    </w:p>
    <w:p w14:paraId="2B8841DA" w14:textId="77777777" w:rsidR="003E6A45" w:rsidRPr="005819C8" w:rsidRDefault="003E6A45"/>
    <w:p w14:paraId="25530377" w14:textId="77777777" w:rsidR="003E6A45" w:rsidRDefault="003E6A45">
      <w:r>
        <w:t>Contact for further information:</w:t>
      </w:r>
    </w:p>
    <w:p w14:paraId="7CB8B9B4" w14:textId="77777777" w:rsidR="00F863F2" w:rsidRDefault="00F863F2" w:rsidP="00F863F2">
      <w:pPr>
        <w:ind w:right="-873"/>
      </w:pPr>
      <w:r>
        <w:t>Michael W</w:t>
      </w:r>
      <w:r w:rsidR="00826154">
        <w:t xml:space="preserve">alder, 01772 533637, </w:t>
      </w:r>
      <w:r w:rsidR="00420A4F">
        <w:t>Business Intelligence</w:t>
      </w:r>
      <w:r>
        <w:t xml:space="preserve">, </w:t>
      </w:r>
    </w:p>
    <w:p w14:paraId="55B9278C" w14:textId="77777777" w:rsidR="00F863F2" w:rsidRDefault="002A513B" w:rsidP="00F863F2">
      <w:pPr>
        <w:ind w:right="-873"/>
      </w:pPr>
      <w:hyperlink r:id="rId8" w:history="1">
        <w:r w:rsidR="00F863F2" w:rsidRPr="005819C8">
          <w:rPr>
            <w:rStyle w:val="Hyperlink"/>
          </w:rPr>
          <w:t>Michael.Walder@lancashire.gov.uk</w:t>
        </w:r>
      </w:hyperlink>
      <w:r w:rsidR="00F863F2">
        <w:t xml:space="preserve">  </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046B1" w14:paraId="31F3F7C5" w14:textId="77777777" w:rsidTr="00F046B1">
        <w:tc>
          <w:tcPr>
            <w:tcW w:w="9180" w:type="dxa"/>
          </w:tcPr>
          <w:p w14:paraId="5FEDCFAE" w14:textId="10B30701" w:rsidR="002E4A4C" w:rsidRDefault="002E4A4C" w:rsidP="003665B3">
            <w:pPr>
              <w:pStyle w:val="Heading6"/>
              <w:rPr>
                <w:rFonts w:ascii="Arial" w:hAnsi="Arial"/>
              </w:rPr>
            </w:pPr>
          </w:p>
          <w:p w14:paraId="3B2F1B1F" w14:textId="77777777" w:rsidR="00F046B1" w:rsidRDefault="00F046B1" w:rsidP="003665B3">
            <w:pPr>
              <w:pStyle w:val="Heading6"/>
              <w:rPr>
                <w:rFonts w:ascii="Arial" w:hAnsi="Arial"/>
              </w:rPr>
            </w:pPr>
            <w:r>
              <w:rPr>
                <w:rFonts w:ascii="Arial" w:hAnsi="Arial"/>
              </w:rPr>
              <w:t>Executive Summary</w:t>
            </w:r>
          </w:p>
          <w:p w14:paraId="1930585E" w14:textId="77777777" w:rsidR="003665B3" w:rsidRDefault="003665B3" w:rsidP="003665B3"/>
          <w:p w14:paraId="6EBADB66" w14:textId="77777777" w:rsidR="003665B3" w:rsidRDefault="003665B3" w:rsidP="003665B3">
            <w:r>
              <w:t>R</w:t>
            </w:r>
            <w:r w:rsidRPr="00D32953">
              <w:t xml:space="preserve">egular corporate monitoring of performance across the authority as a whole </w:t>
            </w:r>
            <w:r>
              <w:t>includes</w:t>
            </w:r>
            <w:r w:rsidRPr="00D32953">
              <w:t xml:space="preserve"> the production of quarterly reports and analysis of corporate performance.  </w:t>
            </w:r>
          </w:p>
          <w:p w14:paraId="117FBC50" w14:textId="77777777" w:rsidR="003665B3" w:rsidRDefault="003665B3" w:rsidP="003665B3"/>
          <w:p w14:paraId="6C67FE09" w14:textId="77777777" w:rsidR="003665B3" w:rsidRDefault="003665B3" w:rsidP="003665B3">
            <w:r w:rsidRPr="00D32953">
              <w:t xml:space="preserve">Quarterly Quality of Service reports </w:t>
            </w:r>
            <w:r>
              <w:t>against the themes of Start Well, Live Well and Age W</w:t>
            </w:r>
            <w:r w:rsidRPr="00D32953">
              <w:t>ell</w:t>
            </w:r>
            <w:r>
              <w:t xml:space="preserve">, along </w:t>
            </w:r>
            <w:r w:rsidR="009922B2">
              <w:t xml:space="preserve">with </w:t>
            </w:r>
            <w:r>
              <w:t xml:space="preserve">Highlight Reports for </w:t>
            </w:r>
            <w:r w:rsidRPr="00D32953">
              <w:rPr>
                <w:rFonts w:cs="Arial"/>
              </w:rPr>
              <w:t xml:space="preserve">Development &amp; Corporate </w:t>
            </w:r>
            <w:r>
              <w:rPr>
                <w:rFonts w:cs="Arial"/>
              </w:rPr>
              <w:t>S</w:t>
            </w:r>
            <w:r w:rsidRPr="00D32953">
              <w:rPr>
                <w:rFonts w:cs="Arial"/>
              </w:rPr>
              <w:t>ervices and Commissioning</w:t>
            </w:r>
            <w:r>
              <w:rPr>
                <w:rFonts w:cs="Arial"/>
              </w:rPr>
              <w:t>, Governance, Finance &amp; Public Services</w:t>
            </w:r>
            <w:r w:rsidRPr="00D32953">
              <w:t xml:space="preserve"> </w:t>
            </w:r>
            <w:r>
              <w:t>have been produced for quarter one</w:t>
            </w:r>
            <w:r w:rsidRPr="00D32953">
              <w:t xml:space="preserve"> </w:t>
            </w:r>
            <w:r>
              <w:t>2016/17</w:t>
            </w:r>
            <w:r w:rsidRPr="00D32953">
              <w:t xml:space="preserve">, giving an overview of performance against agreed headings and parameters.  </w:t>
            </w:r>
          </w:p>
          <w:p w14:paraId="6C898937" w14:textId="77777777" w:rsidR="00D32953" w:rsidRDefault="00D32953" w:rsidP="009F6FF7">
            <w:pPr>
              <w:rPr>
                <w:bCs/>
              </w:rPr>
            </w:pPr>
          </w:p>
          <w:p w14:paraId="7361FD30" w14:textId="77777777" w:rsidR="009F6FF7" w:rsidRDefault="00347754" w:rsidP="009F6FF7">
            <w:pPr>
              <w:rPr>
                <w:bCs/>
              </w:rPr>
            </w:pPr>
            <w:r>
              <w:rPr>
                <w:bCs/>
              </w:rPr>
              <w:t>This Corporate Performance Monitoring Report is derived from the in-depth monitoring reports and provides an overview of performance activity across the Council.</w:t>
            </w:r>
          </w:p>
          <w:p w14:paraId="113AFE2C" w14:textId="77777777" w:rsidR="003665B3" w:rsidRDefault="003665B3" w:rsidP="009F6FF7">
            <w:pPr>
              <w:rPr>
                <w:bCs/>
              </w:rPr>
            </w:pPr>
          </w:p>
          <w:p w14:paraId="1F358879" w14:textId="41EB8EED" w:rsidR="009F6FF7" w:rsidRDefault="00BB6FFC" w:rsidP="009F6FF7">
            <w:pPr>
              <w:rPr>
                <w:bCs/>
              </w:rPr>
            </w:pPr>
            <w:r>
              <w:rPr>
                <w:bCs/>
              </w:rPr>
              <w:t>An overview of the Quarter 1</w:t>
            </w:r>
            <w:r w:rsidR="009F6FF7">
              <w:rPr>
                <w:bCs/>
              </w:rPr>
              <w:t xml:space="preserve"> budget position is also provided at Appendix </w:t>
            </w:r>
            <w:r w:rsidR="002E4A4C">
              <w:rPr>
                <w:bCs/>
              </w:rPr>
              <w:t>'</w:t>
            </w:r>
            <w:r w:rsidR="009F6FF7">
              <w:rPr>
                <w:bCs/>
              </w:rPr>
              <w:t>A</w:t>
            </w:r>
            <w:r w:rsidR="002E4A4C">
              <w:rPr>
                <w:bCs/>
              </w:rPr>
              <w:t>'</w:t>
            </w:r>
            <w:r w:rsidR="009F6FF7">
              <w:rPr>
                <w:bCs/>
              </w:rPr>
              <w:t xml:space="preserve"> so performance can be viewed within the associated financial context.</w:t>
            </w:r>
          </w:p>
          <w:p w14:paraId="63C13D0E" w14:textId="77777777" w:rsidR="009F6FF7" w:rsidRDefault="009F6FF7" w:rsidP="009F6FF7">
            <w:pPr>
              <w:rPr>
                <w:bCs/>
              </w:rPr>
            </w:pPr>
          </w:p>
          <w:p w14:paraId="07503DA5" w14:textId="426DC87D" w:rsidR="00070646" w:rsidRDefault="00070646" w:rsidP="009F6FF7">
            <w:pPr>
              <w:rPr>
                <w:rFonts w:cs="Arial"/>
                <w:color w:val="000000" w:themeColor="text1"/>
              </w:rPr>
            </w:pPr>
            <w:r>
              <w:rPr>
                <w:rFonts w:cs="Arial"/>
                <w:color w:val="000000" w:themeColor="text1"/>
              </w:rPr>
              <w:t>In addition as part of this quarterly Corporat</w:t>
            </w:r>
            <w:r w:rsidR="001F3962">
              <w:rPr>
                <w:rFonts w:cs="Arial"/>
                <w:color w:val="000000" w:themeColor="text1"/>
              </w:rPr>
              <w:t>e Performance Monitoring report</w:t>
            </w:r>
            <w:r w:rsidR="009F6FF7">
              <w:rPr>
                <w:rFonts w:cs="Arial"/>
                <w:color w:val="000000" w:themeColor="text1"/>
              </w:rPr>
              <w:t>,</w:t>
            </w:r>
            <w:r w:rsidR="001F3962">
              <w:rPr>
                <w:rFonts w:cs="Arial"/>
                <w:color w:val="000000" w:themeColor="text1"/>
              </w:rPr>
              <w:t xml:space="preserve"> a</w:t>
            </w:r>
            <w:r w:rsidRPr="00070646">
              <w:rPr>
                <w:rFonts w:cs="Arial"/>
                <w:color w:val="000000" w:themeColor="text1"/>
              </w:rPr>
              <w:t xml:space="preserve"> latest post </w:t>
            </w:r>
            <w:r w:rsidR="003A01D6">
              <w:rPr>
                <w:rFonts w:cs="Arial"/>
                <w:color w:val="000000" w:themeColor="text1"/>
              </w:rPr>
              <w:t xml:space="preserve">(safeguarding) </w:t>
            </w:r>
            <w:r w:rsidR="001172CF">
              <w:rPr>
                <w:rFonts w:cs="Arial"/>
                <w:color w:val="000000" w:themeColor="text1"/>
              </w:rPr>
              <w:t xml:space="preserve">Children's Service </w:t>
            </w:r>
            <w:r w:rsidRPr="00070646">
              <w:rPr>
                <w:rFonts w:cs="Arial"/>
                <w:color w:val="000000" w:themeColor="text1"/>
              </w:rPr>
              <w:t>Ofsted inspection update has b</w:t>
            </w:r>
            <w:r w:rsidR="009F6FF7">
              <w:rPr>
                <w:rFonts w:cs="Arial"/>
                <w:color w:val="000000" w:themeColor="text1"/>
              </w:rPr>
              <w:t xml:space="preserve">een attached at Appendix </w:t>
            </w:r>
            <w:r w:rsidR="002E4A4C">
              <w:rPr>
                <w:rFonts w:cs="Arial"/>
                <w:color w:val="000000" w:themeColor="text1"/>
              </w:rPr>
              <w:t>'</w:t>
            </w:r>
            <w:r w:rsidR="009F6FF7">
              <w:rPr>
                <w:rFonts w:cs="Arial"/>
                <w:color w:val="000000" w:themeColor="text1"/>
              </w:rPr>
              <w:t>B</w:t>
            </w:r>
            <w:r w:rsidR="002E4A4C">
              <w:rPr>
                <w:rFonts w:cs="Arial"/>
                <w:color w:val="000000" w:themeColor="text1"/>
              </w:rPr>
              <w:t>'</w:t>
            </w:r>
            <w:r w:rsidRPr="00070646">
              <w:rPr>
                <w:rFonts w:cs="Arial"/>
                <w:color w:val="000000" w:themeColor="text1"/>
              </w:rPr>
              <w:t xml:space="preserve"> and updates will continue to feature in the</w:t>
            </w:r>
            <w:r w:rsidR="00DE24D1">
              <w:rPr>
                <w:rFonts w:cs="Arial"/>
                <w:color w:val="000000" w:themeColor="text1"/>
              </w:rPr>
              <w:t>se</w:t>
            </w:r>
            <w:r w:rsidRPr="00070646">
              <w:rPr>
                <w:rFonts w:cs="Arial"/>
                <w:color w:val="000000" w:themeColor="text1"/>
              </w:rPr>
              <w:t xml:space="preserve"> reports going forward</w:t>
            </w:r>
            <w:r>
              <w:rPr>
                <w:rFonts w:cs="Arial"/>
                <w:color w:val="000000" w:themeColor="text1"/>
              </w:rPr>
              <w:t xml:space="preserve">. </w:t>
            </w:r>
          </w:p>
          <w:p w14:paraId="2C59AA93" w14:textId="77777777" w:rsidR="00070646" w:rsidRPr="00070646" w:rsidRDefault="00070646" w:rsidP="009F6FF7">
            <w:pPr>
              <w:rPr>
                <w:rFonts w:cs="Arial"/>
                <w:b/>
                <w:color w:val="000000" w:themeColor="text1"/>
              </w:rPr>
            </w:pPr>
          </w:p>
          <w:p w14:paraId="06F195C2" w14:textId="77777777" w:rsidR="00F046B1" w:rsidRDefault="00F046B1" w:rsidP="00F046B1">
            <w:pPr>
              <w:pStyle w:val="Heading5"/>
              <w:rPr>
                <w:rFonts w:ascii="Arial" w:hAnsi="Arial"/>
                <w:b w:val="0"/>
                <w:u w:val="none"/>
              </w:rPr>
            </w:pPr>
            <w:r>
              <w:rPr>
                <w:rFonts w:ascii="Arial" w:hAnsi="Arial"/>
                <w:u w:val="none"/>
              </w:rPr>
              <w:t>Recommendation</w:t>
            </w:r>
          </w:p>
          <w:p w14:paraId="7D0AEA78" w14:textId="77777777" w:rsidR="00F046B1" w:rsidRDefault="00F046B1" w:rsidP="00F046B1"/>
          <w:p w14:paraId="26D20A3C" w14:textId="410DE7FA" w:rsidR="00F046B1" w:rsidRDefault="002E4A4C" w:rsidP="00070646">
            <w:r>
              <w:t>The Cabinet Committee on Performance Improvement</w:t>
            </w:r>
            <w:r w:rsidR="00346E87" w:rsidRPr="00346E87">
              <w:t xml:space="preserve"> </w:t>
            </w:r>
            <w:r w:rsidR="00347754">
              <w:t>is</w:t>
            </w:r>
            <w:r w:rsidR="00347754" w:rsidRPr="00346E87">
              <w:t xml:space="preserve"> </w:t>
            </w:r>
            <w:r w:rsidR="00346E87" w:rsidRPr="00346E87">
              <w:t xml:space="preserve">asked to </w:t>
            </w:r>
            <w:r w:rsidR="00F046B1" w:rsidRPr="00346E87">
              <w:t>comment</w:t>
            </w:r>
            <w:r w:rsidR="00F046B1" w:rsidRPr="00346E87">
              <w:rPr>
                <w:i/>
              </w:rPr>
              <w:t xml:space="preserve"> </w:t>
            </w:r>
            <w:r w:rsidR="00F046B1" w:rsidRPr="00346E87">
              <w:t>on</w:t>
            </w:r>
            <w:r w:rsidR="00EC4108">
              <w:t xml:space="preserve"> the reported </w:t>
            </w:r>
            <w:r w:rsidR="00F046B1">
              <w:t>performance</w:t>
            </w:r>
            <w:r w:rsidR="00F22A08">
              <w:t xml:space="preserve"> </w:t>
            </w:r>
            <w:r w:rsidR="00263341">
              <w:t>fo</w:t>
            </w:r>
            <w:r w:rsidR="008D2556">
              <w:t xml:space="preserve">r quarter </w:t>
            </w:r>
            <w:r w:rsidR="00BB6FFC">
              <w:t>1</w:t>
            </w:r>
            <w:r w:rsidR="00070646">
              <w:t xml:space="preserve"> and the Ofsted post inspection update</w:t>
            </w:r>
            <w:r w:rsidR="00F67754">
              <w:t xml:space="preserve"> </w:t>
            </w:r>
            <w:r w:rsidR="00D7513F">
              <w:t>information provided</w:t>
            </w:r>
            <w:r w:rsidR="00EC4108">
              <w:t>.</w:t>
            </w:r>
          </w:p>
          <w:p w14:paraId="62DF7763" w14:textId="77777777" w:rsidR="001F3962" w:rsidRDefault="001F3962" w:rsidP="00070646"/>
        </w:tc>
      </w:tr>
    </w:tbl>
    <w:p w14:paraId="7774FC22" w14:textId="77777777" w:rsidR="002340F4" w:rsidRDefault="002340F4" w:rsidP="00772BBA">
      <w:pPr>
        <w:rPr>
          <w:b/>
        </w:rPr>
      </w:pPr>
    </w:p>
    <w:p w14:paraId="5DF98DB3" w14:textId="77777777" w:rsidR="00FC533C" w:rsidRDefault="00FC533C" w:rsidP="00772BBA">
      <w:pPr>
        <w:rPr>
          <w:b/>
        </w:rPr>
      </w:pPr>
    </w:p>
    <w:p w14:paraId="49BDF4DA" w14:textId="77777777" w:rsidR="00FC533C" w:rsidRDefault="00FC533C" w:rsidP="00772BBA">
      <w:pPr>
        <w:rPr>
          <w:b/>
        </w:rPr>
      </w:pPr>
    </w:p>
    <w:p w14:paraId="6C47A84F" w14:textId="77777777" w:rsidR="00E27163" w:rsidRDefault="00E27163" w:rsidP="00772BBA">
      <w:pPr>
        <w:rPr>
          <w:b/>
        </w:rPr>
      </w:pPr>
    </w:p>
    <w:p w14:paraId="1410D17E" w14:textId="77777777" w:rsidR="00772BBA" w:rsidRDefault="00772BBA" w:rsidP="00772BBA">
      <w:pPr>
        <w:rPr>
          <w:b/>
        </w:rPr>
      </w:pPr>
      <w:r>
        <w:rPr>
          <w:b/>
        </w:rPr>
        <w:t xml:space="preserve">Background and Advice </w:t>
      </w:r>
    </w:p>
    <w:p w14:paraId="64418CBD" w14:textId="77777777" w:rsidR="001F3962" w:rsidRDefault="001F3962" w:rsidP="00772BBA">
      <w:pPr>
        <w:rPr>
          <w:b/>
        </w:rPr>
      </w:pPr>
    </w:p>
    <w:p w14:paraId="41C110D1" w14:textId="77777777" w:rsidR="00D32953" w:rsidRDefault="003E79F4" w:rsidP="009F6FF7">
      <w:r>
        <w:t>R</w:t>
      </w:r>
      <w:r w:rsidR="005102E6" w:rsidRPr="00D32953">
        <w:t>egular corporate monitoring of performance across the authority as a whole</w:t>
      </w:r>
      <w:r w:rsidR="007A4131" w:rsidRPr="00D32953">
        <w:t xml:space="preserve"> </w:t>
      </w:r>
      <w:r>
        <w:t>includes</w:t>
      </w:r>
      <w:r w:rsidR="007A4131" w:rsidRPr="00D32953">
        <w:t xml:space="preserve"> the production</w:t>
      </w:r>
      <w:r w:rsidR="005102E6" w:rsidRPr="00D32953">
        <w:t xml:space="preserve"> </w:t>
      </w:r>
      <w:r w:rsidR="007A4131" w:rsidRPr="00D32953">
        <w:t xml:space="preserve">of </w:t>
      </w:r>
      <w:r w:rsidR="005102E6" w:rsidRPr="00D32953">
        <w:t>quarterly reports and analysis of corporate performance.</w:t>
      </w:r>
      <w:r w:rsidR="007A4131" w:rsidRPr="00D32953">
        <w:t xml:space="preserve">  </w:t>
      </w:r>
      <w:r w:rsidR="008D3EE2" w:rsidRPr="00D32953">
        <w:t>Q</w:t>
      </w:r>
      <w:r w:rsidR="005102E6" w:rsidRPr="00D32953">
        <w:t>uarterly Quality of Service report</w:t>
      </w:r>
      <w:r w:rsidR="008D3EE2" w:rsidRPr="00D32953">
        <w:t xml:space="preserve">s </w:t>
      </w:r>
      <w:r w:rsidR="009F6FF7">
        <w:t>against the themes of Start Well, Live Well and Age W</w:t>
      </w:r>
      <w:r w:rsidR="00652BE4" w:rsidRPr="00D32953">
        <w:t xml:space="preserve">ell </w:t>
      </w:r>
      <w:r w:rsidR="008E28DF">
        <w:t xml:space="preserve">have been produced for quarter </w:t>
      </w:r>
      <w:r>
        <w:t>one</w:t>
      </w:r>
      <w:r w:rsidRPr="00D32953">
        <w:t xml:space="preserve"> </w:t>
      </w:r>
      <w:r>
        <w:t>2016/17</w:t>
      </w:r>
      <w:r w:rsidR="00652BE4" w:rsidRPr="00D32953">
        <w:t xml:space="preserve">, </w:t>
      </w:r>
      <w:r w:rsidR="00CB4D47" w:rsidRPr="00D32953">
        <w:t xml:space="preserve">giving an overview of performance against agreed headings and parameters.  </w:t>
      </w:r>
    </w:p>
    <w:p w14:paraId="26AEF9D2" w14:textId="77777777" w:rsidR="009F6FF7" w:rsidRDefault="009F6FF7" w:rsidP="009F6FF7"/>
    <w:p w14:paraId="21B2A33D" w14:textId="77777777" w:rsidR="009F6FF7" w:rsidRDefault="00CB4D47" w:rsidP="009F6FF7">
      <w:r w:rsidRPr="00D32953">
        <w:t>In addition</w:t>
      </w:r>
      <w:r w:rsidR="00652BE4" w:rsidRPr="00D32953">
        <w:t xml:space="preserve"> Highlight reports</w:t>
      </w:r>
      <w:r w:rsidRPr="00D32953">
        <w:t xml:space="preserve"> ha</w:t>
      </w:r>
      <w:r w:rsidR="00A61A19">
        <w:t>ve</w:t>
      </w:r>
      <w:r w:rsidRPr="00D32953">
        <w:t xml:space="preserve"> been produced for </w:t>
      </w:r>
      <w:r w:rsidRPr="00D32953">
        <w:rPr>
          <w:rFonts w:cs="Arial"/>
        </w:rPr>
        <w:t xml:space="preserve">Development &amp; Corporate </w:t>
      </w:r>
      <w:r w:rsidR="003D7574">
        <w:rPr>
          <w:rFonts w:cs="Arial"/>
        </w:rPr>
        <w:t>S</w:t>
      </w:r>
      <w:r w:rsidRPr="00D32953">
        <w:rPr>
          <w:rFonts w:cs="Arial"/>
        </w:rPr>
        <w:t>ervices and Commissioning</w:t>
      </w:r>
      <w:r w:rsidR="009F6FF7">
        <w:rPr>
          <w:rFonts w:cs="Arial"/>
        </w:rPr>
        <w:t>, Governance, Finance &amp; Public S</w:t>
      </w:r>
      <w:r w:rsidRPr="00D32953">
        <w:rPr>
          <w:rFonts w:cs="Arial"/>
        </w:rPr>
        <w:t>ervices.</w:t>
      </w:r>
      <w:r w:rsidRPr="00D32953">
        <w:t xml:space="preserve"> </w:t>
      </w:r>
    </w:p>
    <w:p w14:paraId="5D2D2C9B" w14:textId="77777777" w:rsidR="003665B3" w:rsidRDefault="003665B3" w:rsidP="009F6FF7"/>
    <w:p w14:paraId="29152128" w14:textId="77777777" w:rsidR="003665B3" w:rsidRDefault="003665B3" w:rsidP="003665B3">
      <w:pPr>
        <w:rPr>
          <w:bCs/>
        </w:rPr>
      </w:pPr>
      <w:r>
        <w:rPr>
          <w:bCs/>
        </w:rPr>
        <w:t>In addition to</w:t>
      </w:r>
      <w:r w:rsidRPr="00D32953">
        <w:rPr>
          <w:bCs/>
        </w:rPr>
        <w:t xml:space="preserve"> monitoring and providing progress updates against budgets, projects and other future developments, each Quality of Service and Highlight report gives det</w:t>
      </w:r>
      <w:r>
        <w:rPr>
          <w:bCs/>
        </w:rPr>
        <w:t>ails of performance against key i</w:t>
      </w:r>
      <w:r w:rsidRPr="00D32953">
        <w:rPr>
          <w:bCs/>
        </w:rPr>
        <w:t>ndicators for that quarter.</w:t>
      </w:r>
    </w:p>
    <w:p w14:paraId="2AA5D61F" w14:textId="77777777" w:rsidR="009F6FF7" w:rsidRDefault="009F6FF7" w:rsidP="009F6FF7"/>
    <w:p w14:paraId="37142DE4" w14:textId="67C3ABEF" w:rsidR="002E0332" w:rsidRDefault="003C7ABE" w:rsidP="002E0332">
      <w:pPr>
        <w:spacing w:after="120"/>
        <w:rPr>
          <w:bCs/>
          <w:szCs w:val="24"/>
        </w:rPr>
      </w:pPr>
      <w:r>
        <w:rPr>
          <w:bCs/>
          <w:szCs w:val="24"/>
        </w:rPr>
        <w:t>Monitoring across thes</w:t>
      </w:r>
      <w:r w:rsidR="00DE24D1">
        <w:rPr>
          <w:bCs/>
          <w:szCs w:val="24"/>
        </w:rPr>
        <w:t>e Q</w:t>
      </w:r>
      <w:r w:rsidR="00F0078A">
        <w:rPr>
          <w:bCs/>
          <w:szCs w:val="24"/>
        </w:rPr>
        <w:t>uarter</w:t>
      </w:r>
      <w:r w:rsidR="007F70B3">
        <w:rPr>
          <w:bCs/>
          <w:szCs w:val="24"/>
        </w:rPr>
        <w:t xml:space="preserve"> </w:t>
      </w:r>
      <w:r w:rsidR="00216625">
        <w:rPr>
          <w:bCs/>
          <w:szCs w:val="24"/>
        </w:rPr>
        <w:t xml:space="preserve">1 </w:t>
      </w:r>
      <w:r w:rsidR="007F70B3">
        <w:rPr>
          <w:bCs/>
          <w:szCs w:val="24"/>
        </w:rPr>
        <w:t>(Q</w:t>
      </w:r>
      <w:r w:rsidR="009922B2">
        <w:rPr>
          <w:bCs/>
          <w:szCs w:val="24"/>
        </w:rPr>
        <w:t>1</w:t>
      </w:r>
      <w:r w:rsidR="007F70B3">
        <w:rPr>
          <w:bCs/>
          <w:szCs w:val="24"/>
        </w:rPr>
        <w:t>)</w:t>
      </w:r>
      <w:r w:rsidR="00F0078A">
        <w:rPr>
          <w:bCs/>
          <w:szCs w:val="24"/>
        </w:rPr>
        <w:t xml:space="preserve"> </w:t>
      </w:r>
      <w:r w:rsidR="00F9337D">
        <w:rPr>
          <w:bCs/>
          <w:szCs w:val="24"/>
        </w:rPr>
        <w:t>indi</w:t>
      </w:r>
      <w:r w:rsidR="00D32953">
        <w:rPr>
          <w:bCs/>
          <w:szCs w:val="24"/>
        </w:rPr>
        <w:t>cators</w:t>
      </w:r>
      <w:r w:rsidR="00A404E2">
        <w:rPr>
          <w:bCs/>
          <w:szCs w:val="24"/>
        </w:rPr>
        <w:t xml:space="preserve"> </w:t>
      </w:r>
      <w:r w:rsidR="00D32953">
        <w:rPr>
          <w:bCs/>
          <w:szCs w:val="24"/>
        </w:rPr>
        <w:t xml:space="preserve">has been used to provide this report.  </w:t>
      </w:r>
    </w:p>
    <w:p w14:paraId="1C315A5F" w14:textId="77777777" w:rsidR="00FF3733" w:rsidRPr="002E0332" w:rsidRDefault="00E9239F" w:rsidP="002E0332">
      <w:pPr>
        <w:spacing w:after="120"/>
        <w:rPr>
          <w:bCs/>
          <w:szCs w:val="24"/>
        </w:rPr>
      </w:pPr>
      <w:r w:rsidRPr="002E0332">
        <w:rPr>
          <w:rFonts w:cs="Arial"/>
          <w:b/>
          <w:color w:val="000000"/>
          <w:szCs w:val="24"/>
        </w:rPr>
        <w:t>Perf</w:t>
      </w:r>
      <w:r w:rsidR="009F6FF7">
        <w:rPr>
          <w:rFonts w:cs="Arial"/>
          <w:b/>
          <w:color w:val="000000"/>
          <w:szCs w:val="24"/>
        </w:rPr>
        <w:t>ormance S</w:t>
      </w:r>
      <w:r w:rsidR="002340F4" w:rsidRPr="002E0332">
        <w:rPr>
          <w:rFonts w:cs="Arial"/>
          <w:b/>
          <w:color w:val="000000"/>
          <w:szCs w:val="24"/>
        </w:rPr>
        <w:t>ummary</w:t>
      </w:r>
    </w:p>
    <w:p w14:paraId="2C64C07C" w14:textId="77777777" w:rsidR="001154EC" w:rsidRDefault="001154EC" w:rsidP="00772BBA">
      <w:pPr>
        <w:rPr>
          <w:rFonts w:cs="Arial"/>
          <w:b/>
          <w:szCs w:val="24"/>
        </w:rPr>
      </w:pPr>
      <w:r w:rsidRPr="001172CF">
        <w:rPr>
          <w:rFonts w:cs="Arial"/>
          <w:b/>
          <w:szCs w:val="24"/>
        </w:rPr>
        <w:t>Start Well</w:t>
      </w:r>
    </w:p>
    <w:p w14:paraId="303923F3" w14:textId="77777777" w:rsidR="00B830E3" w:rsidRDefault="00B830E3" w:rsidP="00772BBA">
      <w:pPr>
        <w:rPr>
          <w:rFonts w:cs="Arial"/>
          <w:b/>
          <w:szCs w:val="24"/>
        </w:rPr>
      </w:pPr>
    </w:p>
    <w:p w14:paraId="1B24DF05" w14:textId="77777777" w:rsidR="00EE53B8" w:rsidRPr="003F4E8F" w:rsidRDefault="00A93653" w:rsidP="003F4E8F">
      <w:pPr>
        <w:pStyle w:val="ListParagraph"/>
        <w:numPr>
          <w:ilvl w:val="0"/>
          <w:numId w:val="14"/>
        </w:numPr>
        <w:rPr>
          <w:rFonts w:cs="Arial"/>
        </w:rPr>
      </w:pPr>
      <w:r w:rsidRPr="00A93653">
        <w:rPr>
          <w:rFonts w:cs="Arial"/>
        </w:rPr>
        <w:t xml:space="preserve">The number </w:t>
      </w:r>
      <w:r w:rsidR="003F4E8F">
        <w:rPr>
          <w:rFonts w:cs="Arial"/>
        </w:rPr>
        <w:t xml:space="preserve">of </w:t>
      </w:r>
      <w:r w:rsidRPr="00A93653">
        <w:rPr>
          <w:rFonts w:cs="Arial"/>
        </w:rPr>
        <w:t xml:space="preserve">child protection plans at the end of quarter one 2016/17 (1,564) had increased </w:t>
      </w:r>
      <w:r w:rsidR="003F4E8F">
        <w:rPr>
          <w:rFonts w:cs="Arial"/>
        </w:rPr>
        <w:t xml:space="preserve">by </w:t>
      </w:r>
      <w:r w:rsidRPr="00A93653">
        <w:rPr>
          <w:rFonts w:cs="Arial"/>
        </w:rPr>
        <w:t xml:space="preserve">8.3% when compared to the </w:t>
      </w:r>
      <w:r w:rsidR="003F4E8F">
        <w:rPr>
          <w:rFonts w:cs="Arial"/>
        </w:rPr>
        <w:t xml:space="preserve">previous quarter </w:t>
      </w:r>
      <w:r w:rsidR="009B5EA3">
        <w:rPr>
          <w:rFonts w:cs="Arial"/>
        </w:rPr>
        <w:t xml:space="preserve">4 position of </w:t>
      </w:r>
      <w:r w:rsidR="003F4E8F">
        <w:rPr>
          <w:rFonts w:cs="Arial"/>
        </w:rPr>
        <w:t>1,443</w:t>
      </w:r>
      <w:r w:rsidR="009B5EA3">
        <w:rPr>
          <w:rFonts w:cs="Arial"/>
        </w:rPr>
        <w:t xml:space="preserve"> (we are still awaiting the year end statutory return figure to be confirmed</w:t>
      </w:r>
      <w:r w:rsidR="00C11F67">
        <w:rPr>
          <w:rFonts w:cs="Arial"/>
        </w:rPr>
        <w:t xml:space="preserve"> – due in November</w:t>
      </w:r>
      <w:r w:rsidR="003F4E8F">
        <w:rPr>
          <w:rFonts w:cs="Arial"/>
        </w:rPr>
        <w:t>).  T</w:t>
      </w:r>
      <w:r w:rsidR="003F4E8F" w:rsidRPr="00A93653">
        <w:rPr>
          <w:rFonts w:cs="Arial"/>
        </w:rPr>
        <w:t>he numbers have b</w:t>
      </w:r>
      <w:r w:rsidR="003F4E8F">
        <w:rPr>
          <w:rFonts w:cs="Arial"/>
        </w:rPr>
        <w:t xml:space="preserve">een increasing every month </w:t>
      </w:r>
      <w:r w:rsidR="009B5EA3">
        <w:rPr>
          <w:rFonts w:cs="Arial"/>
        </w:rPr>
        <w:t xml:space="preserve">since </w:t>
      </w:r>
      <w:r w:rsidRPr="00A93653">
        <w:rPr>
          <w:rFonts w:cs="Arial"/>
        </w:rPr>
        <w:t xml:space="preserve">the end of May </w:t>
      </w:r>
      <w:r w:rsidR="003F4E8F">
        <w:rPr>
          <w:rFonts w:cs="Arial"/>
        </w:rPr>
        <w:t>2015 (953)</w:t>
      </w:r>
      <w:r w:rsidRPr="00A93653">
        <w:rPr>
          <w:rFonts w:cs="Arial"/>
        </w:rPr>
        <w:t>.</w:t>
      </w:r>
    </w:p>
    <w:p w14:paraId="708C9011" w14:textId="77777777" w:rsidR="00A93653" w:rsidRDefault="00A93653" w:rsidP="00E76159">
      <w:pPr>
        <w:pStyle w:val="ListParagraph"/>
        <w:contextualSpacing/>
        <w:rPr>
          <w:rFonts w:cs="Arial"/>
        </w:rPr>
      </w:pPr>
    </w:p>
    <w:p w14:paraId="5B7FC06E" w14:textId="77777777" w:rsidR="00A93653" w:rsidRPr="00742D15" w:rsidRDefault="00A93653" w:rsidP="00A93653">
      <w:pPr>
        <w:pStyle w:val="ListParagraph"/>
        <w:numPr>
          <w:ilvl w:val="0"/>
          <w:numId w:val="14"/>
        </w:numPr>
        <w:rPr>
          <w:rFonts w:cs="Arial"/>
          <w:color w:val="000000"/>
        </w:rPr>
      </w:pPr>
      <w:r w:rsidRPr="00A93653">
        <w:rPr>
          <w:rFonts w:cs="Arial"/>
        </w:rPr>
        <w:t xml:space="preserve">The number of children looked after </w:t>
      </w:r>
      <w:r w:rsidR="009922B2">
        <w:rPr>
          <w:rFonts w:cs="Arial"/>
        </w:rPr>
        <w:t>increased</w:t>
      </w:r>
      <w:r w:rsidR="009922B2" w:rsidRPr="00A93653">
        <w:rPr>
          <w:rFonts w:cs="Arial"/>
        </w:rPr>
        <w:t xml:space="preserve"> </w:t>
      </w:r>
      <w:r w:rsidRPr="00A93653">
        <w:rPr>
          <w:rFonts w:cs="Arial"/>
        </w:rPr>
        <w:t>slightly at the end of quarter one 2016/17 (1,685) when compared to the p</w:t>
      </w:r>
      <w:r w:rsidR="001956B4">
        <w:rPr>
          <w:rFonts w:cs="Arial"/>
        </w:rPr>
        <w:t>revious quarter</w:t>
      </w:r>
      <w:r w:rsidR="009B5EA3">
        <w:rPr>
          <w:rFonts w:cs="Arial"/>
        </w:rPr>
        <w:t xml:space="preserve"> 4 and published year end position of 1,665</w:t>
      </w:r>
      <w:r w:rsidR="001956B4">
        <w:rPr>
          <w:rFonts w:cs="Arial"/>
        </w:rPr>
        <w:t xml:space="preserve">. The lowest figure in the last reporting year were seen at the end of quarter 1 2015/16 </w:t>
      </w:r>
      <w:r w:rsidR="001956B4" w:rsidRPr="00A93653">
        <w:rPr>
          <w:rFonts w:cs="Arial"/>
        </w:rPr>
        <w:t>(1,5</w:t>
      </w:r>
      <w:r w:rsidR="001956B4">
        <w:rPr>
          <w:rFonts w:cs="Arial"/>
        </w:rPr>
        <w:t xml:space="preserve">53 - </w:t>
      </w:r>
      <w:r w:rsidR="001956B4" w:rsidRPr="00A93653">
        <w:rPr>
          <w:rFonts w:cs="Arial"/>
        </w:rPr>
        <w:t xml:space="preserve">end of June </w:t>
      </w:r>
      <w:r w:rsidR="001956B4">
        <w:rPr>
          <w:rFonts w:cs="Arial"/>
        </w:rPr>
        <w:t>2015)</w:t>
      </w:r>
      <w:r w:rsidRPr="00A93653">
        <w:rPr>
          <w:rFonts w:cs="Arial"/>
        </w:rPr>
        <w:t xml:space="preserve">.  </w:t>
      </w:r>
    </w:p>
    <w:p w14:paraId="4F06174C" w14:textId="10EFEE3D" w:rsidR="00742D15" w:rsidRDefault="00742D15" w:rsidP="00742D15">
      <w:pPr>
        <w:rPr>
          <w:rFonts w:cs="Arial"/>
          <w:b/>
          <w:szCs w:val="24"/>
        </w:rPr>
      </w:pPr>
      <w:r w:rsidRPr="004B3152">
        <w:rPr>
          <w:rFonts w:cs="Arial"/>
          <w:szCs w:val="24"/>
        </w:rPr>
        <w:t>The risk sensible mo</w:t>
      </w:r>
      <w:r>
        <w:rPr>
          <w:rFonts w:cs="Arial"/>
          <w:szCs w:val="24"/>
        </w:rPr>
        <w:t>del continues to be implemented and a</w:t>
      </w:r>
      <w:r w:rsidRPr="004B3152">
        <w:rPr>
          <w:rFonts w:cs="Arial"/>
          <w:szCs w:val="24"/>
        </w:rPr>
        <w:t>ll managers</w:t>
      </w:r>
      <w:r>
        <w:rPr>
          <w:rFonts w:cs="Arial"/>
          <w:szCs w:val="24"/>
        </w:rPr>
        <w:t xml:space="preserve"> </w:t>
      </w:r>
      <w:r w:rsidRPr="004B3152">
        <w:rPr>
          <w:rFonts w:cs="Arial"/>
          <w:szCs w:val="24"/>
        </w:rPr>
        <w:t>/</w:t>
      </w:r>
      <w:r>
        <w:rPr>
          <w:rFonts w:cs="Arial"/>
          <w:szCs w:val="24"/>
        </w:rPr>
        <w:t xml:space="preserve"> </w:t>
      </w:r>
      <w:r w:rsidRPr="004B3152">
        <w:rPr>
          <w:rFonts w:cs="Arial"/>
          <w:szCs w:val="24"/>
        </w:rPr>
        <w:t>I</w:t>
      </w:r>
      <w:r>
        <w:rPr>
          <w:rFonts w:cs="Arial"/>
          <w:szCs w:val="24"/>
        </w:rPr>
        <w:t xml:space="preserve">ndependent </w:t>
      </w:r>
      <w:r w:rsidRPr="004B3152">
        <w:rPr>
          <w:rFonts w:cs="Arial"/>
          <w:szCs w:val="24"/>
        </w:rPr>
        <w:t>R</w:t>
      </w:r>
      <w:r>
        <w:rPr>
          <w:rFonts w:cs="Arial"/>
          <w:szCs w:val="24"/>
        </w:rPr>
        <w:t xml:space="preserve">eview </w:t>
      </w:r>
      <w:r w:rsidRPr="004B3152">
        <w:rPr>
          <w:rFonts w:cs="Arial"/>
          <w:szCs w:val="24"/>
        </w:rPr>
        <w:t>O</w:t>
      </w:r>
      <w:r>
        <w:rPr>
          <w:rFonts w:cs="Arial"/>
          <w:szCs w:val="24"/>
        </w:rPr>
        <w:t xml:space="preserve">fficers </w:t>
      </w:r>
      <w:r w:rsidRPr="004B3152">
        <w:rPr>
          <w:rFonts w:cs="Arial"/>
          <w:szCs w:val="24"/>
        </w:rPr>
        <w:t>/</w:t>
      </w:r>
      <w:r>
        <w:rPr>
          <w:rFonts w:cs="Arial"/>
          <w:szCs w:val="24"/>
        </w:rPr>
        <w:t xml:space="preserve"> </w:t>
      </w:r>
      <w:r w:rsidRPr="004B3152">
        <w:rPr>
          <w:rFonts w:cs="Arial"/>
          <w:szCs w:val="24"/>
        </w:rPr>
        <w:t>M</w:t>
      </w:r>
      <w:r>
        <w:rPr>
          <w:rFonts w:cs="Arial"/>
          <w:szCs w:val="24"/>
        </w:rPr>
        <w:t xml:space="preserve">ulti </w:t>
      </w:r>
      <w:r w:rsidRPr="004B3152">
        <w:rPr>
          <w:rFonts w:cs="Arial"/>
          <w:szCs w:val="24"/>
        </w:rPr>
        <w:t>A</w:t>
      </w:r>
      <w:r>
        <w:rPr>
          <w:rFonts w:cs="Arial"/>
          <w:szCs w:val="24"/>
        </w:rPr>
        <w:t xml:space="preserve">gency </w:t>
      </w:r>
      <w:r w:rsidRPr="004B3152">
        <w:rPr>
          <w:rFonts w:cs="Arial"/>
          <w:szCs w:val="24"/>
        </w:rPr>
        <w:t>S</w:t>
      </w:r>
      <w:r>
        <w:rPr>
          <w:rFonts w:cs="Arial"/>
          <w:szCs w:val="24"/>
        </w:rPr>
        <w:t xml:space="preserve">afeguarding </w:t>
      </w:r>
      <w:r w:rsidRPr="004B3152">
        <w:rPr>
          <w:rFonts w:cs="Arial"/>
          <w:szCs w:val="24"/>
        </w:rPr>
        <w:t>H</w:t>
      </w:r>
      <w:r>
        <w:rPr>
          <w:rFonts w:cs="Arial"/>
          <w:szCs w:val="24"/>
        </w:rPr>
        <w:t>ub person</w:t>
      </w:r>
      <w:r w:rsidR="009922B2">
        <w:rPr>
          <w:rFonts w:cs="Arial"/>
          <w:szCs w:val="24"/>
        </w:rPr>
        <w:t>n</w:t>
      </w:r>
      <w:r>
        <w:rPr>
          <w:rFonts w:cs="Arial"/>
          <w:szCs w:val="24"/>
        </w:rPr>
        <w:t>el</w:t>
      </w:r>
      <w:r w:rsidRPr="004B3152">
        <w:rPr>
          <w:rFonts w:cs="Arial"/>
          <w:szCs w:val="24"/>
        </w:rPr>
        <w:t xml:space="preserve"> will have been trained in this by November </w:t>
      </w:r>
      <w:r w:rsidR="002E4A4C">
        <w:rPr>
          <w:rFonts w:cs="Arial"/>
          <w:szCs w:val="24"/>
        </w:rPr>
        <w:t>20</w:t>
      </w:r>
      <w:r>
        <w:rPr>
          <w:rFonts w:cs="Arial"/>
          <w:szCs w:val="24"/>
        </w:rPr>
        <w:t>16 at which point the Advanced P</w:t>
      </w:r>
      <w:r w:rsidRPr="004B3152">
        <w:rPr>
          <w:rFonts w:cs="Arial"/>
          <w:szCs w:val="24"/>
        </w:rPr>
        <w:t xml:space="preserve">ractitioners will </w:t>
      </w:r>
      <w:r>
        <w:rPr>
          <w:rFonts w:cs="Arial"/>
          <w:szCs w:val="24"/>
        </w:rPr>
        <w:t xml:space="preserve">also </w:t>
      </w:r>
      <w:r w:rsidRPr="004B3152">
        <w:rPr>
          <w:rFonts w:cs="Arial"/>
          <w:szCs w:val="24"/>
        </w:rPr>
        <w:t xml:space="preserve">begin training all of the social workers across </w:t>
      </w:r>
      <w:r w:rsidR="002E4A4C">
        <w:rPr>
          <w:rFonts w:cs="Arial"/>
          <w:szCs w:val="24"/>
        </w:rPr>
        <w:t>the c</w:t>
      </w:r>
      <w:r w:rsidRPr="004B3152">
        <w:rPr>
          <w:rFonts w:cs="Arial"/>
          <w:szCs w:val="24"/>
        </w:rPr>
        <w:t>ounty.</w:t>
      </w:r>
      <w:r>
        <w:rPr>
          <w:rFonts w:cs="Arial"/>
          <w:szCs w:val="24"/>
        </w:rPr>
        <w:t xml:space="preserve"> T</w:t>
      </w:r>
      <w:r w:rsidRPr="004B3152">
        <w:rPr>
          <w:rFonts w:cs="Arial"/>
          <w:szCs w:val="24"/>
        </w:rPr>
        <w:t>he implementation of this mode</w:t>
      </w:r>
      <w:r>
        <w:rPr>
          <w:rFonts w:cs="Arial"/>
          <w:szCs w:val="24"/>
        </w:rPr>
        <w:t xml:space="preserve">l </w:t>
      </w:r>
      <w:r w:rsidRPr="004B3152">
        <w:rPr>
          <w:rFonts w:cs="Arial"/>
          <w:szCs w:val="24"/>
        </w:rPr>
        <w:t>will improve the skills and confidence of staff in identifying ri</w:t>
      </w:r>
      <w:r>
        <w:rPr>
          <w:rFonts w:cs="Arial"/>
          <w:szCs w:val="24"/>
        </w:rPr>
        <w:t>sk and making</w:t>
      </w:r>
      <w:r w:rsidRPr="004B3152">
        <w:rPr>
          <w:rFonts w:cs="Arial"/>
          <w:szCs w:val="24"/>
        </w:rPr>
        <w:t xml:space="preserve"> the appropriate de</w:t>
      </w:r>
      <w:r>
        <w:rPr>
          <w:rFonts w:cs="Arial"/>
          <w:szCs w:val="24"/>
        </w:rPr>
        <w:t>ci</w:t>
      </w:r>
      <w:r w:rsidRPr="004B3152">
        <w:rPr>
          <w:rFonts w:cs="Arial"/>
          <w:szCs w:val="24"/>
        </w:rPr>
        <w:t>sions about how this risk is managed</w:t>
      </w:r>
      <w:r>
        <w:rPr>
          <w:rFonts w:cs="Arial"/>
          <w:b/>
          <w:szCs w:val="24"/>
        </w:rPr>
        <w:t>.</w:t>
      </w:r>
    </w:p>
    <w:p w14:paraId="37B8A88F" w14:textId="77777777" w:rsidR="00742D15" w:rsidRPr="00742D15" w:rsidRDefault="00742D15" w:rsidP="00742D15">
      <w:pPr>
        <w:rPr>
          <w:rFonts w:cs="Arial"/>
          <w:color w:val="000000"/>
        </w:rPr>
      </w:pPr>
    </w:p>
    <w:p w14:paraId="422749A5" w14:textId="6B9F1E9D" w:rsidR="00C11F67" w:rsidRPr="00C11F67" w:rsidRDefault="00A93653" w:rsidP="005E42FE">
      <w:pPr>
        <w:pStyle w:val="ListParagraph"/>
        <w:numPr>
          <w:ilvl w:val="0"/>
          <w:numId w:val="9"/>
        </w:numPr>
        <w:contextualSpacing/>
        <w:rPr>
          <w:rFonts w:cs="Arial"/>
        </w:rPr>
      </w:pPr>
      <w:r w:rsidRPr="005E42FE">
        <w:rPr>
          <w:rFonts w:cs="Arial"/>
        </w:rPr>
        <w:t>The proportion of assessments completed within 45 days remained stable durin</w:t>
      </w:r>
      <w:r w:rsidR="003F4E8F">
        <w:rPr>
          <w:rFonts w:cs="Arial"/>
        </w:rPr>
        <w:t xml:space="preserve">g June (62.8%) but is still </w:t>
      </w:r>
      <w:r w:rsidRPr="005E42FE">
        <w:rPr>
          <w:rFonts w:cs="Arial"/>
        </w:rPr>
        <w:t xml:space="preserve">well below the statistical neighbour average (85%). </w:t>
      </w:r>
      <w:r w:rsidR="00C11F67">
        <w:rPr>
          <w:rFonts w:cs="Arial"/>
        </w:rPr>
        <w:t xml:space="preserve">Assessment numbers rose sharply in May, 1040 completed in 45 days from the total of 1750 (59.4%), </w:t>
      </w:r>
      <w:r w:rsidR="0003181C">
        <w:rPr>
          <w:rFonts w:cs="Arial"/>
        </w:rPr>
        <w:t xml:space="preserve">which is higher than usual </w:t>
      </w:r>
      <w:r w:rsidR="00C11F67">
        <w:rPr>
          <w:rFonts w:cs="Arial"/>
        </w:rPr>
        <w:t xml:space="preserve">but fell back to a </w:t>
      </w:r>
      <w:r w:rsidR="0003181C">
        <w:rPr>
          <w:rFonts w:cs="Arial"/>
        </w:rPr>
        <w:t>lower</w:t>
      </w:r>
      <w:r w:rsidR="00C11F67">
        <w:rPr>
          <w:rFonts w:cs="Arial"/>
        </w:rPr>
        <w:t xml:space="preserve"> level </w:t>
      </w:r>
      <w:r w:rsidR="0003181C">
        <w:rPr>
          <w:rFonts w:cs="Arial"/>
        </w:rPr>
        <w:t>than previous months in June (861 completed in 45 days from 1371 – 62.8%).</w:t>
      </w:r>
      <w:r w:rsidR="00A83684">
        <w:rPr>
          <w:rFonts w:cs="Arial"/>
        </w:rPr>
        <w:t xml:space="preserve"> </w:t>
      </w:r>
      <w:r w:rsidRPr="005E42FE">
        <w:rPr>
          <w:rFonts w:cs="Arial"/>
        </w:rPr>
        <w:t>Rates in Hyndburn/Ribble Valley (52.9%), Pendle (52.5%), Rossendale (51.1%), Fylde and Wyre (46.1%), West Lancashire (39.3</w:t>
      </w:r>
      <w:r w:rsidR="00A83684">
        <w:rPr>
          <w:rFonts w:cs="Arial"/>
        </w:rPr>
        <w:t>%</w:t>
      </w:r>
      <w:r w:rsidRPr="005E42FE">
        <w:rPr>
          <w:rFonts w:cs="Arial"/>
        </w:rPr>
        <w:t xml:space="preserve">) and Chorley and South Ribble (62.3%) district area teams are </w:t>
      </w:r>
      <w:r w:rsidR="00762010">
        <w:rPr>
          <w:rFonts w:cs="Arial"/>
        </w:rPr>
        <w:t xml:space="preserve">the lowest and </w:t>
      </w:r>
      <w:r w:rsidRPr="005E42FE">
        <w:rPr>
          <w:rFonts w:cs="Arial"/>
        </w:rPr>
        <w:t>lower than Lancashire</w:t>
      </w:r>
      <w:r w:rsidR="001956B4">
        <w:rPr>
          <w:rFonts w:cs="Arial"/>
        </w:rPr>
        <w:t xml:space="preserve"> as a whole</w:t>
      </w:r>
      <w:r w:rsidRPr="005E42FE">
        <w:rPr>
          <w:rFonts w:cs="Arial"/>
          <w:color w:val="000000" w:themeColor="text1"/>
        </w:rPr>
        <w:t>.</w:t>
      </w:r>
    </w:p>
    <w:p w14:paraId="784114A8" w14:textId="77777777" w:rsidR="00742D15" w:rsidRPr="004B3152" w:rsidRDefault="00742D15" w:rsidP="00742D15">
      <w:pPr>
        <w:rPr>
          <w:rFonts w:cs="Arial"/>
        </w:rPr>
      </w:pPr>
      <w:proofErr w:type="spellStart"/>
      <w:r w:rsidRPr="004B3152">
        <w:rPr>
          <w:rFonts w:cs="Arial"/>
        </w:rPr>
        <w:t>Skylakes</w:t>
      </w:r>
      <w:proofErr w:type="spellEnd"/>
      <w:r w:rsidRPr="004B3152">
        <w:rPr>
          <w:rFonts w:cs="Arial"/>
        </w:rPr>
        <w:t xml:space="preserve"> continue to provide additional capacity by taking on new work and assessments on behalf of children's social care and agreement is being sought that </w:t>
      </w:r>
      <w:r w:rsidRPr="004B3152">
        <w:rPr>
          <w:rFonts w:cs="Arial"/>
        </w:rPr>
        <w:lastRenderedPageBreak/>
        <w:t xml:space="preserve">this will continue until January 2017. The additional capacity is allowing social work teams to address the backlog of work that has accumulated so that they are better placed to deal with the rising demand in areas of children's social care. </w:t>
      </w:r>
    </w:p>
    <w:p w14:paraId="73C26970" w14:textId="77777777" w:rsidR="00A93653" w:rsidRPr="003665B3" w:rsidRDefault="00A93653" w:rsidP="003665B3">
      <w:pPr>
        <w:contextualSpacing/>
        <w:rPr>
          <w:rFonts w:cs="Arial"/>
        </w:rPr>
      </w:pPr>
    </w:p>
    <w:p w14:paraId="0453E9FF" w14:textId="49C68EB9" w:rsidR="00943516" w:rsidRPr="0003181C" w:rsidRDefault="00A93653" w:rsidP="0003181C">
      <w:pPr>
        <w:pStyle w:val="ListParagraph"/>
        <w:numPr>
          <w:ilvl w:val="0"/>
          <w:numId w:val="32"/>
        </w:numPr>
        <w:contextualSpacing/>
        <w:rPr>
          <w:rFonts w:cs="Arial"/>
        </w:rPr>
      </w:pPr>
      <w:r w:rsidRPr="0003181C">
        <w:rPr>
          <w:rFonts w:cs="Arial"/>
        </w:rPr>
        <w:t>There have been significant improvements in the caseload averages for social workers</w:t>
      </w:r>
      <w:r w:rsidR="00244F35" w:rsidRPr="0003181C">
        <w:rPr>
          <w:rFonts w:cs="Arial"/>
        </w:rPr>
        <w:t xml:space="preserve"> </w:t>
      </w:r>
      <w:r w:rsidR="00943516" w:rsidRPr="0003181C">
        <w:rPr>
          <w:rFonts w:cs="Arial"/>
        </w:rPr>
        <w:t xml:space="preserve">(Average caseloads </w:t>
      </w:r>
      <w:r w:rsidR="00943516" w:rsidRPr="00A83684">
        <w:rPr>
          <w:rFonts w:cs="Arial"/>
        </w:rPr>
        <w:t xml:space="preserve">per </w:t>
      </w:r>
      <w:r w:rsidR="00A83684" w:rsidRPr="00A83684">
        <w:rPr>
          <w:rFonts w:cs="Arial"/>
          <w:lang w:val="en"/>
        </w:rPr>
        <w:t>Assessed and Supported Year in Employment (ASYE) Social Workers</w:t>
      </w:r>
      <w:r w:rsidR="00A83684">
        <w:rPr>
          <w:rFonts w:cs="Arial"/>
          <w:sz w:val="19"/>
          <w:szCs w:val="19"/>
          <w:lang w:val="en"/>
        </w:rPr>
        <w:t xml:space="preserve"> (</w:t>
      </w:r>
      <w:r w:rsidR="00943516" w:rsidRPr="0003181C">
        <w:rPr>
          <w:rFonts w:cs="Arial"/>
        </w:rPr>
        <w:t>SW</w:t>
      </w:r>
      <w:r w:rsidR="00A83684">
        <w:rPr>
          <w:rFonts w:cs="Arial"/>
        </w:rPr>
        <w:t>)</w:t>
      </w:r>
      <w:r w:rsidR="00943516" w:rsidRPr="0003181C">
        <w:rPr>
          <w:rFonts w:cs="Arial"/>
        </w:rPr>
        <w:t xml:space="preserve"> = 18.9, SW 1-3 years' experience = 23.1, SW 3-5 years' experience =</w:t>
      </w:r>
      <w:r w:rsidR="0003181C">
        <w:rPr>
          <w:rFonts w:cs="Arial"/>
        </w:rPr>
        <w:t xml:space="preserve"> </w:t>
      </w:r>
      <w:r w:rsidR="00943516" w:rsidRPr="0003181C">
        <w:rPr>
          <w:rFonts w:cs="Arial"/>
        </w:rPr>
        <w:t>24, SW 5 years+ experience = 24.5)</w:t>
      </w:r>
      <w:r w:rsidRPr="0003181C">
        <w:rPr>
          <w:rFonts w:cs="Arial"/>
        </w:rPr>
        <w:t>, family support workers</w:t>
      </w:r>
      <w:r w:rsidR="00943516" w:rsidRPr="0003181C">
        <w:rPr>
          <w:rFonts w:cs="Arial"/>
        </w:rPr>
        <w:t xml:space="preserve"> (22)</w:t>
      </w:r>
      <w:r w:rsidRPr="0003181C">
        <w:rPr>
          <w:rFonts w:cs="Arial"/>
        </w:rPr>
        <w:t xml:space="preserve"> and independent reviewing officers</w:t>
      </w:r>
      <w:r w:rsidR="00943516" w:rsidRPr="0003181C">
        <w:rPr>
          <w:rFonts w:cs="Arial"/>
        </w:rPr>
        <w:t xml:space="preserve"> (74)</w:t>
      </w:r>
      <w:r w:rsidRPr="0003181C">
        <w:rPr>
          <w:rFonts w:cs="Arial"/>
        </w:rPr>
        <w:t>. Most of the indicators move up from Inadequate or Requires Improvement</w:t>
      </w:r>
      <w:r w:rsidR="005E42FE" w:rsidRPr="0003181C">
        <w:rPr>
          <w:rFonts w:cs="Arial"/>
        </w:rPr>
        <w:t xml:space="preserve"> threshold</w:t>
      </w:r>
      <w:r w:rsidRPr="0003181C">
        <w:rPr>
          <w:rFonts w:cs="Arial"/>
        </w:rPr>
        <w:t xml:space="preserve"> to the Good threshold category</w:t>
      </w:r>
      <w:r w:rsidR="003F4E8F" w:rsidRPr="0003181C">
        <w:rPr>
          <w:rFonts w:cs="Arial"/>
        </w:rPr>
        <w:t>,</w:t>
      </w:r>
      <w:r w:rsidRPr="0003181C">
        <w:rPr>
          <w:rFonts w:cs="Arial"/>
        </w:rPr>
        <w:t xml:space="preserve"> the family support workers</w:t>
      </w:r>
      <w:r w:rsidR="006108B7">
        <w:rPr>
          <w:rFonts w:cs="Arial"/>
        </w:rPr>
        <w:t>'</w:t>
      </w:r>
      <w:r w:rsidRPr="0003181C">
        <w:rPr>
          <w:rFonts w:cs="Arial"/>
        </w:rPr>
        <w:t xml:space="preserve"> average caseload </w:t>
      </w:r>
      <w:r w:rsidR="003D7AD4" w:rsidRPr="0003181C">
        <w:rPr>
          <w:rFonts w:cs="Arial"/>
        </w:rPr>
        <w:t xml:space="preserve">is </w:t>
      </w:r>
      <w:r w:rsidRPr="0003181C">
        <w:rPr>
          <w:rFonts w:cs="Arial"/>
        </w:rPr>
        <w:t xml:space="preserve">22 and now </w:t>
      </w:r>
      <w:r w:rsidR="00857C40" w:rsidRPr="0003181C">
        <w:rPr>
          <w:rFonts w:cs="Arial"/>
        </w:rPr>
        <w:t xml:space="preserve">within the </w:t>
      </w:r>
      <w:proofErr w:type="gramStart"/>
      <w:r w:rsidRPr="0003181C">
        <w:rPr>
          <w:rFonts w:cs="Arial"/>
        </w:rPr>
        <w:t>Outstanding</w:t>
      </w:r>
      <w:proofErr w:type="gramEnd"/>
      <w:r w:rsidR="00857C40" w:rsidRPr="0003181C">
        <w:rPr>
          <w:rFonts w:cs="Arial"/>
        </w:rPr>
        <w:t xml:space="preserve"> performance category</w:t>
      </w:r>
      <w:r w:rsidR="00943516" w:rsidRPr="0003181C">
        <w:rPr>
          <w:rFonts w:cs="Arial"/>
        </w:rPr>
        <w:t>.</w:t>
      </w:r>
    </w:p>
    <w:p w14:paraId="22449C4D" w14:textId="77777777" w:rsidR="005E42FE" w:rsidRPr="005E42FE" w:rsidRDefault="005E42FE" w:rsidP="005E42FE">
      <w:pPr>
        <w:contextualSpacing/>
        <w:rPr>
          <w:rFonts w:cs="Arial"/>
        </w:rPr>
      </w:pPr>
    </w:p>
    <w:p w14:paraId="3D2D0672" w14:textId="5949DA7F" w:rsidR="00A93653" w:rsidRPr="002F1858" w:rsidRDefault="0093392D" w:rsidP="00A93653">
      <w:pPr>
        <w:pStyle w:val="ListParagraph"/>
        <w:numPr>
          <w:ilvl w:val="0"/>
          <w:numId w:val="14"/>
        </w:numPr>
        <w:contextualSpacing/>
        <w:rPr>
          <w:rFonts w:cs="Arial"/>
        </w:rPr>
      </w:pPr>
      <w:r w:rsidRPr="002F1858">
        <w:rPr>
          <w:rFonts w:cs="Arial"/>
        </w:rPr>
        <w:t xml:space="preserve">The national adoption scorecard looks at a 3-year average of performance and therefore recent improvements take a substantial period of time to impact on performance. However </w:t>
      </w:r>
      <w:r w:rsidR="003D7AD4">
        <w:rPr>
          <w:rFonts w:cs="Arial"/>
        </w:rPr>
        <w:t>local monitoring shows</w:t>
      </w:r>
      <w:r w:rsidR="00A93653" w:rsidRPr="002F1858">
        <w:rPr>
          <w:rFonts w:cs="Arial"/>
        </w:rPr>
        <w:t xml:space="preserve"> it</w:t>
      </w:r>
      <w:r w:rsidR="003F4E8F" w:rsidRPr="002F1858">
        <w:rPr>
          <w:rFonts w:cs="Arial"/>
        </w:rPr>
        <w:t xml:space="preserve"> i</w:t>
      </w:r>
      <w:r w:rsidR="00A93653" w:rsidRPr="002F1858">
        <w:rPr>
          <w:rFonts w:cs="Arial"/>
        </w:rPr>
        <w:t>s taking less time for children to be matched with an adoptive family following court authority from 272 days (Q4 15/16) to 237 days (Q1 16/17), a decrease of 35 days</w:t>
      </w:r>
      <w:r w:rsidR="005E42FE" w:rsidRPr="002F1858">
        <w:rPr>
          <w:rFonts w:cs="Arial"/>
        </w:rPr>
        <w:t xml:space="preserve"> (year to end of August 217days)</w:t>
      </w:r>
      <w:r w:rsidR="00A93653" w:rsidRPr="002F1858">
        <w:rPr>
          <w:rFonts w:cs="Arial"/>
        </w:rPr>
        <w:t xml:space="preserve">. </w:t>
      </w:r>
      <w:r w:rsidR="003D7AD4">
        <w:rPr>
          <w:rFonts w:cs="Arial"/>
        </w:rPr>
        <w:t>Local monitoring also shows</w:t>
      </w:r>
      <w:r w:rsidR="00A93653" w:rsidRPr="002F1858">
        <w:rPr>
          <w:rFonts w:cs="Arial"/>
        </w:rPr>
        <w:t xml:space="preserve"> it</w:t>
      </w:r>
      <w:r w:rsidR="003F4E8F" w:rsidRPr="002F1858">
        <w:rPr>
          <w:rFonts w:cs="Arial"/>
        </w:rPr>
        <w:t xml:space="preserve"> i</w:t>
      </w:r>
      <w:r w:rsidR="00A93653" w:rsidRPr="002F1858">
        <w:rPr>
          <w:rFonts w:cs="Arial"/>
        </w:rPr>
        <w:t>s taking less time between a child entering care and moving in with their adoptive family</w:t>
      </w:r>
      <w:r w:rsidR="00A83684">
        <w:rPr>
          <w:rFonts w:cs="Arial"/>
        </w:rPr>
        <w:t>,</w:t>
      </w:r>
      <w:r w:rsidR="00A93653" w:rsidRPr="002F1858">
        <w:rPr>
          <w:rFonts w:cs="Arial"/>
        </w:rPr>
        <w:t xml:space="preserve"> from 540 days (Q4 15/16) to 485 days (Q1 16/17), a decrease of 55 days</w:t>
      </w:r>
      <w:r w:rsidR="005E42FE" w:rsidRPr="002F1858">
        <w:rPr>
          <w:rFonts w:cs="Arial"/>
        </w:rPr>
        <w:t xml:space="preserve"> (year to end of August 451days)</w:t>
      </w:r>
      <w:r w:rsidR="00A93653" w:rsidRPr="002F1858">
        <w:rPr>
          <w:rFonts w:cs="Arial"/>
        </w:rPr>
        <w:t>.</w:t>
      </w:r>
      <w:r w:rsidR="00865711" w:rsidRPr="002F1858">
        <w:rPr>
          <w:rFonts w:cs="Arial"/>
        </w:rPr>
        <w:t xml:space="preserve">  During </w:t>
      </w:r>
      <w:r w:rsidR="00A83684">
        <w:rPr>
          <w:rFonts w:cs="Arial"/>
        </w:rPr>
        <w:t>Q1</w:t>
      </w:r>
      <w:r w:rsidR="00865711" w:rsidRPr="002F1858">
        <w:rPr>
          <w:rFonts w:cs="Arial"/>
        </w:rPr>
        <w:t xml:space="preserve"> 2016/17, 55% of children waited less than 16 months between entering care and moving in with their adoptive family in Lancashire</w:t>
      </w:r>
      <w:r w:rsidR="005E42FE" w:rsidRPr="002F1858">
        <w:rPr>
          <w:rFonts w:cs="Arial"/>
        </w:rPr>
        <w:t xml:space="preserve"> </w:t>
      </w:r>
      <w:r w:rsidR="003F4E8F" w:rsidRPr="002F1858">
        <w:rPr>
          <w:rFonts w:cs="Arial"/>
        </w:rPr>
        <w:t>which</w:t>
      </w:r>
      <w:r w:rsidR="005E42FE" w:rsidRPr="002F1858">
        <w:rPr>
          <w:rFonts w:cs="Arial"/>
        </w:rPr>
        <w:t xml:space="preserve"> was an improvement on the previous quarter (53%).  For the year to August this has improved further to 63% </w:t>
      </w:r>
      <w:r w:rsidR="00865711" w:rsidRPr="002F1858">
        <w:rPr>
          <w:rFonts w:cs="Arial"/>
        </w:rPr>
        <w:t xml:space="preserve">and </w:t>
      </w:r>
      <w:r w:rsidR="005E42FE" w:rsidRPr="002F1858">
        <w:rPr>
          <w:rFonts w:cs="Arial"/>
        </w:rPr>
        <w:t xml:space="preserve">is </w:t>
      </w:r>
      <w:r w:rsidR="00865711" w:rsidRPr="002F1858">
        <w:rPr>
          <w:rFonts w:cs="Arial"/>
        </w:rPr>
        <w:t>higher than the 2015 national (47%), regional (45%), and statistical neighbour performance (44.2%).</w:t>
      </w:r>
    </w:p>
    <w:p w14:paraId="035D2067" w14:textId="77777777" w:rsidR="005072D5" w:rsidRPr="002F1858" w:rsidRDefault="005072D5" w:rsidP="005072D5">
      <w:pPr>
        <w:contextualSpacing/>
        <w:rPr>
          <w:rFonts w:cs="Arial"/>
        </w:rPr>
      </w:pPr>
    </w:p>
    <w:p w14:paraId="26B0D2DB" w14:textId="4F608DB2" w:rsidR="00601087" w:rsidRPr="00601087" w:rsidRDefault="005072D5" w:rsidP="00601087">
      <w:pPr>
        <w:pStyle w:val="ListParagraph"/>
        <w:numPr>
          <w:ilvl w:val="0"/>
          <w:numId w:val="14"/>
        </w:numPr>
        <w:rPr>
          <w:rFonts w:cs="Arial"/>
          <w:color w:val="FF0000"/>
        </w:rPr>
      </w:pPr>
      <w:r w:rsidRPr="002F1858">
        <w:rPr>
          <w:rFonts w:cs="Arial"/>
        </w:rPr>
        <w:t>Lancashire Youth Offending Team (LYOT) remain</w:t>
      </w:r>
      <w:r w:rsidR="00A83684">
        <w:rPr>
          <w:rFonts w:cs="Arial"/>
        </w:rPr>
        <w:t>s</w:t>
      </w:r>
      <w:r w:rsidRPr="002F1858">
        <w:rPr>
          <w:rFonts w:cs="Arial"/>
        </w:rPr>
        <w:t xml:space="preserve"> in the second quartile for First Time Entrants with a slight decrease in the rate per 100,000 from 307</w:t>
      </w:r>
      <w:r w:rsidR="00317750" w:rsidRPr="002F1858">
        <w:rPr>
          <w:rFonts w:cs="Arial"/>
        </w:rPr>
        <w:t xml:space="preserve"> (Q4 2015/16) </w:t>
      </w:r>
      <w:r w:rsidRPr="002F1858">
        <w:rPr>
          <w:rFonts w:cs="Arial"/>
        </w:rPr>
        <w:t>to 293</w:t>
      </w:r>
      <w:r w:rsidR="00317750" w:rsidRPr="002F1858">
        <w:rPr>
          <w:rFonts w:cs="Arial"/>
        </w:rPr>
        <w:t xml:space="preserve"> (Q1 2016/17</w:t>
      </w:r>
      <w:r w:rsidRPr="002F1858">
        <w:rPr>
          <w:rFonts w:cs="Arial"/>
        </w:rPr>
        <w:t>).  LYOT ha</w:t>
      </w:r>
      <w:r w:rsidR="00A83684">
        <w:rPr>
          <w:rFonts w:cs="Arial"/>
        </w:rPr>
        <w:t>s</w:t>
      </w:r>
      <w:r w:rsidRPr="002F1858">
        <w:rPr>
          <w:rFonts w:cs="Arial"/>
        </w:rPr>
        <w:t xml:space="preserve"> remained in the third quartile for reoffending</w:t>
      </w:r>
      <w:r w:rsidR="00317750" w:rsidRPr="002F1858">
        <w:rPr>
          <w:rFonts w:cs="Arial"/>
        </w:rPr>
        <w:t xml:space="preserve"> (national reporting </w:t>
      </w:r>
      <w:r w:rsidR="003F4E8F" w:rsidRPr="002F1858">
        <w:rPr>
          <w:rFonts w:cs="Arial"/>
        </w:rPr>
        <w:t xml:space="preserve">is </w:t>
      </w:r>
      <w:r w:rsidR="00317750" w:rsidRPr="002F1858">
        <w:rPr>
          <w:rFonts w:cs="Arial"/>
        </w:rPr>
        <w:t>delayed by approximately 18 months)</w:t>
      </w:r>
      <w:r w:rsidR="00E27163">
        <w:rPr>
          <w:rFonts w:cs="Arial"/>
        </w:rPr>
        <w:t>.</w:t>
      </w:r>
      <w:r w:rsidRPr="002F1858">
        <w:rPr>
          <w:rFonts w:cs="Arial"/>
        </w:rPr>
        <w:t xml:space="preserve"> </w:t>
      </w:r>
      <w:r w:rsidR="00601087">
        <w:t xml:space="preserve">The Reoffending measure is based on the numbers reoffending from a 12 month cohort.  The numbers of young people entering the youth justice system have been reducing since 2007, however the numbers reoffending have not reduced proportionately.  Hence, this in itself results in an increasing reoffending rate. </w:t>
      </w:r>
      <w:r w:rsidR="00601087" w:rsidRPr="002F1858">
        <w:rPr>
          <w:rFonts w:cs="Arial"/>
        </w:rPr>
        <w:t>The reoffending rate has decreased from 41.9%</w:t>
      </w:r>
      <w:r w:rsidR="00601087">
        <w:rPr>
          <w:rFonts w:cs="Arial"/>
        </w:rPr>
        <w:t xml:space="preserve"> (367 reoffenders from 874 offenders in cohort)</w:t>
      </w:r>
      <w:r w:rsidR="00601087" w:rsidRPr="002F1858">
        <w:rPr>
          <w:rFonts w:cs="Arial"/>
        </w:rPr>
        <w:t xml:space="preserve"> in the previous reported quarter to 41.8%</w:t>
      </w:r>
      <w:r w:rsidR="00E27163">
        <w:rPr>
          <w:rFonts w:cs="Arial"/>
        </w:rPr>
        <w:t xml:space="preserve"> 344</w:t>
      </w:r>
      <w:r w:rsidR="00601087">
        <w:rPr>
          <w:rFonts w:cs="Arial"/>
        </w:rPr>
        <w:t xml:space="preserve"> reoffenders from cohort of 823)</w:t>
      </w:r>
      <w:r w:rsidR="00601087" w:rsidRPr="002F1858">
        <w:rPr>
          <w:rFonts w:cs="Arial"/>
        </w:rPr>
        <w:t xml:space="preserve"> in the latest quarter nationally reported</w:t>
      </w:r>
      <w:r w:rsidR="00601087">
        <w:rPr>
          <w:rFonts w:cs="Arial"/>
        </w:rPr>
        <w:t>.</w:t>
      </w:r>
    </w:p>
    <w:p w14:paraId="6895E151" w14:textId="77777777" w:rsidR="00A93653" w:rsidRPr="00601087" w:rsidRDefault="00A93653" w:rsidP="00601087">
      <w:pPr>
        <w:rPr>
          <w:rFonts w:cs="Arial"/>
          <w:color w:val="FF0000"/>
        </w:rPr>
      </w:pPr>
    </w:p>
    <w:p w14:paraId="58F1BE62" w14:textId="26C889E5" w:rsidR="00A93653" w:rsidRPr="0086334E" w:rsidRDefault="00A93653" w:rsidP="0086334E">
      <w:pPr>
        <w:pStyle w:val="ListParagraph"/>
        <w:numPr>
          <w:ilvl w:val="0"/>
          <w:numId w:val="32"/>
        </w:numPr>
        <w:rPr>
          <w:rFonts w:cs="Arial"/>
          <w:color w:val="000000" w:themeColor="text1"/>
        </w:rPr>
      </w:pPr>
      <w:r w:rsidRPr="0086334E">
        <w:rPr>
          <w:rFonts w:cs="Arial"/>
          <w:color w:val="000000" w:themeColor="text1"/>
        </w:rPr>
        <w:t xml:space="preserve">The </w:t>
      </w:r>
      <w:r w:rsidRPr="0086334E">
        <w:rPr>
          <w:rFonts w:cs="Arial"/>
        </w:rPr>
        <w:t xml:space="preserve">latest average for </w:t>
      </w:r>
      <w:r w:rsidR="00865711" w:rsidRPr="0086334E">
        <w:rPr>
          <w:rFonts w:cs="Arial"/>
          <w:color w:val="000000" w:themeColor="text1"/>
        </w:rPr>
        <w:t>Education Health and Care</w:t>
      </w:r>
      <w:r w:rsidR="00865711" w:rsidRPr="0086334E">
        <w:rPr>
          <w:rFonts w:ascii="Calibri" w:hAnsi="Calibri"/>
          <w:color w:val="000000" w:themeColor="text1"/>
          <w:sz w:val="16"/>
          <w:szCs w:val="16"/>
        </w:rPr>
        <w:t xml:space="preserve"> </w:t>
      </w:r>
      <w:r w:rsidR="00865711" w:rsidRPr="0086334E">
        <w:rPr>
          <w:rFonts w:cs="Arial"/>
        </w:rPr>
        <w:t>(</w:t>
      </w:r>
      <w:r w:rsidRPr="0086334E">
        <w:rPr>
          <w:rFonts w:cs="Arial"/>
        </w:rPr>
        <w:t>EHC</w:t>
      </w:r>
      <w:r w:rsidR="00865711" w:rsidRPr="0086334E">
        <w:rPr>
          <w:rFonts w:cs="Arial"/>
        </w:rPr>
        <w:t>)</w:t>
      </w:r>
      <w:r w:rsidRPr="0086334E">
        <w:rPr>
          <w:rFonts w:cs="Arial"/>
        </w:rPr>
        <w:t xml:space="preserve"> plans transferred from statements of S</w:t>
      </w:r>
      <w:r w:rsidR="005922AE">
        <w:rPr>
          <w:rFonts w:cs="Arial"/>
        </w:rPr>
        <w:t>pecial Educational Needs</w:t>
      </w:r>
      <w:r w:rsidRPr="0086334E">
        <w:rPr>
          <w:rFonts w:cs="Arial"/>
        </w:rPr>
        <w:t xml:space="preserve"> or L</w:t>
      </w:r>
      <w:r w:rsidR="005F7D10" w:rsidRPr="0086334E">
        <w:rPr>
          <w:rFonts w:cs="Arial"/>
        </w:rPr>
        <w:t>earning Difficulty Assessments is 236</w:t>
      </w:r>
      <w:r w:rsidR="003F4E8F" w:rsidRPr="0086334E">
        <w:rPr>
          <w:rFonts w:cs="Arial"/>
        </w:rPr>
        <w:t>,</w:t>
      </w:r>
      <w:r w:rsidR="005F7D10" w:rsidRPr="0086334E">
        <w:rPr>
          <w:rFonts w:cs="Arial"/>
        </w:rPr>
        <w:t xml:space="preserve"> a slight increase on the previous reported quarterly position of 222.  However, this indicator is still categorised as </w:t>
      </w:r>
      <w:r w:rsidRPr="0086334E">
        <w:rPr>
          <w:rFonts w:cs="Arial"/>
          <w:color w:val="000000" w:themeColor="text1"/>
        </w:rPr>
        <w:t>in the Requires Improvement threshol</w:t>
      </w:r>
      <w:r w:rsidR="005F7D10" w:rsidRPr="0086334E">
        <w:rPr>
          <w:rFonts w:cs="Arial"/>
          <w:color w:val="000000" w:themeColor="text1"/>
        </w:rPr>
        <w:t>d category</w:t>
      </w:r>
      <w:r w:rsidRPr="0086334E">
        <w:rPr>
          <w:rFonts w:cs="Arial"/>
          <w:color w:val="000000" w:themeColor="text1"/>
        </w:rPr>
        <w:t>.</w:t>
      </w:r>
      <w:r w:rsidR="00C77EC4" w:rsidRPr="0086334E">
        <w:rPr>
          <w:rFonts w:cs="Arial"/>
          <w:color w:val="000000" w:themeColor="text1"/>
        </w:rPr>
        <w:t xml:space="preserve"> </w:t>
      </w:r>
      <w:r w:rsidR="00C77EC4" w:rsidRPr="0086334E">
        <w:rPr>
          <w:rFonts w:cs="Arial"/>
        </w:rPr>
        <w:t>The good threshold is 261 – 290  and outstanding</w:t>
      </w:r>
      <w:r w:rsidR="0086334E" w:rsidRPr="0086334E">
        <w:rPr>
          <w:rFonts w:cs="Arial"/>
        </w:rPr>
        <w:t xml:space="preserve"> target</w:t>
      </w:r>
      <w:r w:rsidR="00C77EC4" w:rsidRPr="0086334E">
        <w:rPr>
          <w:rFonts w:cs="Arial"/>
        </w:rPr>
        <w:t xml:space="preserve"> is &gt;291</w:t>
      </w:r>
    </w:p>
    <w:p w14:paraId="4D21AD43" w14:textId="77777777" w:rsidR="00A93653" w:rsidRPr="00C263E9" w:rsidRDefault="00A93653" w:rsidP="00A93653">
      <w:pPr>
        <w:pStyle w:val="ListParagraph"/>
        <w:contextualSpacing/>
        <w:rPr>
          <w:rFonts w:cs="Arial"/>
          <w:color w:val="000000" w:themeColor="text1"/>
        </w:rPr>
      </w:pPr>
    </w:p>
    <w:p w14:paraId="2000C041" w14:textId="77777777" w:rsidR="00A93653" w:rsidRDefault="00B15838" w:rsidP="00A93653">
      <w:pPr>
        <w:pStyle w:val="ListParagraph"/>
        <w:numPr>
          <w:ilvl w:val="0"/>
          <w:numId w:val="14"/>
        </w:numPr>
        <w:contextualSpacing/>
        <w:rPr>
          <w:rFonts w:cs="Arial"/>
          <w:color w:val="000000" w:themeColor="text1"/>
        </w:rPr>
      </w:pPr>
      <w:r>
        <w:rPr>
          <w:rFonts w:cs="Arial"/>
          <w:color w:val="000000" w:themeColor="text1"/>
        </w:rPr>
        <w:t xml:space="preserve">The latest three year rolling average shows that there </w:t>
      </w:r>
      <w:r w:rsidR="00A93653" w:rsidRPr="002A1D2C">
        <w:rPr>
          <w:rFonts w:cs="Arial"/>
          <w:color w:val="000000" w:themeColor="text1"/>
        </w:rPr>
        <w:t xml:space="preserve">were </w:t>
      </w:r>
      <w:r>
        <w:rPr>
          <w:rFonts w:cs="Arial"/>
          <w:color w:val="000000" w:themeColor="text1"/>
        </w:rPr>
        <w:t>fewer people</w:t>
      </w:r>
      <w:r w:rsidR="00A93653" w:rsidRPr="002A1D2C">
        <w:rPr>
          <w:rFonts w:cs="Arial"/>
          <w:color w:val="000000" w:themeColor="text1"/>
        </w:rPr>
        <w:t xml:space="preserve"> under 18 admitted to hospital for alcohol related conditions. The</w:t>
      </w:r>
      <w:r w:rsidR="00A93653">
        <w:rPr>
          <w:rFonts w:cs="Arial"/>
          <w:color w:val="000000" w:themeColor="text1"/>
        </w:rPr>
        <w:t xml:space="preserve"> Lancashire </w:t>
      </w:r>
      <w:r w:rsidR="00A93653" w:rsidRPr="002A1D2C">
        <w:rPr>
          <w:rFonts w:cs="Arial"/>
          <w:color w:val="000000" w:themeColor="text1"/>
        </w:rPr>
        <w:lastRenderedPageBreak/>
        <w:t>U18 alcohol admission rate (56.0 per 100,000) during 2012/13 - 2014/15 had decreased on the 2011/12 - 2013/14 (62.7) rate but was still significantly higher than the national (36.6) rate. The regional rate (53.5) was similar</w:t>
      </w:r>
      <w:r w:rsidR="00A93653">
        <w:rPr>
          <w:rFonts w:cs="Arial"/>
          <w:color w:val="000000" w:themeColor="text1"/>
        </w:rPr>
        <w:t>.</w:t>
      </w:r>
    </w:p>
    <w:p w14:paraId="57DC3A14" w14:textId="77777777" w:rsidR="00A93653" w:rsidRPr="00C263E9" w:rsidRDefault="00A93653" w:rsidP="00A93653">
      <w:pPr>
        <w:pStyle w:val="ListParagraph"/>
        <w:contextualSpacing/>
        <w:rPr>
          <w:rFonts w:cs="Arial"/>
          <w:color w:val="000000" w:themeColor="text1"/>
        </w:rPr>
      </w:pPr>
    </w:p>
    <w:p w14:paraId="36AD0182" w14:textId="77777777" w:rsidR="00A93653" w:rsidRDefault="00A93653" w:rsidP="00A93653">
      <w:pPr>
        <w:pStyle w:val="ListParagraph"/>
        <w:numPr>
          <w:ilvl w:val="0"/>
          <w:numId w:val="14"/>
        </w:numPr>
        <w:contextualSpacing/>
        <w:rPr>
          <w:rFonts w:cs="Arial"/>
          <w:color w:val="000000" w:themeColor="text1"/>
        </w:rPr>
      </w:pPr>
      <w:r w:rsidRPr="00D3609F">
        <w:rPr>
          <w:rFonts w:cs="Arial"/>
          <w:color w:val="000000" w:themeColor="text1"/>
        </w:rPr>
        <w:t xml:space="preserve">Within Lancashire there were </w:t>
      </w:r>
      <w:r w:rsidR="00B15838">
        <w:rPr>
          <w:rFonts w:cs="Arial"/>
          <w:color w:val="000000" w:themeColor="text1"/>
        </w:rPr>
        <w:t>fewer</w:t>
      </w:r>
      <w:r w:rsidR="00B15838" w:rsidRPr="00D3609F">
        <w:rPr>
          <w:rFonts w:cs="Arial"/>
          <w:color w:val="000000" w:themeColor="text1"/>
        </w:rPr>
        <w:t xml:space="preserve"> </w:t>
      </w:r>
      <w:r w:rsidRPr="00D3609F">
        <w:rPr>
          <w:rFonts w:cs="Arial"/>
          <w:color w:val="000000" w:themeColor="text1"/>
        </w:rPr>
        <w:t xml:space="preserve">deaths in infants aged under one year. With 194 deaths during 2012-14, the infant mortality rate (4.8 per 1,000 livebirths) had decreased on the 2011-13 rate (5.1 or 206 deaths). </w:t>
      </w:r>
    </w:p>
    <w:p w14:paraId="261FB5D0" w14:textId="77777777" w:rsidR="00A93653" w:rsidRPr="00C263E9" w:rsidRDefault="00A93653" w:rsidP="00A93653">
      <w:pPr>
        <w:pStyle w:val="ListParagraph"/>
        <w:contextualSpacing/>
        <w:rPr>
          <w:rFonts w:cs="Arial"/>
          <w:color w:val="000000" w:themeColor="text1"/>
        </w:rPr>
      </w:pPr>
    </w:p>
    <w:p w14:paraId="298EC162" w14:textId="77777777" w:rsidR="00A93653" w:rsidRPr="0086334E" w:rsidRDefault="00A93653" w:rsidP="00A93653">
      <w:pPr>
        <w:pStyle w:val="ListParagraph"/>
        <w:numPr>
          <w:ilvl w:val="0"/>
          <w:numId w:val="14"/>
        </w:numPr>
        <w:contextualSpacing/>
        <w:rPr>
          <w:rFonts w:cs="Arial"/>
        </w:rPr>
      </w:pPr>
      <w:r>
        <w:rPr>
          <w:rFonts w:cs="Arial"/>
        </w:rPr>
        <w:t>94.5%</w:t>
      </w:r>
      <w:r w:rsidRPr="00892826">
        <w:rPr>
          <w:rFonts w:cs="Arial"/>
        </w:rPr>
        <w:t xml:space="preserve"> </w:t>
      </w:r>
      <w:r>
        <w:rPr>
          <w:rFonts w:cs="Arial"/>
        </w:rPr>
        <w:t xml:space="preserve">of </w:t>
      </w:r>
      <w:r w:rsidRPr="00892826">
        <w:rPr>
          <w:rFonts w:cs="Arial"/>
        </w:rPr>
        <w:t>Lancashire</w:t>
      </w:r>
      <w:r>
        <w:rPr>
          <w:rFonts w:cs="Arial"/>
        </w:rPr>
        <w:t xml:space="preserve"> primary schools were</w:t>
      </w:r>
      <w:r w:rsidRPr="00892826">
        <w:rPr>
          <w:rFonts w:cs="Arial"/>
        </w:rPr>
        <w:t xml:space="preserve"> judged as good or outstanding</w:t>
      </w:r>
      <w:r>
        <w:rPr>
          <w:rFonts w:cs="Arial"/>
        </w:rPr>
        <w:t xml:space="preserve"> and this was higher than the national average (88.5%)</w:t>
      </w:r>
      <w:r w:rsidRPr="00892826">
        <w:rPr>
          <w:rFonts w:cs="Arial"/>
        </w:rPr>
        <w:t>.</w:t>
      </w:r>
      <w:r w:rsidR="00C77EC4">
        <w:rPr>
          <w:rFonts w:cs="Arial"/>
        </w:rPr>
        <w:t xml:space="preserve"> </w:t>
      </w:r>
      <w:r w:rsidR="0086334E">
        <w:rPr>
          <w:rFonts w:cs="Arial"/>
        </w:rPr>
        <w:t xml:space="preserve"> </w:t>
      </w:r>
      <w:r w:rsidR="00C77EC4" w:rsidRPr="0086334E">
        <w:rPr>
          <w:rFonts w:cs="Arial"/>
        </w:rPr>
        <w:t xml:space="preserve">26 of 480 Primary schools were not rated </w:t>
      </w:r>
      <w:r w:rsidR="00AD74A4" w:rsidRPr="0086334E">
        <w:rPr>
          <w:rFonts w:cs="Arial"/>
        </w:rPr>
        <w:t xml:space="preserve">as </w:t>
      </w:r>
      <w:r w:rsidR="00C77EC4" w:rsidRPr="0086334E">
        <w:rPr>
          <w:rFonts w:cs="Arial"/>
        </w:rPr>
        <w:t xml:space="preserve">good or outstanding. </w:t>
      </w:r>
    </w:p>
    <w:p w14:paraId="649D97C1" w14:textId="77777777" w:rsidR="00A82A98" w:rsidRPr="00CA4CF2" w:rsidRDefault="00A82A98" w:rsidP="00CA4CF2">
      <w:pPr>
        <w:rPr>
          <w:color w:val="FF0000"/>
        </w:rPr>
      </w:pPr>
    </w:p>
    <w:p w14:paraId="0CD3A813" w14:textId="77777777" w:rsidR="001154EC" w:rsidRDefault="008C4D33" w:rsidP="008C4D33">
      <w:pPr>
        <w:pStyle w:val="ListParagraph"/>
        <w:ind w:left="0"/>
        <w:contextualSpacing/>
        <w:jc w:val="both"/>
        <w:rPr>
          <w:b/>
        </w:rPr>
      </w:pPr>
      <w:r w:rsidRPr="001172CF">
        <w:rPr>
          <w:b/>
        </w:rPr>
        <w:t>Live Well</w:t>
      </w:r>
    </w:p>
    <w:p w14:paraId="2EE39607" w14:textId="77777777" w:rsidR="007C3EDB" w:rsidRDefault="007C3EDB" w:rsidP="007C3EDB">
      <w:pPr>
        <w:pStyle w:val="NoSpacing"/>
        <w:rPr>
          <w:rFonts w:ascii="Arial" w:hAnsi="Arial" w:cs="Arial"/>
          <w:color w:val="0070C0"/>
        </w:rPr>
      </w:pPr>
    </w:p>
    <w:p w14:paraId="6BFF5C10" w14:textId="77777777" w:rsidR="00882418" w:rsidRPr="005922AE" w:rsidRDefault="007C3EDB" w:rsidP="005922AE">
      <w:pPr>
        <w:pStyle w:val="ListParagraph"/>
        <w:numPr>
          <w:ilvl w:val="0"/>
          <w:numId w:val="26"/>
        </w:numPr>
        <w:ind w:left="720" w:hanging="720"/>
        <w:contextualSpacing/>
        <w:jc w:val="both"/>
        <w:rPr>
          <w:rFonts w:eastAsiaTheme="minorHAnsi" w:cs="Arial"/>
          <w:lang w:eastAsia="en-US"/>
        </w:rPr>
      </w:pPr>
      <w:r w:rsidRPr="00C7568C">
        <w:rPr>
          <w:rFonts w:eastAsiaTheme="minorHAnsi" w:cs="Arial"/>
          <w:lang w:eastAsia="en-US"/>
        </w:rPr>
        <w:t xml:space="preserve">Completion of the </w:t>
      </w:r>
      <w:proofErr w:type="spellStart"/>
      <w:r w:rsidRPr="00C7568C">
        <w:rPr>
          <w:rFonts w:eastAsiaTheme="minorHAnsi" w:cs="Arial"/>
          <w:lang w:eastAsia="en-US"/>
        </w:rPr>
        <w:t>Heysham</w:t>
      </w:r>
      <w:proofErr w:type="spellEnd"/>
      <w:r w:rsidRPr="00C7568C">
        <w:rPr>
          <w:rFonts w:eastAsiaTheme="minorHAnsi" w:cs="Arial"/>
          <w:lang w:eastAsia="en-US"/>
        </w:rPr>
        <w:t xml:space="preserve"> to M6 Link Road - By the end of June 2016, over 94% of the structures work and 90% of road works were complete. There has been a significant delay to the construction of the new Lune Bridge a</w:t>
      </w:r>
      <w:r>
        <w:rPr>
          <w:rFonts w:eastAsiaTheme="minorHAnsi" w:cs="Arial"/>
          <w:lang w:eastAsia="en-US"/>
        </w:rPr>
        <w:t xml:space="preserve">djacent to the M6.  </w:t>
      </w:r>
      <w:r w:rsidR="00882418" w:rsidRPr="003F4E8F">
        <w:rPr>
          <w:rFonts w:cs="Arial"/>
        </w:rPr>
        <w:t>The road opens to the public on Monday 31 October, and work on the entire project is due to be completed in spring, 2017.</w:t>
      </w:r>
    </w:p>
    <w:p w14:paraId="02FD7C70" w14:textId="77777777" w:rsidR="005922AE" w:rsidRPr="003F4E8F" w:rsidRDefault="005922AE" w:rsidP="005922AE">
      <w:pPr>
        <w:pStyle w:val="ListParagraph"/>
        <w:contextualSpacing/>
        <w:jc w:val="both"/>
        <w:rPr>
          <w:rFonts w:eastAsiaTheme="minorHAnsi" w:cs="Arial"/>
          <w:lang w:eastAsia="en-US"/>
        </w:rPr>
      </w:pPr>
    </w:p>
    <w:p w14:paraId="2D0CCE08" w14:textId="77777777" w:rsidR="007C3EDB" w:rsidRDefault="007C3EDB" w:rsidP="005922AE">
      <w:pPr>
        <w:pStyle w:val="ListParagraph"/>
        <w:numPr>
          <w:ilvl w:val="0"/>
          <w:numId w:val="16"/>
        </w:numPr>
        <w:ind w:left="720" w:hanging="720"/>
        <w:contextualSpacing/>
        <w:jc w:val="both"/>
        <w:rPr>
          <w:rFonts w:eastAsiaTheme="minorHAnsi" w:cs="Arial"/>
          <w:lang w:eastAsia="en-US"/>
        </w:rPr>
      </w:pPr>
      <w:r w:rsidRPr="00044FDD">
        <w:rPr>
          <w:rFonts w:eastAsia="Calibri" w:cs="Arial"/>
          <w:lang w:eastAsia="en-US"/>
        </w:rPr>
        <w:t xml:space="preserve">The % of all carriageway and footway defects reported repaired within 20 working days </w:t>
      </w:r>
      <w:r>
        <w:rPr>
          <w:rFonts w:eastAsiaTheme="minorHAnsi" w:cs="Arial"/>
          <w:lang w:eastAsia="en-US"/>
        </w:rPr>
        <w:t>improved during Q1 (94</w:t>
      </w:r>
      <w:r w:rsidRPr="00044FDD">
        <w:rPr>
          <w:rFonts w:eastAsiaTheme="minorHAnsi" w:cs="Arial"/>
          <w:lang w:eastAsia="en-US"/>
        </w:rPr>
        <w:t>%) which is an improvement on Q4 20</w:t>
      </w:r>
      <w:r>
        <w:rPr>
          <w:rFonts w:eastAsiaTheme="minorHAnsi" w:cs="Arial"/>
          <w:lang w:eastAsia="en-US"/>
        </w:rPr>
        <w:t>15/16 when performance was 86% and the same as full year 2015/16 (94%).</w:t>
      </w:r>
      <w:r w:rsidRPr="00792E88">
        <w:rPr>
          <w:rFonts w:eastAsiaTheme="minorHAnsi" w:cs="Arial"/>
          <w:lang w:eastAsia="en-US"/>
        </w:rPr>
        <w:t xml:space="preserve"> </w:t>
      </w:r>
      <w:r>
        <w:rPr>
          <w:rFonts w:eastAsiaTheme="minorHAnsi" w:cs="Arial"/>
          <w:lang w:eastAsia="en-US"/>
        </w:rPr>
        <w:t>However t</w:t>
      </w:r>
      <w:r w:rsidRPr="00A81977">
        <w:rPr>
          <w:rFonts w:eastAsiaTheme="minorHAnsi" w:cs="Arial"/>
          <w:lang w:eastAsia="en-US"/>
        </w:rPr>
        <w:t xml:space="preserve">he Q1 2016/17 </w:t>
      </w:r>
      <w:r>
        <w:rPr>
          <w:rFonts w:eastAsiaTheme="minorHAnsi" w:cs="Arial"/>
          <w:lang w:eastAsia="en-US"/>
        </w:rPr>
        <w:t>percentage figure is down</w:t>
      </w:r>
      <w:r w:rsidRPr="00A81977">
        <w:rPr>
          <w:rFonts w:eastAsiaTheme="minorHAnsi" w:cs="Arial"/>
          <w:lang w:eastAsia="en-US"/>
        </w:rPr>
        <w:t xml:space="preserve"> on Q1 2015/16 when 97% was achieved.</w:t>
      </w:r>
    </w:p>
    <w:p w14:paraId="519B767B" w14:textId="77777777" w:rsidR="005922AE" w:rsidRDefault="005922AE" w:rsidP="005922AE">
      <w:pPr>
        <w:pStyle w:val="ListParagraph"/>
        <w:contextualSpacing/>
        <w:jc w:val="both"/>
        <w:rPr>
          <w:rFonts w:eastAsiaTheme="minorHAnsi" w:cs="Arial"/>
          <w:lang w:eastAsia="en-US"/>
        </w:rPr>
      </w:pPr>
    </w:p>
    <w:p w14:paraId="7FF5FE7E" w14:textId="77777777" w:rsidR="00137BD5" w:rsidRDefault="00137BD5" w:rsidP="005922AE">
      <w:pPr>
        <w:pStyle w:val="ListParagraph"/>
        <w:numPr>
          <w:ilvl w:val="0"/>
          <w:numId w:val="16"/>
        </w:numPr>
        <w:ind w:left="720" w:hanging="720"/>
        <w:contextualSpacing/>
        <w:jc w:val="both"/>
        <w:rPr>
          <w:rFonts w:eastAsiaTheme="minorHAnsi" w:cs="Arial"/>
          <w:lang w:eastAsia="en-US"/>
        </w:rPr>
      </w:pPr>
      <w:r w:rsidRPr="005922AE">
        <w:rPr>
          <w:rFonts w:eastAsiaTheme="minorHAnsi" w:cs="Arial"/>
          <w:lang w:eastAsia="en-US"/>
        </w:rPr>
        <w:t>In Q1 Highways received 17,630 PEMs (Public Enquiry Management System) reported defects and requests for service by members of the public via the customer contact centre through the service database PEMs. The service completed 12,341 PEMs within 20 working days (70%). The service target is to respond to all customer enquiries within 20 working days. In addition to enquiries from members of the public the Highway service receives a high volume (over 50% of the county council's total) of elected Member enquiries.</w:t>
      </w:r>
    </w:p>
    <w:p w14:paraId="541D2374" w14:textId="77777777" w:rsidR="005922AE" w:rsidRPr="005922AE" w:rsidRDefault="005922AE" w:rsidP="005922AE">
      <w:pPr>
        <w:contextualSpacing/>
        <w:jc w:val="both"/>
        <w:rPr>
          <w:rFonts w:eastAsiaTheme="minorHAnsi" w:cs="Arial"/>
          <w:lang w:eastAsia="en-US"/>
        </w:rPr>
      </w:pPr>
    </w:p>
    <w:p w14:paraId="20DEFC0B" w14:textId="2315F1BA" w:rsidR="007C3EDB" w:rsidRPr="005922AE" w:rsidRDefault="007C3EDB" w:rsidP="005922AE">
      <w:pPr>
        <w:pStyle w:val="ListParagraph"/>
        <w:numPr>
          <w:ilvl w:val="0"/>
          <w:numId w:val="16"/>
        </w:numPr>
        <w:ind w:left="720" w:hanging="720"/>
        <w:contextualSpacing/>
        <w:jc w:val="both"/>
        <w:rPr>
          <w:rFonts w:eastAsiaTheme="minorHAnsi" w:cs="Arial"/>
          <w:lang w:eastAsia="en-US"/>
        </w:rPr>
      </w:pPr>
      <w:r w:rsidRPr="005922AE">
        <w:rPr>
          <w:rFonts w:cs="Arial"/>
        </w:rPr>
        <w:t xml:space="preserve">Overall Q1 performance for all street lighting faults (4.25 days – which is made up of </w:t>
      </w:r>
      <w:r w:rsidRPr="005922AE">
        <w:rPr>
          <w:rFonts w:eastAsia="Calibri" w:cs="Arial"/>
          <w:lang w:eastAsia="en-US"/>
        </w:rPr>
        <w:t>2.13 days for those excluding traffic management and 9.72 days for those including traffic management</w:t>
      </w:r>
      <w:r w:rsidRPr="005922AE">
        <w:rPr>
          <w:rFonts w:cs="Arial"/>
        </w:rPr>
        <w:t xml:space="preserve">) has improved slightly compared to Q4 2015/16 (4.27 days) which is also within the </w:t>
      </w:r>
      <w:r w:rsidRPr="005922AE">
        <w:rPr>
          <w:rFonts w:eastAsia="Calibri" w:cs="Arial"/>
          <w:lang w:eastAsia="en-US"/>
        </w:rPr>
        <w:t>5 day target (average repair ti</w:t>
      </w:r>
      <w:r w:rsidR="005922AE">
        <w:rPr>
          <w:rFonts w:eastAsia="Calibri" w:cs="Arial"/>
          <w:lang w:eastAsia="en-US"/>
        </w:rPr>
        <w:t>me).</w:t>
      </w:r>
    </w:p>
    <w:p w14:paraId="6EFF9107" w14:textId="77777777" w:rsidR="005922AE" w:rsidRPr="005922AE" w:rsidRDefault="005922AE" w:rsidP="005922AE">
      <w:pPr>
        <w:contextualSpacing/>
        <w:jc w:val="both"/>
        <w:rPr>
          <w:rFonts w:eastAsiaTheme="minorHAnsi" w:cs="Arial"/>
          <w:lang w:eastAsia="en-US"/>
        </w:rPr>
      </w:pPr>
    </w:p>
    <w:p w14:paraId="053AB2A8" w14:textId="77777777" w:rsidR="007C3EDB" w:rsidRDefault="007C3EDB" w:rsidP="005922AE">
      <w:pPr>
        <w:pStyle w:val="ListParagraph"/>
        <w:numPr>
          <w:ilvl w:val="0"/>
          <w:numId w:val="16"/>
        </w:numPr>
        <w:ind w:left="720" w:hanging="720"/>
        <w:contextualSpacing/>
        <w:jc w:val="both"/>
        <w:rPr>
          <w:rFonts w:eastAsiaTheme="minorHAnsi" w:cs="Arial"/>
          <w:lang w:eastAsia="en-US"/>
        </w:rPr>
      </w:pPr>
      <w:r w:rsidRPr="005922AE">
        <w:rPr>
          <w:rFonts w:eastAsiaTheme="minorHAnsi" w:cs="Arial"/>
        </w:rPr>
        <w:t>The diversion of municipal waste away from landfill by recovery, recycling, reuse and composting is forecast for 2016/17 to be 56%</w:t>
      </w:r>
      <w:r w:rsidR="003F4E8F" w:rsidRPr="005922AE">
        <w:rPr>
          <w:rFonts w:eastAsiaTheme="minorHAnsi" w:cs="Arial"/>
        </w:rPr>
        <w:t>,</w:t>
      </w:r>
      <w:r w:rsidRPr="005922AE">
        <w:rPr>
          <w:rFonts w:eastAsiaTheme="minorHAnsi" w:cs="Arial"/>
        </w:rPr>
        <w:t xml:space="preserve"> with landfill of 44%. The rate achieved in 2015/16 was 71% diversion with 29% landfill.</w:t>
      </w:r>
    </w:p>
    <w:p w14:paraId="298125F8" w14:textId="77777777" w:rsidR="005922AE" w:rsidRPr="005922AE" w:rsidRDefault="005922AE" w:rsidP="005922AE">
      <w:pPr>
        <w:contextualSpacing/>
        <w:jc w:val="both"/>
        <w:rPr>
          <w:rFonts w:eastAsiaTheme="minorHAnsi" w:cs="Arial"/>
          <w:lang w:eastAsia="en-US"/>
        </w:rPr>
      </w:pPr>
    </w:p>
    <w:p w14:paraId="517F45C6" w14:textId="73724CE9" w:rsidR="001A6DEC" w:rsidRPr="005922AE" w:rsidRDefault="007C3EDB" w:rsidP="005922AE">
      <w:pPr>
        <w:pStyle w:val="ListParagraph"/>
        <w:numPr>
          <w:ilvl w:val="0"/>
          <w:numId w:val="16"/>
        </w:numPr>
        <w:ind w:left="720" w:hanging="720"/>
        <w:contextualSpacing/>
        <w:jc w:val="both"/>
        <w:rPr>
          <w:rFonts w:eastAsiaTheme="minorHAnsi" w:cs="Arial"/>
          <w:lang w:eastAsia="en-US"/>
        </w:rPr>
      </w:pPr>
      <w:r w:rsidRPr="005922AE">
        <w:rPr>
          <w:rFonts w:eastAsiaTheme="minorHAnsi" w:cs="Arial"/>
          <w:lang w:eastAsia="en-US"/>
        </w:rPr>
        <w:t>The number of Libraries</w:t>
      </w:r>
      <w:r w:rsidR="00660490" w:rsidRPr="005922AE">
        <w:rPr>
          <w:rFonts w:eastAsiaTheme="minorHAnsi" w:cs="Arial"/>
          <w:lang w:eastAsia="en-US"/>
        </w:rPr>
        <w:t>' book</w:t>
      </w:r>
      <w:r w:rsidRPr="005922AE">
        <w:rPr>
          <w:rFonts w:eastAsiaTheme="minorHAnsi" w:cs="Arial"/>
          <w:lang w:eastAsia="en-US"/>
        </w:rPr>
        <w:t xml:space="preserve"> issues decreased in Q1 2016/17 (</w:t>
      </w:r>
      <w:r w:rsidRPr="005922AE">
        <w:rPr>
          <w:rFonts w:cs="Arial"/>
          <w:color w:val="000000"/>
        </w:rPr>
        <w:t>1,138,090)</w:t>
      </w:r>
      <w:r w:rsidRPr="005922AE">
        <w:rPr>
          <w:rFonts w:eastAsiaTheme="minorHAnsi" w:cs="Arial"/>
          <w:lang w:eastAsia="en-US"/>
        </w:rPr>
        <w:t xml:space="preserve"> and is lower than the same period of 2015/16 (</w:t>
      </w:r>
      <w:r w:rsidRPr="005922AE">
        <w:rPr>
          <w:rFonts w:cs="Arial"/>
          <w:color w:val="000000"/>
        </w:rPr>
        <w:t>1,192,527)</w:t>
      </w:r>
      <w:r w:rsidRPr="005922AE">
        <w:rPr>
          <w:rFonts w:eastAsiaTheme="minorHAnsi" w:cs="Arial"/>
          <w:lang w:eastAsia="en-US"/>
        </w:rPr>
        <w:t>.</w:t>
      </w:r>
      <w:r w:rsidR="005922AE">
        <w:rPr>
          <w:rFonts w:eastAsiaTheme="minorHAnsi" w:cs="Arial"/>
          <w:lang w:eastAsia="en-US"/>
        </w:rPr>
        <w:t xml:space="preserve"> </w:t>
      </w:r>
      <w:r w:rsidRPr="005922AE">
        <w:rPr>
          <w:rFonts w:cs="Arial"/>
        </w:rPr>
        <w:t xml:space="preserve">The number of Library E-Book loans (downloads) has gone up from last year being </w:t>
      </w:r>
      <w:r w:rsidRPr="005922AE">
        <w:rPr>
          <w:rFonts w:cs="Arial"/>
          <w:color w:val="000000"/>
          <w:lang w:eastAsia="en-US"/>
        </w:rPr>
        <w:t xml:space="preserve">34,863 </w:t>
      </w:r>
      <w:r w:rsidRPr="005922AE">
        <w:rPr>
          <w:rFonts w:cs="Arial"/>
        </w:rPr>
        <w:t>in Q1 of 2016/17</w:t>
      </w:r>
      <w:r w:rsidR="003F4E8F" w:rsidRPr="005922AE">
        <w:rPr>
          <w:rFonts w:cs="Arial"/>
        </w:rPr>
        <w:t>, (</w:t>
      </w:r>
      <w:r w:rsidRPr="005922AE">
        <w:rPr>
          <w:rFonts w:cs="Arial"/>
          <w:color w:val="000000"/>
          <w:lang w:eastAsia="en-US"/>
        </w:rPr>
        <w:t xml:space="preserve">28,522 </w:t>
      </w:r>
      <w:r w:rsidRPr="005922AE">
        <w:rPr>
          <w:rFonts w:cs="Arial"/>
        </w:rPr>
        <w:t>in Q4 2015/16)</w:t>
      </w:r>
      <w:r w:rsidR="005922AE">
        <w:rPr>
          <w:rFonts w:cs="Arial"/>
        </w:rPr>
        <w:t xml:space="preserve"> </w:t>
      </w:r>
      <w:r w:rsidR="003F4E8F" w:rsidRPr="005922AE">
        <w:rPr>
          <w:rFonts w:cs="Arial"/>
        </w:rPr>
        <w:t>and</w:t>
      </w:r>
      <w:r w:rsidRPr="005922AE">
        <w:rPr>
          <w:rFonts w:cs="Arial"/>
        </w:rPr>
        <w:t xml:space="preserve"> </w:t>
      </w:r>
      <w:r w:rsidRPr="005922AE">
        <w:rPr>
          <w:rFonts w:cs="Arial"/>
          <w:lang w:eastAsia="en-US"/>
        </w:rPr>
        <w:t xml:space="preserve">23,803 </w:t>
      </w:r>
      <w:r w:rsidR="005922AE" w:rsidRPr="005922AE">
        <w:rPr>
          <w:rFonts w:cs="Arial"/>
        </w:rPr>
        <w:t>in Q1 of 2015/16.</w:t>
      </w:r>
    </w:p>
    <w:p w14:paraId="7EF05735" w14:textId="77777777" w:rsidR="005922AE" w:rsidRPr="005922AE" w:rsidRDefault="005922AE" w:rsidP="005922AE">
      <w:pPr>
        <w:contextualSpacing/>
        <w:jc w:val="both"/>
        <w:rPr>
          <w:rFonts w:eastAsiaTheme="minorHAnsi" w:cs="Arial"/>
          <w:lang w:eastAsia="en-US"/>
        </w:rPr>
      </w:pPr>
    </w:p>
    <w:p w14:paraId="371C1688" w14:textId="4B334454" w:rsidR="001A6DEC" w:rsidRDefault="001A6DEC" w:rsidP="005922AE">
      <w:pPr>
        <w:pStyle w:val="ListParagraph"/>
        <w:numPr>
          <w:ilvl w:val="0"/>
          <w:numId w:val="16"/>
        </w:numPr>
        <w:ind w:left="720" w:hanging="720"/>
        <w:contextualSpacing/>
        <w:jc w:val="both"/>
        <w:rPr>
          <w:rFonts w:eastAsiaTheme="minorHAnsi" w:cs="Arial"/>
          <w:lang w:eastAsia="en-US"/>
        </w:rPr>
      </w:pPr>
      <w:r w:rsidRPr="005922AE">
        <w:rPr>
          <w:rFonts w:eastAsiaTheme="minorHAnsi" w:cs="Arial"/>
          <w:lang w:eastAsia="en-US"/>
        </w:rPr>
        <w:t>The Road Safety team are able to report provisional data on the number of fatalities during 2016.  Up until the 15</w:t>
      </w:r>
      <w:r w:rsidRPr="005922AE">
        <w:rPr>
          <w:rFonts w:eastAsiaTheme="minorHAnsi" w:cs="Arial"/>
          <w:vertAlign w:val="superscript"/>
          <w:lang w:eastAsia="en-US"/>
        </w:rPr>
        <w:t>th</w:t>
      </w:r>
      <w:r w:rsidRPr="005922AE">
        <w:rPr>
          <w:rFonts w:eastAsiaTheme="minorHAnsi" w:cs="Arial"/>
          <w:lang w:eastAsia="en-US"/>
        </w:rPr>
        <w:t xml:space="preserve"> July</w:t>
      </w:r>
      <w:r w:rsidR="003F4E8F" w:rsidRPr="005922AE">
        <w:rPr>
          <w:rFonts w:eastAsiaTheme="minorHAnsi" w:cs="Arial"/>
          <w:lang w:eastAsia="en-US"/>
        </w:rPr>
        <w:t>,</w:t>
      </w:r>
      <w:r w:rsidRPr="005922AE">
        <w:rPr>
          <w:rFonts w:eastAsiaTheme="minorHAnsi" w:cs="Arial"/>
          <w:lang w:eastAsia="en-US"/>
        </w:rPr>
        <w:t xml:space="preserve"> there have been 20 fatalities from </w:t>
      </w:r>
      <w:r w:rsidRPr="005922AE">
        <w:rPr>
          <w:rFonts w:eastAsiaTheme="minorHAnsi" w:cs="Arial"/>
          <w:lang w:eastAsia="en-US"/>
        </w:rPr>
        <w:lastRenderedPageBreak/>
        <w:t xml:space="preserve">18 collisions in Lancashire, all aged 16 or over. The figure is exacerbated by </w:t>
      </w:r>
      <w:r w:rsidR="00137BD5" w:rsidRPr="005922AE">
        <w:rPr>
          <w:rFonts w:eastAsiaTheme="minorHAnsi" w:cs="Arial"/>
          <w:lang w:eastAsia="en-US"/>
        </w:rPr>
        <w:t>two high p</w:t>
      </w:r>
      <w:r w:rsidR="00580F95" w:rsidRPr="005922AE">
        <w:rPr>
          <w:rFonts w:eastAsiaTheme="minorHAnsi" w:cs="Arial"/>
          <w:lang w:eastAsia="en-US"/>
        </w:rPr>
        <w:t xml:space="preserve">rofile </w:t>
      </w:r>
      <w:r w:rsidR="00EB5CB8" w:rsidRPr="005922AE">
        <w:rPr>
          <w:rFonts w:eastAsiaTheme="minorHAnsi" w:cs="Arial"/>
          <w:lang w:eastAsia="en-US"/>
        </w:rPr>
        <w:t>'</w:t>
      </w:r>
      <w:r w:rsidR="00580F95" w:rsidRPr="005922AE">
        <w:rPr>
          <w:rFonts w:eastAsiaTheme="minorHAnsi" w:cs="Arial"/>
          <w:lang w:eastAsia="en-US"/>
        </w:rPr>
        <w:t>two deaths in one acciden</w:t>
      </w:r>
      <w:r w:rsidR="00137BD5" w:rsidRPr="005922AE">
        <w:rPr>
          <w:rFonts w:eastAsiaTheme="minorHAnsi" w:cs="Arial"/>
          <w:lang w:eastAsia="en-US"/>
        </w:rPr>
        <w:t>t</w:t>
      </w:r>
      <w:r w:rsidR="00EB5CB8" w:rsidRPr="005922AE">
        <w:rPr>
          <w:rFonts w:eastAsiaTheme="minorHAnsi" w:cs="Arial"/>
          <w:lang w:eastAsia="en-US"/>
        </w:rPr>
        <w:t>' (incidents)</w:t>
      </w:r>
      <w:r w:rsidRPr="005922AE">
        <w:rPr>
          <w:rFonts w:eastAsiaTheme="minorHAnsi" w:cs="Arial"/>
          <w:lang w:eastAsia="en-US"/>
        </w:rPr>
        <w:t xml:space="preserve">, </w:t>
      </w:r>
      <w:proofErr w:type="spellStart"/>
      <w:r w:rsidRPr="005922AE">
        <w:rPr>
          <w:rFonts w:eastAsiaTheme="minorHAnsi" w:cs="Arial"/>
          <w:lang w:eastAsia="en-US"/>
        </w:rPr>
        <w:t>Runshaw</w:t>
      </w:r>
      <w:proofErr w:type="spellEnd"/>
      <w:r w:rsidRPr="005922AE">
        <w:rPr>
          <w:rFonts w:eastAsiaTheme="minorHAnsi" w:cs="Arial"/>
          <w:lang w:eastAsia="en-US"/>
        </w:rPr>
        <w:t xml:space="preserve"> Lane, </w:t>
      </w:r>
      <w:proofErr w:type="spellStart"/>
      <w:r w:rsidRPr="005922AE">
        <w:rPr>
          <w:rFonts w:eastAsiaTheme="minorHAnsi" w:cs="Arial"/>
          <w:lang w:eastAsia="en-US"/>
        </w:rPr>
        <w:t>Euxton</w:t>
      </w:r>
      <w:proofErr w:type="spellEnd"/>
      <w:r w:rsidRPr="005922AE">
        <w:rPr>
          <w:rFonts w:eastAsiaTheme="minorHAnsi" w:cs="Arial"/>
          <w:lang w:eastAsia="en-US"/>
        </w:rPr>
        <w:t xml:space="preserve"> and Brockholes Brow, Preston, but is representative of the number of fatalities in the first 6 months of previous years. Of note is the number of fatal powered two wheeler collisions, 25% </w:t>
      </w:r>
      <w:r w:rsidR="003F729B" w:rsidRPr="005922AE">
        <w:rPr>
          <w:rFonts w:eastAsiaTheme="minorHAnsi" w:cs="Arial"/>
          <w:lang w:eastAsia="en-US"/>
        </w:rPr>
        <w:t xml:space="preserve">(5) </w:t>
      </w:r>
      <w:r w:rsidRPr="005922AE">
        <w:rPr>
          <w:rFonts w:eastAsiaTheme="minorHAnsi" w:cs="Arial"/>
          <w:lang w:eastAsia="en-US"/>
        </w:rPr>
        <w:t>of the fatalities are from this user group which is an over-representation in terms of vehicle miles travelled.</w:t>
      </w:r>
    </w:p>
    <w:p w14:paraId="61EE3BA0" w14:textId="77777777" w:rsidR="005922AE" w:rsidRDefault="005922AE" w:rsidP="005922AE">
      <w:pPr>
        <w:pStyle w:val="ListParagraph"/>
        <w:rPr>
          <w:rFonts w:eastAsiaTheme="minorHAnsi" w:cs="Arial"/>
          <w:lang w:eastAsia="en-US"/>
        </w:rPr>
      </w:pPr>
    </w:p>
    <w:p w14:paraId="489E83D8" w14:textId="77777777" w:rsidR="000D6325" w:rsidRDefault="000D6325" w:rsidP="000D6325">
      <w:pPr>
        <w:contextualSpacing/>
        <w:rPr>
          <w:rFonts w:eastAsiaTheme="minorHAnsi" w:cs="Arial"/>
          <w:szCs w:val="24"/>
          <w:lang w:eastAsia="en-US"/>
        </w:rPr>
      </w:pPr>
      <w:r>
        <w:rPr>
          <w:rFonts w:eastAsiaTheme="minorHAnsi" w:cs="Arial"/>
          <w:szCs w:val="24"/>
          <w:lang w:eastAsia="en-US"/>
        </w:rPr>
        <w:t>A detailed road safety report is scheduled for the next CCPI meeting (5 December).</w:t>
      </w:r>
    </w:p>
    <w:p w14:paraId="0EE3AF26" w14:textId="77777777" w:rsidR="005922AE" w:rsidRPr="005922AE" w:rsidRDefault="005922AE" w:rsidP="005922AE">
      <w:pPr>
        <w:pStyle w:val="ListParagraph"/>
        <w:rPr>
          <w:rFonts w:eastAsiaTheme="minorHAnsi" w:cs="Arial"/>
          <w:lang w:eastAsia="en-US"/>
        </w:rPr>
      </w:pPr>
    </w:p>
    <w:p w14:paraId="115B9853" w14:textId="77777777" w:rsidR="001A6DEC" w:rsidRPr="005922AE" w:rsidRDefault="00742D15" w:rsidP="005922AE">
      <w:pPr>
        <w:pStyle w:val="ListParagraph"/>
        <w:numPr>
          <w:ilvl w:val="0"/>
          <w:numId w:val="16"/>
        </w:numPr>
        <w:ind w:left="720" w:hanging="720"/>
        <w:contextualSpacing/>
        <w:jc w:val="both"/>
        <w:rPr>
          <w:rFonts w:eastAsiaTheme="minorHAnsi" w:cs="Arial"/>
          <w:lang w:eastAsia="en-US"/>
        </w:rPr>
      </w:pPr>
      <w:r w:rsidRPr="005922AE">
        <w:rPr>
          <w:rFonts w:cs="Arial"/>
        </w:rPr>
        <w:t xml:space="preserve">In Q1 </w:t>
      </w:r>
      <w:r w:rsidR="003A5DF2" w:rsidRPr="005922AE">
        <w:rPr>
          <w:rFonts w:cs="Arial"/>
        </w:rPr>
        <w:t xml:space="preserve">the number of </w:t>
      </w:r>
      <w:r w:rsidR="001A6DEC" w:rsidRPr="005922AE">
        <w:rPr>
          <w:rFonts w:cs="Arial"/>
        </w:rPr>
        <w:t>NHS health checks</w:t>
      </w:r>
      <w:r w:rsidR="003A5DF2" w:rsidRPr="005922AE">
        <w:rPr>
          <w:rFonts w:cs="Arial"/>
        </w:rPr>
        <w:t xml:space="preserve"> completed dropped (10,969) compared to previous quarters (12,498 in Q4 2015/16 and 11</w:t>
      </w:r>
      <w:r w:rsidR="001A6DEC" w:rsidRPr="005922AE">
        <w:rPr>
          <w:rFonts w:cs="Arial"/>
        </w:rPr>
        <w:t>,</w:t>
      </w:r>
      <w:r w:rsidR="003A5DF2" w:rsidRPr="005922AE">
        <w:rPr>
          <w:rFonts w:cs="Arial"/>
        </w:rPr>
        <w:t>588</w:t>
      </w:r>
      <w:r w:rsidR="001A6DEC" w:rsidRPr="005922AE">
        <w:rPr>
          <w:rFonts w:cs="Arial"/>
        </w:rPr>
        <w:t xml:space="preserve"> in Q1 2015/16)</w:t>
      </w:r>
      <w:r w:rsidR="003A5DF2" w:rsidRPr="005922AE">
        <w:rPr>
          <w:rFonts w:cs="Arial"/>
        </w:rPr>
        <w:t>.  This was despite the number offered increasing to 23,373 (18,585 Q4 2015/16 and 14,896 in Q1 2015/16)</w:t>
      </w:r>
      <w:r w:rsidR="001A6DEC" w:rsidRPr="005922AE">
        <w:rPr>
          <w:rFonts w:cs="Arial"/>
        </w:rPr>
        <w:t>.</w:t>
      </w:r>
      <w:r w:rsidR="003A5DF2" w:rsidRPr="005922AE">
        <w:rPr>
          <w:rFonts w:cs="Arial"/>
        </w:rPr>
        <w:t xml:space="preserve">  </w:t>
      </w:r>
      <w:r w:rsidR="001A6DEC" w:rsidRPr="005922AE">
        <w:rPr>
          <w:rFonts w:cs="Arial"/>
        </w:rPr>
        <w:t>88 of these were offered internally to LCC staff at sites across Lancashire as part of the staff health and wellbeing programme.</w:t>
      </w:r>
    </w:p>
    <w:p w14:paraId="01EF4FF2" w14:textId="77777777" w:rsidR="00F3118B" w:rsidRDefault="00F3118B" w:rsidP="000C3699">
      <w:pPr>
        <w:pStyle w:val="NoSpacing"/>
        <w:rPr>
          <w:rFonts w:ascii="Arial" w:hAnsi="Arial" w:cs="Arial"/>
          <w:b/>
          <w:sz w:val="24"/>
          <w:szCs w:val="24"/>
        </w:rPr>
      </w:pPr>
    </w:p>
    <w:p w14:paraId="54DA9556" w14:textId="77777777" w:rsidR="000C3699" w:rsidRDefault="000C3699" w:rsidP="000C3699">
      <w:pPr>
        <w:pStyle w:val="NoSpacing"/>
        <w:rPr>
          <w:rFonts w:ascii="Arial" w:hAnsi="Arial" w:cs="Arial"/>
          <w:b/>
          <w:sz w:val="24"/>
          <w:szCs w:val="24"/>
        </w:rPr>
      </w:pPr>
      <w:r w:rsidRPr="001172CF">
        <w:rPr>
          <w:rFonts w:ascii="Arial" w:hAnsi="Arial" w:cs="Arial"/>
          <w:b/>
          <w:sz w:val="24"/>
          <w:szCs w:val="24"/>
        </w:rPr>
        <w:t>Age Well</w:t>
      </w:r>
    </w:p>
    <w:p w14:paraId="609FD457" w14:textId="77777777" w:rsidR="001A6DEC" w:rsidRDefault="001A6DEC" w:rsidP="000C3699">
      <w:pPr>
        <w:pStyle w:val="NoSpacing"/>
        <w:rPr>
          <w:rFonts w:ascii="Arial" w:hAnsi="Arial" w:cs="Arial"/>
          <w:b/>
          <w:sz w:val="24"/>
          <w:szCs w:val="24"/>
        </w:rPr>
      </w:pPr>
    </w:p>
    <w:p w14:paraId="58AB1EDF" w14:textId="37CB6571" w:rsidR="003D763F" w:rsidRPr="003D763F" w:rsidRDefault="00137BD5" w:rsidP="003D763F">
      <w:pPr>
        <w:numPr>
          <w:ilvl w:val="0"/>
          <w:numId w:val="19"/>
        </w:numPr>
        <w:spacing w:after="120"/>
        <w:ind w:left="360"/>
        <w:contextualSpacing/>
        <w:rPr>
          <w:rFonts w:cs="Arial"/>
          <w:b/>
          <w:szCs w:val="24"/>
        </w:rPr>
      </w:pPr>
      <w:r>
        <w:rPr>
          <w:rFonts w:cs="Arial"/>
          <w:szCs w:val="24"/>
        </w:rPr>
        <w:t>I</w:t>
      </w:r>
      <w:r w:rsidR="003D763F" w:rsidRPr="00F20642">
        <w:rPr>
          <w:rFonts w:cs="Arial"/>
          <w:szCs w:val="24"/>
        </w:rPr>
        <w:t>n</w:t>
      </w:r>
      <w:r w:rsidR="003D763F" w:rsidRPr="00F20642">
        <w:rPr>
          <w:rFonts w:cs="Arial"/>
          <w:b/>
          <w:szCs w:val="24"/>
        </w:rPr>
        <w:t xml:space="preserve"> </w:t>
      </w:r>
      <w:r w:rsidR="003D763F" w:rsidRPr="00F20642">
        <w:rPr>
          <w:rFonts w:cs="Arial"/>
          <w:szCs w:val="24"/>
        </w:rPr>
        <w:t>Q1</w:t>
      </w:r>
      <w:r>
        <w:rPr>
          <w:rFonts w:cs="Arial"/>
          <w:szCs w:val="24"/>
        </w:rPr>
        <w:t>, the rolling year figure of</w:t>
      </w:r>
      <w:r w:rsidR="003D763F" w:rsidRPr="00F20642">
        <w:rPr>
          <w:rFonts w:cs="Arial"/>
          <w:szCs w:val="24"/>
        </w:rPr>
        <w:t>, 1677 older people were admitted to resident</w:t>
      </w:r>
      <w:r w:rsidR="003A5DF2">
        <w:rPr>
          <w:rFonts w:cs="Arial"/>
          <w:szCs w:val="24"/>
        </w:rPr>
        <w:t>ial and nursing care, this is a slight</w:t>
      </w:r>
      <w:r w:rsidR="003D763F" w:rsidRPr="00F20642">
        <w:rPr>
          <w:rFonts w:cs="Arial"/>
          <w:szCs w:val="24"/>
        </w:rPr>
        <w:t xml:space="preserve"> improvement on the Q4 final 2015/16 figures of 1697 admissions to residential and nursing care for the 65+ age group. The Q1 outcome of 720.0 admissions per 100,000 population 65+ is a further improvement on the Q4 outcome of 728.5. This performance meets the Better Care Fund (BCF) target of 733.7, but is still a little way off the national previous year end average of 668.8.</w:t>
      </w:r>
    </w:p>
    <w:p w14:paraId="37CC3C3C" w14:textId="77777777" w:rsidR="003D763F" w:rsidRPr="00F20642" w:rsidRDefault="003D763F" w:rsidP="003D763F">
      <w:pPr>
        <w:spacing w:after="120"/>
        <w:contextualSpacing/>
        <w:rPr>
          <w:rFonts w:cs="Arial"/>
          <w:b/>
          <w:szCs w:val="24"/>
        </w:rPr>
      </w:pPr>
    </w:p>
    <w:p w14:paraId="312FA0DD" w14:textId="601960AC" w:rsidR="003D763F" w:rsidRDefault="003D763F" w:rsidP="003D763F">
      <w:pPr>
        <w:numPr>
          <w:ilvl w:val="0"/>
          <w:numId w:val="19"/>
        </w:numPr>
        <w:ind w:left="360"/>
        <w:contextualSpacing/>
        <w:rPr>
          <w:rFonts w:cs="Arial"/>
          <w:szCs w:val="24"/>
        </w:rPr>
      </w:pPr>
      <w:r>
        <w:rPr>
          <w:rFonts w:cs="Arial"/>
          <w:szCs w:val="24"/>
        </w:rPr>
        <w:t xml:space="preserve">In </w:t>
      </w:r>
      <w:r w:rsidRPr="00F20642">
        <w:rPr>
          <w:rFonts w:cs="Arial"/>
          <w:szCs w:val="24"/>
        </w:rPr>
        <w:t>Q1</w:t>
      </w:r>
      <w:r>
        <w:rPr>
          <w:rFonts w:cs="Arial"/>
          <w:szCs w:val="24"/>
        </w:rPr>
        <w:t>, 854</w:t>
      </w:r>
      <w:r w:rsidR="00D83324">
        <w:rPr>
          <w:rFonts w:cs="Arial"/>
          <w:szCs w:val="24"/>
        </w:rPr>
        <w:t xml:space="preserve"> older </w:t>
      </w:r>
      <w:r>
        <w:rPr>
          <w:rFonts w:cs="Arial"/>
          <w:szCs w:val="24"/>
        </w:rPr>
        <w:t xml:space="preserve">people were offered </w:t>
      </w:r>
      <w:proofErr w:type="spellStart"/>
      <w:r w:rsidRPr="00F20642">
        <w:rPr>
          <w:rFonts w:cs="Arial"/>
          <w:szCs w:val="24"/>
        </w:rPr>
        <w:t>reablement</w:t>
      </w:r>
      <w:proofErr w:type="spellEnd"/>
      <w:r>
        <w:rPr>
          <w:rFonts w:cs="Arial"/>
          <w:szCs w:val="24"/>
        </w:rPr>
        <w:t xml:space="preserve"> services</w:t>
      </w:r>
      <w:r w:rsidR="00D83324">
        <w:rPr>
          <w:rFonts w:cs="Arial"/>
          <w:szCs w:val="24"/>
        </w:rPr>
        <w:t xml:space="preserve"> </w:t>
      </w:r>
      <w:r w:rsidR="000D6325">
        <w:rPr>
          <w:rFonts w:cs="Arial"/>
          <w:szCs w:val="24"/>
        </w:rPr>
        <w:t xml:space="preserve">on </w:t>
      </w:r>
      <w:r w:rsidR="00D83324">
        <w:rPr>
          <w:rFonts w:cs="Arial"/>
          <w:szCs w:val="24"/>
        </w:rPr>
        <w:t>discharge from hospital</w:t>
      </w:r>
      <w:r>
        <w:rPr>
          <w:rFonts w:cs="Arial"/>
          <w:szCs w:val="24"/>
        </w:rPr>
        <w:t xml:space="preserve"> as </w:t>
      </w:r>
      <w:r w:rsidR="00742D15">
        <w:rPr>
          <w:rFonts w:cs="Arial"/>
          <w:szCs w:val="24"/>
        </w:rPr>
        <w:t xml:space="preserve">compared with 875 in Q4 but met </w:t>
      </w:r>
      <w:r w:rsidRPr="00F20642">
        <w:rPr>
          <w:rFonts w:cs="Arial"/>
          <w:szCs w:val="24"/>
        </w:rPr>
        <w:t>the BCF target of 600. Lancashire outcome figures for Q1 indicate 84.0% were still at home after 91 days. This is an improvement on the Q4 figure of 83.2% and the national average of 82.1% and compares favourably with the BCF target of 82.0%.</w:t>
      </w:r>
    </w:p>
    <w:p w14:paraId="71D09EF3" w14:textId="77777777" w:rsidR="00337648" w:rsidRDefault="00337648" w:rsidP="00337648">
      <w:pPr>
        <w:pStyle w:val="ListParagraph"/>
        <w:rPr>
          <w:rFonts w:cs="Arial"/>
        </w:rPr>
      </w:pPr>
    </w:p>
    <w:p w14:paraId="41F68D16" w14:textId="08D120FD" w:rsidR="008D4C6E" w:rsidRPr="00337648" w:rsidRDefault="008D4C6E" w:rsidP="00337648">
      <w:pPr>
        <w:numPr>
          <w:ilvl w:val="0"/>
          <w:numId w:val="19"/>
        </w:numPr>
        <w:ind w:left="360"/>
        <w:contextualSpacing/>
        <w:rPr>
          <w:rFonts w:cs="Arial"/>
          <w:szCs w:val="24"/>
        </w:rPr>
      </w:pPr>
      <w:r w:rsidRPr="00337648">
        <w:rPr>
          <w:rFonts w:cs="Arial"/>
        </w:rPr>
        <w:t xml:space="preserve">In Lancashire for May-16 a total of 72.6% delayed </w:t>
      </w:r>
      <w:r w:rsidR="00EB5CB8" w:rsidRPr="00337648">
        <w:rPr>
          <w:rFonts w:cs="Arial"/>
        </w:rPr>
        <w:t xml:space="preserve">discharged </w:t>
      </w:r>
      <w:r w:rsidRPr="00337648">
        <w:rPr>
          <w:rFonts w:cs="Arial"/>
        </w:rPr>
        <w:t xml:space="preserve">days were attributable to the NHS, 23.0% were attributable to social care, and the remaining 4.4% were attributable to both NHS and social care. In comparison the national picture showed 59.7% of all delays in May-16 were attributable to the NHS, 32.7% were attributable to social care and the remaining 7.6% were attributable to both NHS and social care. Lancashire currently shows a smaller proportion of delays attributable to social care than the overall national figure, </w:t>
      </w:r>
      <w:r w:rsidR="00D337E5" w:rsidRPr="00337648">
        <w:rPr>
          <w:rFonts w:cs="Arial"/>
        </w:rPr>
        <w:t>with a Q1 monthly snapshot figure of 31 people (3.3 per 100,000) delayed discharges attributable to social care however this</w:t>
      </w:r>
      <w:r w:rsidR="000A5C52" w:rsidRPr="00337648">
        <w:rPr>
          <w:rFonts w:cs="Arial"/>
        </w:rPr>
        <w:t xml:space="preserve"> has</w:t>
      </w:r>
      <w:r w:rsidR="00D337E5" w:rsidRPr="00337648">
        <w:rPr>
          <w:rFonts w:cs="Arial"/>
        </w:rPr>
        <w:t xml:space="preserve"> increased from the </w:t>
      </w:r>
      <w:r w:rsidRPr="00337648">
        <w:rPr>
          <w:rFonts w:cs="Arial"/>
        </w:rPr>
        <w:t>2.0</w:t>
      </w:r>
      <w:r w:rsidR="00D337E5" w:rsidRPr="00337648">
        <w:rPr>
          <w:rFonts w:cs="Arial"/>
        </w:rPr>
        <w:t xml:space="preserve"> per 100,000</w:t>
      </w:r>
      <w:r w:rsidRPr="00337648">
        <w:rPr>
          <w:rFonts w:cs="Arial"/>
        </w:rPr>
        <w:t xml:space="preserve"> in </w:t>
      </w:r>
      <w:r w:rsidR="00D337E5" w:rsidRPr="00337648">
        <w:rPr>
          <w:rFonts w:cs="Arial"/>
        </w:rPr>
        <w:t>Q4 2015/16</w:t>
      </w:r>
      <w:r w:rsidRPr="00337648">
        <w:rPr>
          <w:rFonts w:cs="Arial"/>
        </w:rPr>
        <w:t xml:space="preserve">. These increases are </w:t>
      </w:r>
      <w:r w:rsidR="000A5C52" w:rsidRPr="00337648">
        <w:rPr>
          <w:rFonts w:cs="Arial"/>
        </w:rPr>
        <w:t xml:space="preserve">below those </w:t>
      </w:r>
      <w:r w:rsidRPr="00337648">
        <w:rPr>
          <w:rFonts w:cs="Arial"/>
        </w:rPr>
        <w:t>reflected national</w:t>
      </w:r>
      <w:r w:rsidR="000A5C52" w:rsidRPr="00337648">
        <w:rPr>
          <w:rFonts w:cs="Arial"/>
        </w:rPr>
        <w:t>ly</w:t>
      </w:r>
      <w:r w:rsidRPr="00337648">
        <w:rPr>
          <w:rFonts w:cs="Arial"/>
        </w:rPr>
        <w:t>.</w:t>
      </w:r>
    </w:p>
    <w:p w14:paraId="0D442E49" w14:textId="77777777" w:rsidR="003D763F" w:rsidRPr="00F20642" w:rsidRDefault="003D763F" w:rsidP="003D763F">
      <w:pPr>
        <w:spacing w:after="160" w:line="259" w:lineRule="auto"/>
        <w:ind w:left="360"/>
        <w:contextualSpacing/>
        <w:rPr>
          <w:rFonts w:cs="Arial"/>
          <w:b/>
          <w:szCs w:val="24"/>
        </w:rPr>
      </w:pPr>
    </w:p>
    <w:p w14:paraId="0BB05B33" w14:textId="77777777" w:rsidR="003D763F" w:rsidRDefault="003D763F" w:rsidP="003D763F">
      <w:pPr>
        <w:rPr>
          <w:rFonts w:cs="Arial"/>
          <w:szCs w:val="24"/>
        </w:rPr>
      </w:pPr>
      <w:r w:rsidRPr="00F20642">
        <w:rPr>
          <w:rFonts w:cs="Arial"/>
          <w:szCs w:val="24"/>
        </w:rPr>
        <w:t>Activity management information data is given for a number of areas of business including:</w:t>
      </w:r>
    </w:p>
    <w:p w14:paraId="07A75B3E" w14:textId="77777777" w:rsidR="003D763F" w:rsidRPr="00F20642" w:rsidRDefault="003D763F" w:rsidP="003D763F">
      <w:pPr>
        <w:rPr>
          <w:rFonts w:cs="Arial"/>
          <w:szCs w:val="24"/>
        </w:rPr>
      </w:pPr>
    </w:p>
    <w:p w14:paraId="6B6DB0C3" w14:textId="60AA1735" w:rsidR="000A5C52" w:rsidRPr="00DD148E" w:rsidRDefault="00DD148E" w:rsidP="00DD148E">
      <w:pPr>
        <w:pStyle w:val="ListParagraph"/>
        <w:numPr>
          <w:ilvl w:val="0"/>
          <w:numId w:val="36"/>
        </w:numPr>
        <w:rPr>
          <w:rFonts w:cs="Arial"/>
        </w:rPr>
      </w:pPr>
      <w:proofErr w:type="spellStart"/>
      <w:r>
        <w:rPr>
          <w:rFonts w:cs="Arial"/>
        </w:rPr>
        <w:t>Reablement</w:t>
      </w:r>
      <w:proofErr w:type="spellEnd"/>
      <w:r>
        <w:rPr>
          <w:rFonts w:cs="Arial"/>
        </w:rPr>
        <w:t xml:space="preserve"> </w:t>
      </w:r>
      <w:r w:rsidR="000A5C52" w:rsidRPr="00DD148E">
        <w:rPr>
          <w:rFonts w:cs="Arial"/>
        </w:rPr>
        <w:t>work has been undertaken within a team in Burnley to bette</w:t>
      </w:r>
      <w:r>
        <w:rPr>
          <w:rFonts w:cs="Arial"/>
        </w:rPr>
        <w:t xml:space="preserve">r understand how the </w:t>
      </w:r>
      <w:r w:rsidR="000A5C52" w:rsidRPr="00DD148E">
        <w:rPr>
          <w:rFonts w:cs="Arial"/>
        </w:rPr>
        <w:t xml:space="preserve">service should develop to meet increasing demand and complexity of people using the service, whilst reducing the amount of longer term support people need after a significant event such as a hospital admission. </w:t>
      </w:r>
    </w:p>
    <w:p w14:paraId="226CB896" w14:textId="2C0ED855" w:rsidR="003D763F" w:rsidRDefault="000A5C52" w:rsidP="00DD148E">
      <w:pPr>
        <w:spacing w:after="120"/>
        <w:contextualSpacing/>
        <w:rPr>
          <w:rFonts w:cs="Arial"/>
          <w:color w:val="FF0000"/>
          <w:szCs w:val="24"/>
        </w:rPr>
      </w:pPr>
      <w:r>
        <w:rPr>
          <w:rFonts w:cs="Arial"/>
          <w:szCs w:val="24"/>
        </w:rPr>
        <w:lastRenderedPageBreak/>
        <w:t xml:space="preserve">From this work we were able to significantly increase the usage of the service, the time to </w:t>
      </w:r>
      <w:proofErr w:type="spellStart"/>
      <w:r>
        <w:rPr>
          <w:rFonts w:cs="Arial"/>
          <w:szCs w:val="24"/>
        </w:rPr>
        <w:t>reable</w:t>
      </w:r>
      <w:proofErr w:type="spellEnd"/>
      <w:r>
        <w:rPr>
          <w:rFonts w:cs="Arial"/>
          <w:szCs w:val="24"/>
        </w:rPr>
        <w:t xml:space="preserve"> was reduced by 43% within this team, whilst the cost of longer term support people needed at the end of period of </w:t>
      </w:r>
      <w:proofErr w:type="spellStart"/>
      <w:r>
        <w:rPr>
          <w:rFonts w:cs="Arial"/>
          <w:szCs w:val="24"/>
        </w:rPr>
        <w:t>reablement</w:t>
      </w:r>
      <w:proofErr w:type="spellEnd"/>
      <w:r>
        <w:rPr>
          <w:rFonts w:cs="Arial"/>
          <w:szCs w:val="24"/>
        </w:rPr>
        <w:t xml:space="preserve"> decreased on average by £20 per person, and 78% people needing no formal long term support at the end of a period of </w:t>
      </w:r>
      <w:proofErr w:type="spellStart"/>
      <w:r>
        <w:rPr>
          <w:rFonts w:cs="Arial"/>
          <w:szCs w:val="24"/>
        </w:rPr>
        <w:t>reablement</w:t>
      </w:r>
      <w:proofErr w:type="spellEnd"/>
      <w:r>
        <w:rPr>
          <w:rFonts w:cs="Arial"/>
          <w:szCs w:val="24"/>
        </w:rPr>
        <w:t xml:space="preserve">. </w:t>
      </w:r>
      <w:r w:rsidR="00EB5CB8">
        <w:rPr>
          <w:rFonts w:cs="Arial"/>
          <w:szCs w:val="24"/>
        </w:rPr>
        <w:t>The learning from the work in Burnley has led to a number of principles being agreed in order to develop the service.</w:t>
      </w:r>
    </w:p>
    <w:p w14:paraId="3FF2049F" w14:textId="77777777" w:rsidR="003D763F" w:rsidRPr="00F20642" w:rsidRDefault="003D763F" w:rsidP="003D763F">
      <w:pPr>
        <w:spacing w:after="120"/>
        <w:contextualSpacing/>
        <w:rPr>
          <w:rFonts w:cs="Arial"/>
          <w:b/>
          <w:szCs w:val="24"/>
        </w:rPr>
      </w:pPr>
    </w:p>
    <w:p w14:paraId="51A3E57A" w14:textId="61C5B180" w:rsidR="0096160B" w:rsidRPr="00DD148E" w:rsidRDefault="0096160B" w:rsidP="00DD148E">
      <w:pPr>
        <w:pStyle w:val="ListParagraph"/>
        <w:numPr>
          <w:ilvl w:val="0"/>
          <w:numId w:val="36"/>
        </w:numPr>
        <w:rPr>
          <w:rFonts w:eastAsiaTheme="minorHAnsi" w:cs="Arial"/>
          <w:lang w:eastAsia="en-US"/>
        </w:rPr>
      </w:pPr>
      <w:r w:rsidRPr="00DD148E">
        <w:rPr>
          <w:rFonts w:eastAsiaTheme="minorHAnsi" w:cs="Arial"/>
          <w:lang w:eastAsia="en-US"/>
        </w:rPr>
        <w:t>A new approach to social care assessment waiting times work is ongoing with Newton Europe having been developed in East Lancashire. In the East from 775 at the beginning of June 2016 to 336 at the end of July, the number of people waiting for assessment has reduced by 439, at the same time as r</w:t>
      </w:r>
      <w:r w:rsidR="000D6325">
        <w:rPr>
          <w:rFonts w:eastAsiaTheme="minorHAnsi" w:cs="Arial"/>
          <w:lang w:eastAsia="en-US"/>
        </w:rPr>
        <w:t>esponding to incoming new work.</w:t>
      </w:r>
      <w:r w:rsidRPr="00DD148E">
        <w:rPr>
          <w:rFonts w:eastAsiaTheme="minorHAnsi" w:cs="Arial"/>
          <w:lang w:eastAsia="en-US"/>
        </w:rPr>
        <w:t xml:space="preserve"> Longest waits date back to December 2015/January 2016 for a small number of people, with the majority of those waiting dating back to May.</w:t>
      </w:r>
    </w:p>
    <w:p w14:paraId="4457E290" w14:textId="77777777" w:rsidR="003D763F" w:rsidRPr="00F20642" w:rsidRDefault="003D763F" w:rsidP="003D763F">
      <w:pPr>
        <w:contextualSpacing/>
        <w:rPr>
          <w:rFonts w:cs="Arial"/>
          <w:b/>
          <w:szCs w:val="24"/>
        </w:rPr>
      </w:pPr>
    </w:p>
    <w:p w14:paraId="7A9B75CA" w14:textId="77777777" w:rsidR="003D763F" w:rsidRPr="003D763F" w:rsidRDefault="003D763F" w:rsidP="003D763F">
      <w:pPr>
        <w:numPr>
          <w:ilvl w:val="0"/>
          <w:numId w:val="28"/>
        </w:numPr>
        <w:spacing w:after="160" w:line="259" w:lineRule="auto"/>
        <w:contextualSpacing/>
        <w:rPr>
          <w:rFonts w:cs="Arial"/>
          <w:szCs w:val="24"/>
        </w:rPr>
      </w:pPr>
      <w:r w:rsidRPr="003D763F">
        <w:rPr>
          <w:rFonts w:cs="Arial"/>
          <w:szCs w:val="24"/>
        </w:rPr>
        <w:t xml:space="preserve">There were higher numbers of safeguarding referrals received in Q1 than in Q4 and a corresponding increase in numbers for most of the measures recorded. However, there were decreases in the numbers of: </w:t>
      </w:r>
    </w:p>
    <w:p w14:paraId="3902D187" w14:textId="77777777" w:rsidR="003D763F" w:rsidRPr="003D763F" w:rsidRDefault="003D763F" w:rsidP="003D763F">
      <w:pPr>
        <w:numPr>
          <w:ilvl w:val="1"/>
          <w:numId w:val="28"/>
        </w:numPr>
        <w:spacing w:after="160" w:line="259" w:lineRule="auto"/>
        <w:contextualSpacing/>
        <w:rPr>
          <w:rFonts w:cs="Arial"/>
          <w:szCs w:val="24"/>
        </w:rPr>
      </w:pPr>
      <w:r w:rsidRPr="003D763F">
        <w:rPr>
          <w:rFonts w:cs="Arial"/>
          <w:szCs w:val="24"/>
        </w:rPr>
        <w:t>Cases closed where outcome partially substantiated (down by 21.8%)</w:t>
      </w:r>
    </w:p>
    <w:p w14:paraId="3C2CE75C" w14:textId="77777777" w:rsidR="003D763F" w:rsidRPr="003D763F" w:rsidRDefault="003D763F" w:rsidP="003D763F">
      <w:pPr>
        <w:numPr>
          <w:ilvl w:val="1"/>
          <w:numId w:val="28"/>
        </w:numPr>
        <w:spacing w:after="160" w:line="259" w:lineRule="auto"/>
        <w:contextualSpacing/>
        <w:rPr>
          <w:rFonts w:cs="Arial"/>
          <w:szCs w:val="24"/>
        </w:rPr>
      </w:pPr>
      <w:r w:rsidRPr="003D763F">
        <w:rPr>
          <w:rFonts w:cs="Arial"/>
          <w:szCs w:val="24"/>
        </w:rPr>
        <w:t xml:space="preserve">Mental Health Cases 16-65 (down by 16.4%) </w:t>
      </w:r>
    </w:p>
    <w:p w14:paraId="21B47A8F" w14:textId="77777777" w:rsidR="003D763F" w:rsidRDefault="003D763F" w:rsidP="003D763F">
      <w:pPr>
        <w:numPr>
          <w:ilvl w:val="1"/>
          <w:numId w:val="28"/>
        </w:numPr>
        <w:spacing w:after="160" w:line="259" w:lineRule="auto"/>
        <w:contextualSpacing/>
        <w:rPr>
          <w:rFonts w:cs="Arial"/>
          <w:szCs w:val="24"/>
        </w:rPr>
      </w:pPr>
      <w:r w:rsidRPr="003D763F">
        <w:rPr>
          <w:rFonts w:cs="Arial"/>
          <w:szCs w:val="24"/>
        </w:rPr>
        <w:t>Cases received from the police (down by 1.0%).</w:t>
      </w:r>
    </w:p>
    <w:p w14:paraId="23CE7407" w14:textId="77777777" w:rsidR="003D763F" w:rsidRPr="003D763F" w:rsidRDefault="003D763F" w:rsidP="003D763F">
      <w:pPr>
        <w:spacing w:after="160" w:line="259" w:lineRule="auto"/>
        <w:ind w:left="1080"/>
        <w:contextualSpacing/>
        <w:rPr>
          <w:rFonts w:cs="Arial"/>
          <w:szCs w:val="24"/>
        </w:rPr>
      </w:pPr>
    </w:p>
    <w:p w14:paraId="4245ED3C" w14:textId="77777777" w:rsidR="003D763F" w:rsidRPr="00F20642" w:rsidRDefault="003D763F" w:rsidP="003D763F">
      <w:pPr>
        <w:numPr>
          <w:ilvl w:val="0"/>
          <w:numId w:val="28"/>
        </w:numPr>
        <w:spacing w:after="160" w:line="259" w:lineRule="auto"/>
        <w:contextualSpacing/>
        <w:rPr>
          <w:rFonts w:cs="Arial"/>
          <w:szCs w:val="24"/>
        </w:rPr>
      </w:pPr>
      <w:r>
        <w:rPr>
          <w:rFonts w:cs="Arial"/>
          <w:szCs w:val="24"/>
        </w:rPr>
        <w:t>O</w:t>
      </w:r>
      <w:r w:rsidRPr="00F20642">
        <w:rPr>
          <w:rFonts w:cs="Arial"/>
          <w:szCs w:val="24"/>
        </w:rPr>
        <w:t>f the 344 Lancashire Care Homes inspected by C</w:t>
      </w:r>
      <w:r w:rsidR="001E7AA3">
        <w:rPr>
          <w:rFonts w:cs="Arial"/>
          <w:szCs w:val="24"/>
        </w:rPr>
        <w:t xml:space="preserve">are </w:t>
      </w:r>
      <w:r w:rsidRPr="00F20642">
        <w:rPr>
          <w:rFonts w:cs="Arial"/>
          <w:szCs w:val="24"/>
        </w:rPr>
        <w:t>Q</w:t>
      </w:r>
      <w:r w:rsidR="001E7AA3">
        <w:rPr>
          <w:rFonts w:cs="Arial"/>
          <w:szCs w:val="24"/>
        </w:rPr>
        <w:t xml:space="preserve">uality </w:t>
      </w:r>
      <w:r w:rsidRPr="00F20642">
        <w:rPr>
          <w:rFonts w:cs="Arial"/>
          <w:szCs w:val="24"/>
        </w:rPr>
        <w:t>C</w:t>
      </w:r>
      <w:r w:rsidR="001E7AA3">
        <w:rPr>
          <w:rFonts w:cs="Arial"/>
          <w:szCs w:val="24"/>
        </w:rPr>
        <w:t>ommission (CQC)</w:t>
      </w:r>
      <w:r w:rsidRPr="00F20642">
        <w:rPr>
          <w:rFonts w:cs="Arial"/>
          <w:szCs w:val="24"/>
        </w:rPr>
        <w:t>, 226 (65.7%) achieved an overall rating of good or outstanding. Overall 110 (32.0%) were rated as requiring improvement and 8 (2.3%) were rated as inadequate. This compares with a national figure of 62% of care homes rated as good or outstanding.</w:t>
      </w:r>
    </w:p>
    <w:p w14:paraId="0FAAF596" w14:textId="77777777" w:rsidR="00FF72DD" w:rsidRPr="003D763F" w:rsidRDefault="003D763F" w:rsidP="006635CD">
      <w:pPr>
        <w:pStyle w:val="ListParagraph"/>
        <w:numPr>
          <w:ilvl w:val="0"/>
          <w:numId w:val="19"/>
        </w:numPr>
        <w:spacing w:after="120"/>
        <w:ind w:left="360"/>
        <w:contextualSpacing/>
        <w:rPr>
          <w:rFonts w:cs="Arial"/>
          <w:b/>
        </w:rPr>
      </w:pPr>
      <w:r>
        <w:rPr>
          <w:rFonts w:cs="Arial"/>
        </w:rPr>
        <w:t>O</w:t>
      </w:r>
      <w:r w:rsidRPr="00F20642">
        <w:rPr>
          <w:rFonts w:cs="Arial"/>
        </w:rPr>
        <w:t>f the 106 Lancashire Community Care Services inspected by CQC, 80 (75.5%) achieved an overall rating of good or outstanding. Overall 24 (22.6%) were rated as requiring improvement and 2 (1.9%) were rated as inadequate. This compares with a national figure of 72% of community care services rated as good or</w:t>
      </w:r>
      <w:r w:rsidR="00660490" w:rsidRPr="00FF72DD">
        <w:rPr>
          <w:rFonts w:cs="Arial"/>
        </w:rPr>
        <w:t xml:space="preserve"> </w:t>
      </w:r>
    </w:p>
    <w:p w14:paraId="2C9C265A" w14:textId="77777777" w:rsidR="00CF6C60" w:rsidRDefault="00CF6C60" w:rsidP="006635CD">
      <w:pPr>
        <w:spacing w:after="200"/>
        <w:contextualSpacing/>
        <w:rPr>
          <w:rFonts w:cs="Arial"/>
          <w:b/>
        </w:rPr>
      </w:pPr>
    </w:p>
    <w:p w14:paraId="7D7820A2" w14:textId="77777777" w:rsidR="00A82A98" w:rsidRDefault="000C3699" w:rsidP="006635CD">
      <w:pPr>
        <w:spacing w:after="200"/>
        <w:contextualSpacing/>
        <w:rPr>
          <w:rFonts w:cs="Arial"/>
          <w:b/>
        </w:rPr>
      </w:pPr>
      <w:r w:rsidRPr="00CF6C60">
        <w:rPr>
          <w:rFonts w:cs="Arial"/>
          <w:b/>
        </w:rPr>
        <w:t>Highlight Reports</w:t>
      </w:r>
      <w:r w:rsidR="005F44AB">
        <w:rPr>
          <w:rFonts w:cs="Arial"/>
          <w:b/>
        </w:rPr>
        <w:t xml:space="preserve"> – Quarter 1 performance</w:t>
      </w:r>
    </w:p>
    <w:p w14:paraId="0488F42C" w14:textId="77777777" w:rsidR="00A82A98" w:rsidRPr="00A82A98" w:rsidRDefault="00A82A98" w:rsidP="006635CD">
      <w:pPr>
        <w:pStyle w:val="NoSpacing"/>
        <w:numPr>
          <w:ilvl w:val="0"/>
          <w:numId w:val="31"/>
        </w:numPr>
        <w:ind w:left="360"/>
        <w:rPr>
          <w:rFonts w:ascii="Arial" w:hAnsi="Arial" w:cs="Arial"/>
          <w:sz w:val="24"/>
          <w:szCs w:val="24"/>
        </w:rPr>
      </w:pPr>
      <w:r w:rsidRPr="00A82A98">
        <w:rPr>
          <w:rFonts w:ascii="Arial" w:hAnsi="Arial" w:cs="Arial"/>
          <w:sz w:val="24"/>
          <w:szCs w:val="24"/>
        </w:rPr>
        <w:t xml:space="preserve">4 Rosebud loans were invested totalling £560k. </w:t>
      </w:r>
    </w:p>
    <w:p w14:paraId="150BDF47" w14:textId="77777777" w:rsidR="00A82A98" w:rsidRPr="00A82A98" w:rsidRDefault="00A82A98" w:rsidP="006635CD">
      <w:pPr>
        <w:pStyle w:val="NoSpacing"/>
        <w:numPr>
          <w:ilvl w:val="0"/>
          <w:numId w:val="31"/>
        </w:numPr>
        <w:ind w:left="360"/>
        <w:rPr>
          <w:rFonts w:ascii="Arial" w:hAnsi="Arial" w:cs="Arial"/>
          <w:sz w:val="24"/>
          <w:szCs w:val="24"/>
        </w:rPr>
      </w:pPr>
      <w:r w:rsidRPr="00A82A98">
        <w:rPr>
          <w:rFonts w:ascii="Arial" w:hAnsi="Arial" w:cs="Arial"/>
          <w:sz w:val="24"/>
          <w:szCs w:val="24"/>
        </w:rPr>
        <w:t>465 businesses have been supported to date by Boost, the Business Growth Hub.</w:t>
      </w:r>
    </w:p>
    <w:p w14:paraId="03816F7A" w14:textId="77777777" w:rsidR="00A82A98" w:rsidRPr="00A82A98" w:rsidRDefault="00A82A98" w:rsidP="006635CD">
      <w:pPr>
        <w:pStyle w:val="NoSpacing"/>
        <w:numPr>
          <w:ilvl w:val="0"/>
          <w:numId w:val="31"/>
        </w:numPr>
        <w:ind w:left="360"/>
        <w:rPr>
          <w:rFonts w:ascii="Arial" w:hAnsi="Arial" w:cs="Arial"/>
          <w:sz w:val="24"/>
          <w:szCs w:val="24"/>
        </w:rPr>
      </w:pPr>
      <w:r w:rsidRPr="00A82A98">
        <w:rPr>
          <w:rFonts w:ascii="Arial" w:hAnsi="Arial" w:cs="Arial"/>
          <w:sz w:val="24"/>
          <w:szCs w:val="24"/>
        </w:rPr>
        <w:t xml:space="preserve">£1.7m of capital receipts had been achieved and the value of the commercial property portfolio was £0.77m against respective annual targets of £5m and £3.8m. </w:t>
      </w:r>
    </w:p>
    <w:p w14:paraId="179E5624" w14:textId="77777777" w:rsidR="00A82A98" w:rsidRPr="00A82A98" w:rsidRDefault="00A82A98" w:rsidP="006635CD">
      <w:pPr>
        <w:pStyle w:val="NoSpacing"/>
        <w:numPr>
          <w:ilvl w:val="0"/>
          <w:numId w:val="31"/>
        </w:numPr>
        <w:ind w:left="360"/>
        <w:rPr>
          <w:rFonts w:ascii="Arial" w:hAnsi="Arial" w:cs="Arial"/>
          <w:sz w:val="24"/>
          <w:szCs w:val="24"/>
        </w:rPr>
      </w:pPr>
      <w:r w:rsidRPr="00A82A98">
        <w:rPr>
          <w:rFonts w:ascii="Arial" w:hAnsi="Arial" w:cs="Arial"/>
          <w:sz w:val="24"/>
          <w:szCs w:val="24"/>
        </w:rPr>
        <w:t xml:space="preserve">82% of the11 Regulation 3 applications received were determined within 8 weeks. </w:t>
      </w:r>
    </w:p>
    <w:p w14:paraId="305B6D1C" w14:textId="77777777" w:rsidR="00A82A98" w:rsidRPr="00A82A98" w:rsidRDefault="00A82A98" w:rsidP="006635CD">
      <w:pPr>
        <w:pStyle w:val="NoSpacing"/>
        <w:numPr>
          <w:ilvl w:val="0"/>
          <w:numId w:val="31"/>
        </w:numPr>
        <w:ind w:left="360"/>
        <w:rPr>
          <w:rFonts w:ascii="Arial" w:hAnsi="Arial" w:cs="Arial"/>
          <w:sz w:val="24"/>
          <w:szCs w:val="24"/>
        </w:rPr>
      </w:pPr>
      <w:r w:rsidRPr="00A82A98">
        <w:rPr>
          <w:rFonts w:ascii="Arial" w:hAnsi="Arial" w:cs="Arial"/>
          <w:sz w:val="24"/>
          <w:szCs w:val="24"/>
        </w:rPr>
        <w:t xml:space="preserve">117 newly qualified social workers were being supported in their Assessed and Supported Year of Employment within Adult and Children's services, with a further 62 social work students also on placement. </w:t>
      </w:r>
    </w:p>
    <w:p w14:paraId="3E759055" w14:textId="77777777" w:rsidR="00262957" w:rsidRPr="003A5DF2" w:rsidRDefault="00A82A98" w:rsidP="006635CD">
      <w:pPr>
        <w:pStyle w:val="NoSpacing"/>
        <w:numPr>
          <w:ilvl w:val="0"/>
          <w:numId w:val="31"/>
        </w:numPr>
        <w:ind w:left="360"/>
        <w:rPr>
          <w:rFonts w:ascii="Arial" w:hAnsi="Arial" w:cs="Arial"/>
          <w:sz w:val="24"/>
          <w:szCs w:val="24"/>
        </w:rPr>
      </w:pPr>
      <w:r w:rsidRPr="00A82A98">
        <w:rPr>
          <w:rFonts w:ascii="Arial" w:hAnsi="Arial" w:cs="Arial"/>
          <w:sz w:val="24"/>
          <w:szCs w:val="24"/>
        </w:rPr>
        <w:t>The Disability Employment Service supported 25 people with disabilities into paid employment of over 16 hours per week.</w:t>
      </w:r>
    </w:p>
    <w:p w14:paraId="3F2ED975" w14:textId="77777777" w:rsidR="002F0EDF" w:rsidRDefault="00A82A98" w:rsidP="006635CD">
      <w:pPr>
        <w:pStyle w:val="NoSpacing"/>
        <w:numPr>
          <w:ilvl w:val="0"/>
          <w:numId w:val="31"/>
        </w:numPr>
        <w:ind w:left="360"/>
        <w:rPr>
          <w:rFonts w:ascii="Arial" w:hAnsi="Arial" w:cs="Arial"/>
        </w:rPr>
      </w:pPr>
      <w:r w:rsidRPr="00A82A98">
        <w:rPr>
          <w:rFonts w:ascii="Arial" w:hAnsi="Arial" w:cs="Arial"/>
          <w:sz w:val="24"/>
          <w:szCs w:val="24"/>
        </w:rPr>
        <w:lastRenderedPageBreak/>
        <w:t>While continuing to be an area of concern, the levels of outstanding debt owed to the County Council over 6 months old significantly reduced to £14.0m in quarter 1 from the position of £16.9m at the end of 2015/16.  This was largely due to a comprehensive review (by Legal and Finance) of outstanding debts with some debts deemed irrecoverable for legal reasons, or being uneconomical to pursue.  The level of Corporate Debt continues to reduce due to work completed with colleagues at the NHS in relation to income and outstanding debts for joint funded packages.</w:t>
      </w:r>
      <w:r w:rsidRPr="000C0A96">
        <w:rPr>
          <w:rFonts w:ascii="Arial" w:hAnsi="Arial" w:cs="Arial"/>
        </w:rPr>
        <w:t xml:space="preserve">  </w:t>
      </w:r>
    </w:p>
    <w:p w14:paraId="0E9654B3" w14:textId="77777777" w:rsidR="003665B3" w:rsidRDefault="003665B3">
      <w:pPr>
        <w:pStyle w:val="Heading1"/>
      </w:pPr>
    </w:p>
    <w:p w14:paraId="383C094E" w14:textId="77777777" w:rsidR="003E6A45" w:rsidRDefault="003E6A45">
      <w:pPr>
        <w:pStyle w:val="Heading1"/>
      </w:pPr>
      <w:r>
        <w:t>Consultations</w:t>
      </w:r>
    </w:p>
    <w:p w14:paraId="723DCA9A" w14:textId="77777777" w:rsidR="00A90B6F" w:rsidRPr="00A90B6F" w:rsidRDefault="00A90B6F" w:rsidP="00A90B6F"/>
    <w:p w14:paraId="47926AE9" w14:textId="77777777" w:rsidR="003E6A45" w:rsidRDefault="001342BE">
      <w:r>
        <w:t>Members</w:t>
      </w:r>
      <w:r w:rsidR="005D4BD0">
        <w:t xml:space="preserve"> </w:t>
      </w:r>
      <w:r w:rsidR="00BA25DD">
        <w:t>of Management Team</w:t>
      </w:r>
      <w:r w:rsidR="005D4BD0">
        <w:t>(s)</w:t>
      </w:r>
      <w:r w:rsidR="001818BC">
        <w:t xml:space="preserve"> have</w:t>
      </w:r>
      <w:r w:rsidR="008E5C1C">
        <w:t xml:space="preserve"> previously</w:t>
      </w:r>
      <w:r w:rsidR="00A50DE1">
        <w:t xml:space="preserve"> received the information in</w:t>
      </w:r>
      <w:r w:rsidR="001818BC">
        <w:t xml:space="preserve"> </w:t>
      </w:r>
      <w:r w:rsidR="005E0F58">
        <w:t>this report</w:t>
      </w:r>
      <w:r w:rsidR="00E16D84">
        <w:t>.</w:t>
      </w:r>
    </w:p>
    <w:p w14:paraId="571C34F3" w14:textId="77777777" w:rsidR="00F863F2" w:rsidRDefault="00F863F2"/>
    <w:p w14:paraId="702832FA" w14:textId="77777777" w:rsidR="00A90B6F" w:rsidRDefault="003E6A45" w:rsidP="00772BBA">
      <w:r>
        <w:rPr>
          <w:b/>
        </w:rPr>
        <w:t>Implications</w:t>
      </w:r>
      <w:r>
        <w:t>:</w:t>
      </w:r>
    </w:p>
    <w:p w14:paraId="46FC237E" w14:textId="77777777" w:rsidR="006635CD" w:rsidRDefault="006635CD" w:rsidP="00772BBA"/>
    <w:p w14:paraId="5138A5D1" w14:textId="77777777" w:rsidR="00772BBA" w:rsidRDefault="00772BBA" w:rsidP="00772BBA">
      <w:r>
        <w:t>This item has the following implications, as indicated:</w:t>
      </w:r>
    </w:p>
    <w:p w14:paraId="053E2CA7" w14:textId="77777777" w:rsidR="000C3BF8" w:rsidRDefault="000C3BF8" w:rsidP="00772BBA"/>
    <w:p w14:paraId="3D43C175" w14:textId="77777777" w:rsidR="00772BBA" w:rsidRDefault="00772BBA" w:rsidP="00772BBA">
      <w:pPr>
        <w:rPr>
          <w:b/>
        </w:rPr>
      </w:pPr>
      <w:r w:rsidRPr="00092B2F">
        <w:rPr>
          <w:b/>
        </w:rPr>
        <w:t>Risk management</w:t>
      </w:r>
    </w:p>
    <w:p w14:paraId="6B618795" w14:textId="77777777" w:rsidR="005273CA" w:rsidRDefault="005273CA" w:rsidP="00772BBA">
      <w:pPr>
        <w:rPr>
          <w:b/>
        </w:rPr>
      </w:pPr>
    </w:p>
    <w:p w14:paraId="179B566B" w14:textId="77777777" w:rsidR="009A1917" w:rsidRDefault="00F863F2" w:rsidP="00F55192">
      <w:pPr>
        <w:jc w:val="both"/>
      </w:pPr>
      <w:r>
        <w:t>No significant risks have been identified in relation to the proposals contained within this report.</w:t>
      </w:r>
    </w:p>
    <w:p w14:paraId="1AE3EEA0" w14:textId="77777777" w:rsidR="00CF6C60" w:rsidRDefault="00CF6C60" w:rsidP="00F55192">
      <w:pPr>
        <w:jc w:val="both"/>
      </w:pPr>
    </w:p>
    <w:p w14:paraId="35463822" w14:textId="77777777" w:rsidR="009A1917" w:rsidRDefault="009A1917" w:rsidP="009A1917">
      <w:pPr>
        <w:jc w:val="both"/>
        <w:rPr>
          <w:b/>
        </w:rPr>
      </w:pPr>
      <w:r w:rsidRPr="00250B13">
        <w:rPr>
          <w:b/>
        </w:rPr>
        <w:t>Local Government (Access to Information) Act 1985</w:t>
      </w:r>
    </w:p>
    <w:p w14:paraId="2AE845CA" w14:textId="77777777" w:rsidR="002A513B" w:rsidRPr="00CA6CE6" w:rsidRDefault="002A513B" w:rsidP="002A513B">
      <w:pPr>
        <w:pStyle w:val="Heading5"/>
        <w:rPr>
          <w:rFonts w:ascii="Arial" w:hAnsi="Arial" w:cs="Arial"/>
          <w:u w:val="none"/>
        </w:rPr>
      </w:pPr>
      <w:r w:rsidRPr="00CA6CE6">
        <w:rPr>
          <w:rFonts w:ascii="Arial" w:hAnsi="Arial" w:cs="Arial"/>
          <w:u w:val="none"/>
        </w:rPr>
        <w:t>List of Background Papers</w:t>
      </w:r>
    </w:p>
    <w:p w14:paraId="2BCA1E64" w14:textId="77777777" w:rsidR="002A513B" w:rsidRPr="00CA6CE6" w:rsidRDefault="002A513B" w:rsidP="002A513B">
      <w:pPr>
        <w:rPr>
          <w:rFonts w:cs="Arial"/>
        </w:rPr>
      </w:pPr>
    </w:p>
    <w:tbl>
      <w:tblPr>
        <w:tblW w:w="0" w:type="auto"/>
        <w:tblLayout w:type="fixed"/>
        <w:tblLook w:val="0000" w:firstRow="0" w:lastRow="0" w:firstColumn="0" w:lastColumn="0" w:noHBand="0" w:noVBand="0"/>
      </w:tblPr>
      <w:tblGrid>
        <w:gridCol w:w="3510"/>
        <w:gridCol w:w="2492"/>
        <w:gridCol w:w="3178"/>
      </w:tblGrid>
      <w:tr w:rsidR="002A513B" w:rsidRPr="00CA6CE6" w14:paraId="0BE4626A" w14:textId="77777777" w:rsidTr="00E74335">
        <w:tc>
          <w:tcPr>
            <w:tcW w:w="3510" w:type="dxa"/>
          </w:tcPr>
          <w:p w14:paraId="03FCAB2A" w14:textId="77777777" w:rsidR="002A513B" w:rsidRPr="00CA6CE6" w:rsidRDefault="002A513B" w:rsidP="00E74335">
            <w:pPr>
              <w:pStyle w:val="Heading7"/>
              <w:rPr>
                <w:rFonts w:ascii="Arial" w:hAnsi="Arial" w:cs="Arial"/>
                <w:u w:val="none"/>
              </w:rPr>
            </w:pPr>
            <w:r w:rsidRPr="00CA6CE6">
              <w:rPr>
                <w:rFonts w:ascii="Arial" w:hAnsi="Arial" w:cs="Arial"/>
                <w:u w:val="none"/>
              </w:rPr>
              <w:t>Paper</w:t>
            </w:r>
          </w:p>
        </w:tc>
        <w:tc>
          <w:tcPr>
            <w:tcW w:w="2492" w:type="dxa"/>
          </w:tcPr>
          <w:p w14:paraId="0F3F0CA7" w14:textId="77777777" w:rsidR="002A513B" w:rsidRPr="00CA6CE6" w:rsidRDefault="002A513B" w:rsidP="00E74335">
            <w:pPr>
              <w:pStyle w:val="Heading7"/>
              <w:rPr>
                <w:rFonts w:ascii="Arial" w:hAnsi="Arial" w:cs="Arial"/>
                <w:u w:val="none"/>
              </w:rPr>
            </w:pPr>
            <w:r w:rsidRPr="00CA6CE6">
              <w:rPr>
                <w:rFonts w:ascii="Arial" w:hAnsi="Arial" w:cs="Arial"/>
                <w:u w:val="none"/>
              </w:rPr>
              <w:t>Date</w:t>
            </w:r>
          </w:p>
        </w:tc>
        <w:tc>
          <w:tcPr>
            <w:tcW w:w="3178" w:type="dxa"/>
          </w:tcPr>
          <w:p w14:paraId="00D52476" w14:textId="77777777" w:rsidR="002A513B" w:rsidRPr="00CA6CE6" w:rsidRDefault="002A513B" w:rsidP="00E74335">
            <w:pPr>
              <w:pStyle w:val="Heading7"/>
              <w:rPr>
                <w:rFonts w:ascii="Arial" w:hAnsi="Arial" w:cs="Arial"/>
                <w:u w:val="none"/>
              </w:rPr>
            </w:pPr>
            <w:r w:rsidRPr="00CA6CE6">
              <w:rPr>
                <w:rFonts w:ascii="Arial" w:hAnsi="Arial" w:cs="Arial"/>
                <w:u w:val="none"/>
              </w:rPr>
              <w:t>Contact/Directorate/Tel</w:t>
            </w:r>
          </w:p>
        </w:tc>
      </w:tr>
      <w:tr w:rsidR="002A513B" w:rsidRPr="00CA6CE6" w14:paraId="19C904B6" w14:textId="77777777" w:rsidTr="00E74335">
        <w:tc>
          <w:tcPr>
            <w:tcW w:w="3510" w:type="dxa"/>
          </w:tcPr>
          <w:p w14:paraId="53A0420B" w14:textId="77777777" w:rsidR="002A513B" w:rsidRPr="00CA6CE6" w:rsidRDefault="002A513B" w:rsidP="00E74335">
            <w:pPr>
              <w:rPr>
                <w:rFonts w:cs="Arial"/>
              </w:rPr>
            </w:pPr>
          </w:p>
          <w:p w14:paraId="4612748D" w14:textId="77777777" w:rsidR="002A513B" w:rsidRPr="00CA6CE6" w:rsidRDefault="002A513B" w:rsidP="00E74335">
            <w:pPr>
              <w:rPr>
                <w:rFonts w:cs="Arial"/>
              </w:rPr>
            </w:pPr>
            <w:r>
              <w:rPr>
                <w:rFonts w:cs="Arial"/>
              </w:rPr>
              <w:t>N/A</w:t>
            </w:r>
          </w:p>
        </w:tc>
        <w:tc>
          <w:tcPr>
            <w:tcW w:w="2492" w:type="dxa"/>
          </w:tcPr>
          <w:p w14:paraId="4D0E3192" w14:textId="77777777" w:rsidR="002A513B" w:rsidRPr="00CA6CE6" w:rsidRDefault="002A513B" w:rsidP="00E74335">
            <w:pPr>
              <w:pStyle w:val="Heading7"/>
              <w:rPr>
                <w:rFonts w:ascii="Arial" w:hAnsi="Arial" w:cs="Arial"/>
                <w:u w:val="none"/>
              </w:rPr>
            </w:pPr>
          </w:p>
          <w:p w14:paraId="34907A8B" w14:textId="77777777" w:rsidR="002A513B" w:rsidRPr="00CA6CE6" w:rsidRDefault="002A513B" w:rsidP="00E74335">
            <w:pPr>
              <w:rPr>
                <w:rFonts w:cs="Arial"/>
              </w:rPr>
            </w:pPr>
          </w:p>
        </w:tc>
        <w:tc>
          <w:tcPr>
            <w:tcW w:w="3178" w:type="dxa"/>
          </w:tcPr>
          <w:p w14:paraId="25B9EB6F" w14:textId="77777777" w:rsidR="002A513B" w:rsidRPr="00CA6CE6" w:rsidRDefault="002A513B" w:rsidP="00E74335">
            <w:pPr>
              <w:rPr>
                <w:rFonts w:cs="Arial"/>
              </w:rPr>
            </w:pPr>
          </w:p>
          <w:p w14:paraId="6889B8FE" w14:textId="77777777" w:rsidR="002A513B" w:rsidRPr="00CA6CE6" w:rsidRDefault="002A513B" w:rsidP="00E74335">
            <w:pPr>
              <w:rPr>
                <w:rFonts w:cs="Arial"/>
              </w:rPr>
            </w:pPr>
          </w:p>
          <w:p w14:paraId="068AE6E8" w14:textId="77777777" w:rsidR="002A513B" w:rsidRPr="00CA6CE6" w:rsidRDefault="002A513B" w:rsidP="00E74335">
            <w:pPr>
              <w:rPr>
                <w:rFonts w:cs="Arial"/>
              </w:rPr>
            </w:pPr>
          </w:p>
        </w:tc>
      </w:tr>
    </w:tbl>
    <w:p w14:paraId="702ECED8" w14:textId="77777777" w:rsidR="002A513B" w:rsidRDefault="002A513B" w:rsidP="009A1917">
      <w:pPr>
        <w:jc w:val="both"/>
        <w:rPr>
          <w:b/>
        </w:rPr>
      </w:pPr>
      <w:bookmarkStart w:id="0" w:name="_GoBack"/>
      <w:bookmarkEnd w:id="0"/>
    </w:p>
    <w:sectPr w:rsidR="002A513B" w:rsidSect="00043385">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77D90" w14:textId="77777777" w:rsidR="007C35F8" w:rsidRDefault="007C35F8">
      <w:r>
        <w:separator/>
      </w:r>
    </w:p>
  </w:endnote>
  <w:endnote w:type="continuationSeparator" w:id="0">
    <w:p w14:paraId="0A30EE49" w14:textId="77777777" w:rsidR="007C35F8" w:rsidRDefault="007C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14:paraId="0A67EFC9" w14:textId="77777777">
      <w:tc>
        <w:tcPr>
          <w:tcW w:w="9243" w:type="dxa"/>
          <w:tcBorders>
            <w:top w:val="nil"/>
            <w:left w:val="nil"/>
            <w:bottom w:val="nil"/>
            <w:right w:val="nil"/>
          </w:tcBorders>
        </w:tcPr>
        <w:p w14:paraId="17B4B3F1" w14:textId="77777777" w:rsidR="00211D9F" w:rsidRDefault="00211D9F">
          <w:pPr>
            <w:pStyle w:val="Footer"/>
            <w:tabs>
              <w:tab w:val="clear" w:pos="4153"/>
            </w:tabs>
            <w:ind w:right="-45"/>
            <w:jc w:val="right"/>
          </w:pPr>
        </w:p>
      </w:tc>
    </w:tr>
  </w:tbl>
  <w:p w14:paraId="5066A439" w14:textId="77777777" w:rsidR="00211D9F" w:rsidRDefault="00211D9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14:paraId="3D155BA2" w14:textId="77777777">
      <w:tc>
        <w:tcPr>
          <w:tcW w:w="9243" w:type="dxa"/>
          <w:tcBorders>
            <w:top w:val="nil"/>
            <w:left w:val="nil"/>
            <w:bottom w:val="nil"/>
            <w:right w:val="nil"/>
          </w:tcBorders>
        </w:tcPr>
        <w:p w14:paraId="60AF3872" w14:textId="77777777" w:rsidR="00211D9F" w:rsidRDefault="002E0332">
          <w:pPr>
            <w:pStyle w:val="Footer"/>
            <w:tabs>
              <w:tab w:val="clear" w:pos="4153"/>
            </w:tabs>
            <w:ind w:right="-45"/>
            <w:jc w:val="right"/>
          </w:pPr>
          <w:r w:rsidRPr="00AD2F25">
            <w:rPr>
              <w:noProof/>
            </w:rPr>
            <w:drawing>
              <wp:inline distT="0" distB="0" distL="0" distR="0" wp14:anchorId="39E65601" wp14:editId="547E289F">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14:paraId="7769371B" w14:textId="77777777" w:rsidR="00211D9F" w:rsidRDefault="00211D9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F9F10" w14:textId="77777777" w:rsidR="007C35F8" w:rsidRDefault="007C35F8">
      <w:r>
        <w:separator/>
      </w:r>
    </w:p>
  </w:footnote>
  <w:footnote w:type="continuationSeparator" w:id="0">
    <w:p w14:paraId="0EA95310" w14:textId="77777777" w:rsidR="007C35F8" w:rsidRDefault="007C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0890" w14:textId="55651EC9" w:rsidR="00211D9F" w:rsidRDefault="00211D9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2FB"/>
    <w:multiLevelType w:val="hybridMultilevel"/>
    <w:tmpl w:val="B232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B6AA4"/>
    <w:multiLevelType w:val="hybridMultilevel"/>
    <w:tmpl w:val="EC14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6413"/>
    <w:multiLevelType w:val="hybridMultilevel"/>
    <w:tmpl w:val="EF7C2660"/>
    <w:lvl w:ilvl="0" w:tplc="9542A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F26A5"/>
    <w:multiLevelType w:val="hybridMultilevel"/>
    <w:tmpl w:val="EAC64DB4"/>
    <w:lvl w:ilvl="0" w:tplc="673C09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7344"/>
    <w:multiLevelType w:val="hybridMultilevel"/>
    <w:tmpl w:val="965CCB9E"/>
    <w:lvl w:ilvl="0" w:tplc="A5AE7E50">
      <w:start w:val="1"/>
      <w:numFmt w:val="bullet"/>
      <w:lvlText w:val=""/>
      <w:lvlJc w:val="left"/>
      <w:pPr>
        <w:ind w:left="785" w:hanging="360"/>
      </w:pPr>
      <w:rPr>
        <w:rFonts w:ascii="Symbol" w:hAnsi="Symbol" w:hint="default"/>
        <w:color w:val="auto"/>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AEE4AF2"/>
    <w:multiLevelType w:val="hybridMultilevel"/>
    <w:tmpl w:val="B96E3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9B4FE4"/>
    <w:multiLevelType w:val="hybridMultilevel"/>
    <w:tmpl w:val="518E40B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 w15:restartNumberingAfterBreak="0">
    <w:nsid w:val="25AB4F81"/>
    <w:multiLevelType w:val="hybridMultilevel"/>
    <w:tmpl w:val="90745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2336D"/>
    <w:multiLevelType w:val="hybridMultilevel"/>
    <w:tmpl w:val="1524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659E5"/>
    <w:multiLevelType w:val="hybridMultilevel"/>
    <w:tmpl w:val="ED78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44BC2"/>
    <w:multiLevelType w:val="hybridMultilevel"/>
    <w:tmpl w:val="42448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71484"/>
    <w:multiLevelType w:val="hybridMultilevel"/>
    <w:tmpl w:val="5630ED22"/>
    <w:lvl w:ilvl="0" w:tplc="A5AE7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2" w15:restartNumberingAfterBreak="0">
    <w:nsid w:val="2CAD213E"/>
    <w:multiLevelType w:val="hybridMultilevel"/>
    <w:tmpl w:val="D56C40EA"/>
    <w:lvl w:ilvl="0" w:tplc="BBB826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94232E"/>
    <w:multiLevelType w:val="hybridMultilevel"/>
    <w:tmpl w:val="E450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66CC9"/>
    <w:multiLevelType w:val="hybridMultilevel"/>
    <w:tmpl w:val="301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43B0A"/>
    <w:multiLevelType w:val="hybridMultilevel"/>
    <w:tmpl w:val="4C5E4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C11798"/>
    <w:multiLevelType w:val="hybridMultilevel"/>
    <w:tmpl w:val="B02A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93E19"/>
    <w:multiLevelType w:val="hybridMultilevel"/>
    <w:tmpl w:val="85BADB00"/>
    <w:lvl w:ilvl="0" w:tplc="350ECB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A455B"/>
    <w:multiLevelType w:val="hybridMultilevel"/>
    <w:tmpl w:val="B0B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8457D"/>
    <w:multiLevelType w:val="hybridMultilevel"/>
    <w:tmpl w:val="235E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2842DD"/>
    <w:multiLevelType w:val="hybridMultilevel"/>
    <w:tmpl w:val="0868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45F9E"/>
    <w:multiLevelType w:val="hybridMultilevel"/>
    <w:tmpl w:val="E76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5446D"/>
    <w:multiLevelType w:val="hybridMultilevel"/>
    <w:tmpl w:val="CA5A7808"/>
    <w:lvl w:ilvl="0" w:tplc="16284C2C">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7564D"/>
    <w:multiLevelType w:val="hybridMultilevel"/>
    <w:tmpl w:val="D9BA3836"/>
    <w:lvl w:ilvl="0" w:tplc="0FB8890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856F87"/>
    <w:multiLevelType w:val="hybridMultilevel"/>
    <w:tmpl w:val="C1764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465298"/>
    <w:multiLevelType w:val="hybridMultilevel"/>
    <w:tmpl w:val="36D4D66C"/>
    <w:lvl w:ilvl="0" w:tplc="481A74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F74DB"/>
    <w:multiLevelType w:val="hybridMultilevel"/>
    <w:tmpl w:val="BE8A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21C67"/>
    <w:multiLevelType w:val="hybridMultilevel"/>
    <w:tmpl w:val="A86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85A7A"/>
    <w:multiLevelType w:val="hybridMultilevel"/>
    <w:tmpl w:val="942AAB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A8A6DFE"/>
    <w:multiLevelType w:val="hybridMultilevel"/>
    <w:tmpl w:val="02002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FA20A0"/>
    <w:multiLevelType w:val="hybridMultilevel"/>
    <w:tmpl w:val="8DD0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C217B"/>
    <w:multiLevelType w:val="hybridMultilevel"/>
    <w:tmpl w:val="2690D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D226FF"/>
    <w:multiLevelType w:val="hybridMultilevel"/>
    <w:tmpl w:val="CBE6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9229D"/>
    <w:multiLevelType w:val="hybridMultilevel"/>
    <w:tmpl w:val="2DF2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61B7F"/>
    <w:multiLevelType w:val="hybridMultilevel"/>
    <w:tmpl w:val="E07EE0A2"/>
    <w:lvl w:ilvl="0" w:tplc="37BC7F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D1885"/>
    <w:multiLevelType w:val="hybridMultilevel"/>
    <w:tmpl w:val="DD58264E"/>
    <w:lvl w:ilvl="0" w:tplc="A5AE7E50">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4"/>
  </w:num>
  <w:num w:numId="4">
    <w:abstractNumId w:val="26"/>
  </w:num>
  <w:num w:numId="5">
    <w:abstractNumId w:val="17"/>
  </w:num>
  <w:num w:numId="6">
    <w:abstractNumId w:val="32"/>
  </w:num>
  <w:num w:numId="7">
    <w:abstractNumId w:val="16"/>
  </w:num>
  <w:num w:numId="8">
    <w:abstractNumId w:val="14"/>
  </w:num>
  <w:num w:numId="9">
    <w:abstractNumId w:val="34"/>
  </w:num>
  <w:num w:numId="10">
    <w:abstractNumId w:val="21"/>
  </w:num>
  <w:num w:numId="11">
    <w:abstractNumId w:val="30"/>
  </w:num>
  <w:num w:numId="12">
    <w:abstractNumId w:val="1"/>
  </w:num>
  <w:num w:numId="13">
    <w:abstractNumId w:val="8"/>
  </w:num>
  <w:num w:numId="14">
    <w:abstractNumId w:val="3"/>
  </w:num>
  <w:num w:numId="15">
    <w:abstractNumId w:val="0"/>
  </w:num>
  <w:num w:numId="16">
    <w:abstractNumId w:val="4"/>
  </w:num>
  <w:num w:numId="17">
    <w:abstractNumId w:val="20"/>
  </w:num>
  <w:num w:numId="18">
    <w:abstractNumId w:val="18"/>
  </w:num>
  <w:num w:numId="19">
    <w:abstractNumId w:val="25"/>
  </w:num>
  <w:num w:numId="20">
    <w:abstractNumId w:val="29"/>
  </w:num>
  <w:num w:numId="21">
    <w:abstractNumId w:val="13"/>
  </w:num>
  <w:num w:numId="22">
    <w:abstractNumId w:val="19"/>
  </w:num>
  <w:num w:numId="23">
    <w:abstractNumId w:val="12"/>
  </w:num>
  <w:num w:numId="24">
    <w:abstractNumId w:val="27"/>
  </w:num>
  <w:num w:numId="25">
    <w:abstractNumId w:val="5"/>
  </w:num>
  <w:num w:numId="26">
    <w:abstractNumId w:val="31"/>
  </w:num>
  <w:num w:numId="27">
    <w:abstractNumId w:val="33"/>
  </w:num>
  <w:num w:numId="28">
    <w:abstractNumId w:val="23"/>
  </w:num>
  <w:num w:numId="29">
    <w:abstractNumId w:val="15"/>
  </w:num>
  <w:num w:numId="30">
    <w:abstractNumId w:val="7"/>
  </w:num>
  <w:num w:numId="31">
    <w:abstractNumId w:val="9"/>
  </w:num>
  <w:num w:numId="32">
    <w:abstractNumId w:val="2"/>
  </w:num>
  <w:num w:numId="33">
    <w:abstractNumId w:val="10"/>
  </w:num>
  <w:num w:numId="34">
    <w:abstractNumId w:val="35"/>
  </w:num>
  <w:num w:numId="35">
    <w:abstractNumId w:val="28"/>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62CC"/>
    <w:rsid w:val="00015E12"/>
    <w:rsid w:val="000161B1"/>
    <w:rsid w:val="00024391"/>
    <w:rsid w:val="000257A1"/>
    <w:rsid w:val="0003181C"/>
    <w:rsid w:val="00031D63"/>
    <w:rsid w:val="00043385"/>
    <w:rsid w:val="00051CB8"/>
    <w:rsid w:val="00057244"/>
    <w:rsid w:val="000615A2"/>
    <w:rsid w:val="00061DF2"/>
    <w:rsid w:val="00070646"/>
    <w:rsid w:val="000708AF"/>
    <w:rsid w:val="00074E6C"/>
    <w:rsid w:val="000752E2"/>
    <w:rsid w:val="00085EB3"/>
    <w:rsid w:val="00093B39"/>
    <w:rsid w:val="000957D1"/>
    <w:rsid w:val="00096496"/>
    <w:rsid w:val="000A5C52"/>
    <w:rsid w:val="000C3699"/>
    <w:rsid w:val="000C3BF8"/>
    <w:rsid w:val="000D0D79"/>
    <w:rsid w:val="000D3D67"/>
    <w:rsid w:val="000D6325"/>
    <w:rsid w:val="000D7301"/>
    <w:rsid w:val="000E733F"/>
    <w:rsid w:val="000F2A26"/>
    <w:rsid w:val="000F59ED"/>
    <w:rsid w:val="00104F03"/>
    <w:rsid w:val="001143D2"/>
    <w:rsid w:val="001154EC"/>
    <w:rsid w:val="0011638A"/>
    <w:rsid w:val="001172CF"/>
    <w:rsid w:val="001254EB"/>
    <w:rsid w:val="00125661"/>
    <w:rsid w:val="001342BE"/>
    <w:rsid w:val="00137BD5"/>
    <w:rsid w:val="00140E41"/>
    <w:rsid w:val="001433C0"/>
    <w:rsid w:val="00153088"/>
    <w:rsid w:val="00170FD5"/>
    <w:rsid w:val="00173388"/>
    <w:rsid w:val="00180D70"/>
    <w:rsid w:val="001814D4"/>
    <w:rsid w:val="001818BC"/>
    <w:rsid w:val="00183EEF"/>
    <w:rsid w:val="001859C6"/>
    <w:rsid w:val="001952A7"/>
    <w:rsid w:val="001956B4"/>
    <w:rsid w:val="001A1CEF"/>
    <w:rsid w:val="001A6DEC"/>
    <w:rsid w:val="001B26F6"/>
    <w:rsid w:val="001C0824"/>
    <w:rsid w:val="001C2A9F"/>
    <w:rsid w:val="001C2BF4"/>
    <w:rsid w:val="001C5424"/>
    <w:rsid w:val="001D2394"/>
    <w:rsid w:val="001D3089"/>
    <w:rsid w:val="001D59A7"/>
    <w:rsid w:val="001D6C9A"/>
    <w:rsid w:val="001E7AA3"/>
    <w:rsid w:val="001F2402"/>
    <w:rsid w:val="001F3962"/>
    <w:rsid w:val="001F49DB"/>
    <w:rsid w:val="00211D9F"/>
    <w:rsid w:val="00216625"/>
    <w:rsid w:val="00224214"/>
    <w:rsid w:val="00231DC7"/>
    <w:rsid w:val="002340F4"/>
    <w:rsid w:val="00240A4D"/>
    <w:rsid w:val="00241DD7"/>
    <w:rsid w:val="0024328C"/>
    <w:rsid w:val="00244DF3"/>
    <w:rsid w:val="00244F35"/>
    <w:rsid w:val="00250B13"/>
    <w:rsid w:val="00250D63"/>
    <w:rsid w:val="00261838"/>
    <w:rsid w:val="00262957"/>
    <w:rsid w:val="00263341"/>
    <w:rsid w:val="002664EC"/>
    <w:rsid w:val="00271171"/>
    <w:rsid w:val="002719DC"/>
    <w:rsid w:val="0028461B"/>
    <w:rsid w:val="002929ED"/>
    <w:rsid w:val="002A513B"/>
    <w:rsid w:val="002B11AF"/>
    <w:rsid w:val="002B2ABB"/>
    <w:rsid w:val="002C0BFB"/>
    <w:rsid w:val="002C7E3B"/>
    <w:rsid w:val="002D2A77"/>
    <w:rsid w:val="002E0332"/>
    <w:rsid w:val="002E1B7B"/>
    <w:rsid w:val="002E4973"/>
    <w:rsid w:val="002E4A4C"/>
    <w:rsid w:val="002F0EDF"/>
    <w:rsid w:val="002F1858"/>
    <w:rsid w:val="003117FE"/>
    <w:rsid w:val="00314477"/>
    <w:rsid w:val="00317750"/>
    <w:rsid w:val="0032193E"/>
    <w:rsid w:val="00323CFE"/>
    <w:rsid w:val="003254A0"/>
    <w:rsid w:val="00325E44"/>
    <w:rsid w:val="003313BB"/>
    <w:rsid w:val="0033402E"/>
    <w:rsid w:val="00337648"/>
    <w:rsid w:val="003425C2"/>
    <w:rsid w:val="003452AF"/>
    <w:rsid w:val="00346E87"/>
    <w:rsid w:val="00347754"/>
    <w:rsid w:val="00350AEB"/>
    <w:rsid w:val="0035203C"/>
    <w:rsid w:val="00354CAC"/>
    <w:rsid w:val="00356E3A"/>
    <w:rsid w:val="00357954"/>
    <w:rsid w:val="00360625"/>
    <w:rsid w:val="003665B3"/>
    <w:rsid w:val="0036700C"/>
    <w:rsid w:val="00371ACC"/>
    <w:rsid w:val="00385A08"/>
    <w:rsid w:val="00392EF9"/>
    <w:rsid w:val="003972FA"/>
    <w:rsid w:val="003A01D6"/>
    <w:rsid w:val="003A5DF2"/>
    <w:rsid w:val="003A606D"/>
    <w:rsid w:val="003C73D0"/>
    <w:rsid w:val="003C7ABE"/>
    <w:rsid w:val="003D2A55"/>
    <w:rsid w:val="003D381E"/>
    <w:rsid w:val="003D7574"/>
    <w:rsid w:val="003D763F"/>
    <w:rsid w:val="003D7AD4"/>
    <w:rsid w:val="003E1C87"/>
    <w:rsid w:val="003E4940"/>
    <w:rsid w:val="003E6A45"/>
    <w:rsid w:val="003E6BC4"/>
    <w:rsid w:val="003E79F4"/>
    <w:rsid w:val="003F4E8F"/>
    <w:rsid w:val="003F60D7"/>
    <w:rsid w:val="003F729B"/>
    <w:rsid w:val="00410E9A"/>
    <w:rsid w:val="004149CE"/>
    <w:rsid w:val="00420A4F"/>
    <w:rsid w:val="004254B3"/>
    <w:rsid w:val="00442F09"/>
    <w:rsid w:val="0044391A"/>
    <w:rsid w:val="0044710C"/>
    <w:rsid w:val="00450705"/>
    <w:rsid w:val="0047560F"/>
    <w:rsid w:val="004756C0"/>
    <w:rsid w:val="004772A2"/>
    <w:rsid w:val="004813E1"/>
    <w:rsid w:val="0048303B"/>
    <w:rsid w:val="0048411F"/>
    <w:rsid w:val="0048673A"/>
    <w:rsid w:val="00487AD6"/>
    <w:rsid w:val="004918F3"/>
    <w:rsid w:val="00494670"/>
    <w:rsid w:val="004A39AB"/>
    <w:rsid w:val="004B58BA"/>
    <w:rsid w:val="004B7F40"/>
    <w:rsid w:val="004D3346"/>
    <w:rsid w:val="004D65D7"/>
    <w:rsid w:val="004D7D68"/>
    <w:rsid w:val="004E176E"/>
    <w:rsid w:val="004E41EB"/>
    <w:rsid w:val="004E79E6"/>
    <w:rsid w:val="005072D5"/>
    <w:rsid w:val="0050799C"/>
    <w:rsid w:val="005100FD"/>
    <w:rsid w:val="005102E6"/>
    <w:rsid w:val="00511993"/>
    <w:rsid w:val="00514B5C"/>
    <w:rsid w:val="0051663C"/>
    <w:rsid w:val="005171AA"/>
    <w:rsid w:val="00524AF6"/>
    <w:rsid w:val="00526AD4"/>
    <w:rsid w:val="005273CA"/>
    <w:rsid w:val="0053214F"/>
    <w:rsid w:val="005357DF"/>
    <w:rsid w:val="00535E79"/>
    <w:rsid w:val="00536746"/>
    <w:rsid w:val="005442B9"/>
    <w:rsid w:val="00546428"/>
    <w:rsid w:val="00555526"/>
    <w:rsid w:val="00557FB3"/>
    <w:rsid w:val="00560DCA"/>
    <w:rsid w:val="00560ED9"/>
    <w:rsid w:val="005754F4"/>
    <w:rsid w:val="0057650D"/>
    <w:rsid w:val="00580F95"/>
    <w:rsid w:val="005819C8"/>
    <w:rsid w:val="00582A42"/>
    <w:rsid w:val="005922AE"/>
    <w:rsid w:val="0059257A"/>
    <w:rsid w:val="005A2424"/>
    <w:rsid w:val="005A4E74"/>
    <w:rsid w:val="005D0DB0"/>
    <w:rsid w:val="005D1D16"/>
    <w:rsid w:val="005D1E7E"/>
    <w:rsid w:val="005D4BD0"/>
    <w:rsid w:val="005D765A"/>
    <w:rsid w:val="005E0F58"/>
    <w:rsid w:val="005E42FE"/>
    <w:rsid w:val="005F1808"/>
    <w:rsid w:val="005F23C7"/>
    <w:rsid w:val="005F44AB"/>
    <w:rsid w:val="005F7D10"/>
    <w:rsid w:val="00601087"/>
    <w:rsid w:val="00605708"/>
    <w:rsid w:val="006108B7"/>
    <w:rsid w:val="0061339A"/>
    <w:rsid w:val="00615CEB"/>
    <w:rsid w:val="0062383A"/>
    <w:rsid w:val="006247C6"/>
    <w:rsid w:val="00634B2E"/>
    <w:rsid w:val="00634D87"/>
    <w:rsid w:val="006361B9"/>
    <w:rsid w:val="00642823"/>
    <w:rsid w:val="006435AC"/>
    <w:rsid w:val="006467F0"/>
    <w:rsid w:val="00650F0A"/>
    <w:rsid w:val="00652BE4"/>
    <w:rsid w:val="00660490"/>
    <w:rsid w:val="00661817"/>
    <w:rsid w:val="00662B3E"/>
    <w:rsid w:val="006635CD"/>
    <w:rsid w:val="00663E4E"/>
    <w:rsid w:val="00691C06"/>
    <w:rsid w:val="00696604"/>
    <w:rsid w:val="006A781F"/>
    <w:rsid w:val="006A7EEF"/>
    <w:rsid w:val="006B1820"/>
    <w:rsid w:val="006C671E"/>
    <w:rsid w:val="006D5490"/>
    <w:rsid w:val="006E2C41"/>
    <w:rsid w:val="006F53B5"/>
    <w:rsid w:val="00711051"/>
    <w:rsid w:val="00711809"/>
    <w:rsid w:val="0071339A"/>
    <w:rsid w:val="00713FF8"/>
    <w:rsid w:val="00716CBF"/>
    <w:rsid w:val="00724190"/>
    <w:rsid w:val="00742D15"/>
    <w:rsid w:val="00745BBB"/>
    <w:rsid w:val="007478B3"/>
    <w:rsid w:val="00756F1E"/>
    <w:rsid w:val="00761CE2"/>
    <w:rsid w:val="00762010"/>
    <w:rsid w:val="007652D3"/>
    <w:rsid w:val="00767822"/>
    <w:rsid w:val="00772BBA"/>
    <w:rsid w:val="0077791E"/>
    <w:rsid w:val="00791837"/>
    <w:rsid w:val="00792333"/>
    <w:rsid w:val="00795705"/>
    <w:rsid w:val="007A0E4D"/>
    <w:rsid w:val="007A4131"/>
    <w:rsid w:val="007B277F"/>
    <w:rsid w:val="007B58DE"/>
    <w:rsid w:val="007C35F8"/>
    <w:rsid w:val="007C37BB"/>
    <w:rsid w:val="007C3EDB"/>
    <w:rsid w:val="007D2C90"/>
    <w:rsid w:val="007D4CAA"/>
    <w:rsid w:val="007D51AE"/>
    <w:rsid w:val="007D5C1A"/>
    <w:rsid w:val="007D6B3E"/>
    <w:rsid w:val="007E5A0C"/>
    <w:rsid w:val="007E7A9F"/>
    <w:rsid w:val="007E7C46"/>
    <w:rsid w:val="007F70B3"/>
    <w:rsid w:val="007F7A73"/>
    <w:rsid w:val="0080029A"/>
    <w:rsid w:val="00805628"/>
    <w:rsid w:val="00805A20"/>
    <w:rsid w:val="00820DF4"/>
    <w:rsid w:val="0082527C"/>
    <w:rsid w:val="00826154"/>
    <w:rsid w:val="008376C0"/>
    <w:rsid w:val="008508B8"/>
    <w:rsid w:val="0085163F"/>
    <w:rsid w:val="008517F2"/>
    <w:rsid w:val="008560B4"/>
    <w:rsid w:val="00856A54"/>
    <w:rsid w:val="00856EB8"/>
    <w:rsid w:val="0085778C"/>
    <w:rsid w:val="00857C40"/>
    <w:rsid w:val="00857E45"/>
    <w:rsid w:val="0086334E"/>
    <w:rsid w:val="00865711"/>
    <w:rsid w:val="0086579D"/>
    <w:rsid w:val="00870097"/>
    <w:rsid w:val="00882418"/>
    <w:rsid w:val="008908DF"/>
    <w:rsid w:val="008A5E88"/>
    <w:rsid w:val="008A7BC3"/>
    <w:rsid w:val="008B569B"/>
    <w:rsid w:val="008B58C6"/>
    <w:rsid w:val="008C4C31"/>
    <w:rsid w:val="008C4D33"/>
    <w:rsid w:val="008D2556"/>
    <w:rsid w:val="008D3C5C"/>
    <w:rsid w:val="008D3EE2"/>
    <w:rsid w:val="008D3F02"/>
    <w:rsid w:val="008D4C6E"/>
    <w:rsid w:val="008D7632"/>
    <w:rsid w:val="008E28DF"/>
    <w:rsid w:val="008E4458"/>
    <w:rsid w:val="008E5C1C"/>
    <w:rsid w:val="008F0987"/>
    <w:rsid w:val="008F0BCC"/>
    <w:rsid w:val="008F0E00"/>
    <w:rsid w:val="008F442D"/>
    <w:rsid w:val="008F544B"/>
    <w:rsid w:val="008F6FEE"/>
    <w:rsid w:val="009226E8"/>
    <w:rsid w:val="00923971"/>
    <w:rsid w:val="0092462D"/>
    <w:rsid w:val="0093392D"/>
    <w:rsid w:val="00942447"/>
    <w:rsid w:val="00943516"/>
    <w:rsid w:val="0096160B"/>
    <w:rsid w:val="00961658"/>
    <w:rsid w:val="009802BA"/>
    <w:rsid w:val="00986AE3"/>
    <w:rsid w:val="0099020C"/>
    <w:rsid w:val="00991E39"/>
    <w:rsid w:val="009922B2"/>
    <w:rsid w:val="0099514C"/>
    <w:rsid w:val="009A1917"/>
    <w:rsid w:val="009A7D57"/>
    <w:rsid w:val="009B5EA3"/>
    <w:rsid w:val="009E1972"/>
    <w:rsid w:val="009E3AE9"/>
    <w:rsid w:val="009E4631"/>
    <w:rsid w:val="009F4514"/>
    <w:rsid w:val="009F5A37"/>
    <w:rsid w:val="009F68BB"/>
    <w:rsid w:val="009F6FF7"/>
    <w:rsid w:val="00A0225E"/>
    <w:rsid w:val="00A02BF9"/>
    <w:rsid w:val="00A05FEF"/>
    <w:rsid w:val="00A10B44"/>
    <w:rsid w:val="00A25E38"/>
    <w:rsid w:val="00A27074"/>
    <w:rsid w:val="00A328A6"/>
    <w:rsid w:val="00A3343D"/>
    <w:rsid w:val="00A35A19"/>
    <w:rsid w:val="00A404E2"/>
    <w:rsid w:val="00A40A27"/>
    <w:rsid w:val="00A412CF"/>
    <w:rsid w:val="00A43705"/>
    <w:rsid w:val="00A50DE1"/>
    <w:rsid w:val="00A552B4"/>
    <w:rsid w:val="00A60EDB"/>
    <w:rsid w:val="00A61A19"/>
    <w:rsid w:val="00A71382"/>
    <w:rsid w:val="00A800AC"/>
    <w:rsid w:val="00A8172B"/>
    <w:rsid w:val="00A82A98"/>
    <w:rsid w:val="00A83684"/>
    <w:rsid w:val="00A86D93"/>
    <w:rsid w:val="00A90B6F"/>
    <w:rsid w:val="00A91E3C"/>
    <w:rsid w:val="00A9322C"/>
    <w:rsid w:val="00A93653"/>
    <w:rsid w:val="00A96549"/>
    <w:rsid w:val="00AA7963"/>
    <w:rsid w:val="00AB3574"/>
    <w:rsid w:val="00AB58F0"/>
    <w:rsid w:val="00AC60FC"/>
    <w:rsid w:val="00AD1E79"/>
    <w:rsid w:val="00AD74A4"/>
    <w:rsid w:val="00AD7BC1"/>
    <w:rsid w:val="00AE1106"/>
    <w:rsid w:val="00AE2259"/>
    <w:rsid w:val="00AF08F7"/>
    <w:rsid w:val="00AF2BFC"/>
    <w:rsid w:val="00B006C1"/>
    <w:rsid w:val="00B05891"/>
    <w:rsid w:val="00B138CB"/>
    <w:rsid w:val="00B15838"/>
    <w:rsid w:val="00B233DA"/>
    <w:rsid w:val="00B24366"/>
    <w:rsid w:val="00B32938"/>
    <w:rsid w:val="00B361AF"/>
    <w:rsid w:val="00B37910"/>
    <w:rsid w:val="00B37998"/>
    <w:rsid w:val="00B42562"/>
    <w:rsid w:val="00B459AD"/>
    <w:rsid w:val="00B559AB"/>
    <w:rsid w:val="00B6254E"/>
    <w:rsid w:val="00B8099C"/>
    <w:rsid w:val="00B830E3"/>
    <w:rsid w:val="00B83FA9"/>
    <w:rsid w:val="00B9392C"/>
    <w:rsid w:val="00B951A1"/>
    <w:rsid w:val="00BA12C7"/>
    <w:rsid w:val="00BA25DD"/>
    <w:rsid w:val="00BA3B71"/>
    <w:rsid w:val="00BA67B0"/>
    <w:rsid w:val="00BB08CC"/>
    <w:rsid w:val="00BB0D71"/>
    <w:rsid w:val="00BB6FFC"/>
    <w:rsid w:val="00BC04E0"/>
    <w:rsid w:val="00BC5532"/>
    <w:rsid w:val="00BD1183"/>
    <w:rsid w:val="00C04E9F"/>
    <w:rsid w:val="00C07FB1"/>
    <w:rsid w:val="00C11F67"/>
    <w:rsid w:val="00C17B6E"/>
    <w:rsid w:val="00C20DC0"/>
    <w:rsid w:val="00C248AD"/>
    <w:rsid w:val="00C2656C"/>
    <w:rsid w:val="00C30F5E"/>
    <w:rsid w:val="00C323A2"/>
    <w:rsid w:val="00C61F66"/>
    <w:rsid w:val="00C64281"/>
    <w:rsid w:val="00C776A1"/>
    <w:rsid w:val="00C77EC4"/>
    <w:rsid w:val="00C814B5"/>
    <w:rsid w:val="00C81B42"/>
    <w:rsid w:val="00C94F7C"/>
    <w:rsid w:val="00C95795"/>
    <w:rsid w:val="00CA4CF2"/>
    <w:rsid w:val="00CA587E"/>
    <w:rsid w:val="00CB158A"/>
    <w:rsid w:val="00CB4D47"/>
    <w:rsid w:val="00CC467B"/>
    <w:rsid w:val="00CD5239"/>
    <w:rsid w:val="00CE3160"/>
    <w:rsid w:val="00CE3911"/>
    <w:rsid w:val="00CE71D5"/>
    <w:rsid w:val="00CF5D92"/>
    <w:rsid w:val="00CF61C3"/>
    <w:rsid w:val="00CF67FC"/>
    <w:rsid w:val="00CF6C60"/>
    <w:rsid w:val="00D01758"/>
    <w:rsid w:val="00D037BD"/>
    <w:rsid w:val="00D12C8A"/>
    <w:rsid w:val="00D137EC"/>
    <w:rsid w:val="00D159E2"/>
    <w:rsid w:val="00D20C50"/>
    <w:rsid w:val="00D26158"/>
    <w:rsid w:val="00D30791"/>
    <w:rsid w:val="00D31933"/>
    <w:rsid w:val="00D32953"/>
    <w:rsid w:val="00D337E5"/>
    <w:rsid w:val="00D35A41"/>
    <w:rsid w:val="00D46B9B"/>
    <w:rsid w:val="00D53D2B"/>
    <w:rsid w:val="00D567C6"/>
    <w:rsid w:val="00D61638"/>
    <w:rsid w:val="00D7379C"/>
    <w:rsid w:val="00D7513F"/>
    <w:rsid w:val="00D83324"/>
    <w:rsid w:val="00D90836"/>
    <w:rsid w:val="00D9718A"/>
    <w:rsid w:val="00DA0705"/>
    <w:rsid w:val="00DA197D"/>
    <w:rsid w:val="00DB6A29"/>
    <w:rsid w:val="00DB7675"/>
    <w:rsid w:val="00DD148E"/>
    <w:rsid w:val="00DD298D"/>
    <w:rsid w:val="00DE24D1"/>
    <w:rsid w:val="00DE2E77"/>
    <w:rsid w:val="00DE3D1B"/>
    <w:rsid w:val="00DF3103"/>
    <w:rsid w:val="00E06A34"/>
    <w:rsid w:val="00E101C2"/>
    <w:rsid w:val="00E14EA8"/>
    <w:rsid w:val="00E16D84"/>
    <w:rsid w:val="00E213B0"/>
    <w:rsid w:val="00E27163"/>
    <w:rsid w:val="00E2747D"/>
    <w:rsid w:val="00E4134C"/>
    <w:rsid w:val="00E46A19"/>
    <w:rsid w:val="00E47DD2"/>
    <w:rsid w:val="00E50122"/>
    <w:rsid w:val="00E636C1"/>
    <w:rsid w:val="00E63776"/>
    <w:rsid w:val="00E76159"/>
    <w:rsid w:val="00E830B9"/>
    <w:rsid w:val="00E9239F"/>
    <w:rsid w:val="00E943A2"/>
    <w:rsid w:val="00EA113E"/>
    <w:rsid w:val="00EA24AD"/>
    <w:rsid w:val="00EA45E5"/>
    <w:rsid w:val="00EA7843"/>
    <w:rsid w:val="00EB37C2"/>
    <w:rsid w:val="00EB5CB8"/>
    <w:rsid w:val="00EB771F"/>
    <w:rsid w:val="00EC4108"/>
    <w:rsid w:val="00ED2434"/>
    <w:rsid w:val="00ED60E5"/>
    <w:rsid w:val="00ED62CD"/>
    <w:rsid w:val="00EE08CA"/>
    <w:rsid w:val="00EE53B8"/>
    <w:rsid w:val="00EF1A1C"/>
    <w:rsid w:val="00EF72AF"/>
    <w:rsid w:val="00F003A4"/>
    <w:rsid w:val="00F0078A"/>
    <w:rsid w:val="00F01C10"/>
    <w:rsid w:val="00F046B1"/>
    <w:rsid w:val="00F07140"/>
    <w:rsid w:val="00F1287C"/>
    <w:rsid w:val="00F20AA5"/>
    <w:rsid w:val="00F22A08"/>
    <w:rsid w:val="00F279BF"/>
    <w:rsid w:val="00F3118B"/>
    <w:rsid w:val="00F3150D"/>
    <w:rsid w:val="00F42E37"/>
    <w:rsid w:val="00F436CB"/>
    <w:rsid w:val="00F46F30"/>
    <w:rsid w:val="00F52707"/>
    <w:rsid w:val="00F55192"/>
    <w:rsid w:val="00F6176A"/>
    <w:rsid w:val="00F63D6B"/>
    <w:rsid w:val="00F67754"/>
    <w:rsid w:val="00F73630"/>
    <w:rsid w:val="00F855C8"/>
    <w:rsid w:val="00F863F2"/>
    <w:rsid w:val="00F86F86"/>
    <w:rsid w:val="00F9337D"/>
    <w:rsid w:val="00FA1737"/>
    <w:rsid w:val="00FA224A"/>
    <w:rsid w:val="00FA3E77"/>
    <w:rsid w:val="00FC3BBF"/>
    <w:rsid w:val="00FC533C"/>
    <w:rsid w:val="00FC58E6"/>
    <w:rsid w:val="00FC6441"/>
    <w:rsid w:val="00FD00BF"/>
    <w:rsid w:val="00FD44F3"/>
    <w:rsid w:val="00FE0633"/>
    <w:rsid w:val="00FE1B36"/>
    <w:rsid w:val="00FE1EA0"/>
    <w:rsid w:val="00FE20D8"/>
    <w:rsid w:val="00FE5DDC"/>
    <w:rsid w:val="00FF271F"/>
    <w:rsid w:val="00FF31AE"/>
    <w:rsid w:val="00FF3733"/>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F9B8E2"/>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99"/>
    <w:qFormat/>
    <w:rsid w:val="00EB771F"/>
    <w:rPr>
      <w:rFonts w:ascii="Calibri" w:hAnsi="Calibri"/>
      <w:sz w:val="22"/>
      <w:szCs w:val="22"/>
    </w:rPr>
  </w:style>
  <w:style w:type="character" w:customStyle="1" w:styleId="NoSpacingChar">
    <w:name w:val="No Spacing Char"/>
    <w:link w:val="NoSpacing"/>
    <w:uiPriority w:val="99"/>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12216836">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979774869">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025401346">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1466-6EC4-402F-9C9A-BA6265C0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28</TotalTime>
  <Pages>7</Pages>
  <Words>2733</Words>
  <Characters>14373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17072</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Mansfield, Joanne</cp:lastModifiedBy>
  <cp:revision>5</cp:revision>
  <cp:lastPrinted>2016-10-13T16:08:00Z</cp:lastPrinted>
  <dcterms:created xsi:type="dcterms:W3CDTF">2016-10-13T15:45:00Z</dcterms:created>
  <dcterms:modified xsi:type="dcterms:W3CDTF">2016-10-14T08:26:00Z</dcterms:modified>
</cp:coreProperties>
</file>